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DC52DE">
      <w:pPr>
        <w:spacing w:before="277" w:after="120" w:afterLines="50" w:line="360" w:lineRule="auto"/>
        <w:ind w:left="108"/>
        <w:rPr>
          <w:rFonts w:ascii="Times New Roman" w:hAnsi="Times New Roman" w:eastAsia="宋体" w:cs="Times New Roman"/>
          <w:sz w:val="24"/>
          <w:szCs w:val="24"/>
          <w:lang w:eastAsia="zh-CN"/>
        </w:rPr>
      </w:pPr>
      <w:r>
        <w:rPr>
          <w:rFonts w:ascii="Times New Roman" w:hAnsi="Times New Roman" w:eastAsia="宋体" w:cs="Times New Roman"/>
          <w:sz w:val="24"/>
          <w:szCs w:val="24"/>
          <w:lang w:eastAsia="zh-CN"/>
        </w:rPr>
        <w:t>证券代码：600060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 xml:space="preserve">                                                                        </w:t>
      </w:r>
      <w:r>
        <w:rPr>
          <w:rFonts w:ascii="Times New Roman" w:hAnsi="Times New Roman" w:eastAsia="宋体" w:cs="Times New Roman"/>
          <w:spacing w:val="-1"/>
          <w:sz w:val="24"/>
          <w:szCs w:val="24"/>
          <w:lang w:eastAsia="zh-CN"/>
        </w:rPr>
        <w:t>证券简称：海信视像</w:t>
      </w:r>
    </w:p>
    <w:p w14:paraId="4A63CD70">
      <w:pPr>
        <w:spacing w:before="204" w:line="225" w:lineRule="auto"/>
        <w:jc w:val="center"/>
        <w:outlineLvl w:val="0"/>
        <w:rPr>
          <w:rFonts w:ascii="Times New Roman" w:hAnsi="Times New Roman" w:eastAsia="宋体" w:cs="Times New Roman"/>
          <w:b/>
          <w:bCs/>
          <w:spacing w:val="7"/>
          <w:sz w:val="31"/>
          <w:szCs w:val="31"/>
          <w:lang w:eastAsia="zh-CN"/>
        </w:rPr>
      </w:pPr>
      <w:r>
        <w:rPr>
          <w:rFonts w:ascii="Times New Roman" w:hAnsi="Times New Roman" w:eastAsia="宋体" w:cs="Times New Roman"/>
          <w:b/>
          <w:bCs/>
          <w:spacing w:val="7"/>
          <w:sz w:val="31"/>
          <w:szCs w:val="31"/>
          <w:lang w:eastAsia="zh-CN"/>
        </w:rPr>
        <w:t>海信视像科技股份有限公司投资者关系活动记录表</w:t>
      </w:r>
    </w:p>
    <w:p w14:paraId="65E20D7D">
      <w:pPr>
        <w:spacing w:before="204" w:line="225" w:lineRule="auto"/>
        <w:jc w:val="right"/>
        <w:outlineLvl w:val="0"/>
        <w:rPr>
          <w:rFonts w:ascii="Times New Roman" w:hAnsi="Times New Roman" w:cs="Times New Roman"/>
          <w:sz w:val="2"/>
          <w:lang w:eastAsia="zh-CN"/>
        </w:rPr>
      </w:pPr>
      <w:r>
        <w:rPr>
          <w:rFonts w:ascii="Times New Roman" w:hAnsi="Times New Roman" w:eastAsia="宋体" w:cs="Times New Roman"/>
          <w:spacing w:val="-7"/>
          <w:sz w:val="24"/>
          <w:szCs w:val="24"/>
          <w:lang w:eastAsia="zh-CN"/>
        </w:rPr>
        <w:t>编号：202</w:t>
      </w:r>
      <w:r>
        <w:rPr>
          <w:rFonts w:hint="eastAsia" w:ascii="Times New Roman" w:hAnsi="Times New Roman" w:eastAsia="宋体" w:cs="Times New Roman"/>
          <w:spacing w:val="-7"/>
          <w:sz w:val="24"/>
          <w:szCs w:val="24"/>
          <w:lang w:eastAsia="zh-CN"/>
        </w:rPr>
        <w:t>6</w:t>
      </w:r>
      <w:r>
        <w:rPr>
          <w:rFonts w:ascii="Times New Roman" w:hAnsi="Times New Roman" w:eastAsia="宋体" w:cs="Times New Roman"/>
          <w:spacing w:val="-7"/>
          <w:sz w:val="24"/>
          <w:szCs w:val="24"/>
          <w:lang w:eastAsia="zh-CN"/>
        </w:rPr>
        <w:t>-</w:t>
      </w:r>
      <w:r>
        <w:rPr>
          <w:rFonts w:hint="eastAsia" w:ascii="Times New Roman" w:hAnsi="Times New Roman" w:eastAsia="宋体" w:cs="Times New Roman"/>
          <w:spacing w:val="-7"/>
          <w:sz w:val="24"/>
          <w:szCs w:val="24"/>
          <w:lang w:eastAsia="zh-CN"/>
        </w:rPr>
        <w:t>08</w:t>
      </w:r>
    </w:p>
    <w:tbl>
      <w:tblPr>
        <w:tblStyle w:val="17"/>
        <w:tblW w:w="6023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87"/>
        <w:gridCol w:w="3761"/>
        <w:gridCol w:w="4515"/>
      </w:tblGrid>
      <w:tr w14:paraId="4BDFD9B7">
        <w:trPr>
          <w:trHeight w:val="0" w:hRule="atLeast"/>
          <w:jc w:val="center"/>
        </w:trPr>
        <w:tc>
          <w:tcPr>
            <w:tcW w:w="968" w:type="pct"/>
            <w:vAlign w:val="center"/>
          </w:tcPr>
          <w:p w14:paraId="3BBFB38B">
            <w:pPr>
              <w:spacing w:line="272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4457A381">
            <w:pPr>
              <w:spacing w:line="272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712854B1">
            <w:pPr>
              <w:pStyle w:val="18"/>
              <w:spacing w:before="78" w:line="356" w:lineRule="auto"/>
              <w:ind w:left="118" w:right="11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4"/>
              </w:rPr>
              <w:t>投资者关系活</w:t>
            </w:r>
            <w:r>
              <w:rPr>
                <w:rFonts w:ascii="Times New Roman" w:hAnsi="Times New Roman" w:cs="Times New Roman"/>
                <w:spacing w:val="-3"/>
              </w:rPr>
              <w:t>动类别</w:t>
            </w:r>
          </w:p>
        </w:tc>
        <w:tc>
          <w:tcPr>
            <w:tcW w:w="1832" w:type="pct"/>
            <w:tcBorders>
              <w:right w:val="nil"/>
            </w:tcBorders>
          </w:tcPr>
          <w:p w14:paraId="3345F96C">
            <w:pPr>
              <w:pStyle w:val="18"/>
              <w:spacing w:before="117" w:line="220" w:lineRule="auto"/>
              <w:ind w:left="135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6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5"/>
                <w:lang w:eastAsia="zh-CN"/>
              </w:rPr>
              <w:t>特定对象调研</w:t>
            </w:r>
          </w:p>
          <w:p w14:paraId="1E7E6619">
            <w:pPr>
              <w:pStyle w:val="18"/>
              <w:spacing w:before="182" w:line="219" w:lineRule="auto"/>
              <w:ind w:left="135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6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6"/>
                <w:lang w:eastAsia="zh-CN"/>
              </w:rPr>
              <w:t>媒体采访</w:t>
            </w:r>
          </w:p>
          <w:p w14:paraId="721F99F5">
            <w:pPr>
              <w:pStyle w:val="18"/>
              <w:spacing w:before="183" w:line="219" w:lineRule="auto"/>
              <w:ind w:left="135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6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5"/>
                <w:lang w:eastAsia="zh-CN"/>
              </w:rPr>
              <w:t>新闻发布会</w:t>
            </w:r>
          </w:p>
          <w:p w14:paraId="416233C8">
            <w:pPr>
              <w:pStyle w:val="18"/>
              <w:spacing w:before="182" w:line="219" w:lineRule="auto"/>
              <w:ind w:left="135"/>
              <w:rPr>
                <w:rFonts w:ascii="Times New Roman" w:hAnsi="Times New Roman" w:cs="Times New Roman"/>
                <w:spacing w:val="-6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6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6"/>
                <w:lang w:eastAsia="zh-CN"/>
              </w:rPr>
              <w:t>现场参观</w:t>
            </w:r>
          </w:p>
          <w:p w14:paraId="6F694929">
            <w:pPr>
              <w:pStyle w:val="18"/>
              <w:spacing w:before="182" w:line="219" w:lineRule="auto"/>
              <w:ind w:left="135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hint="eastAsia" w:ascii="Segoe UI Symbol" w:hAnsi="Segoe UI Symbol" w:cs="Segoe UI Symbol"/>
                <w:spacing w:val="-5"/>
                <w:lang w:eastAsia="zh-CN"/>
              </w:rPr>
              <w:t>☑</w:t>
            </w:r>
            <w:r>
              <w:rPr>
                <w:rFonts w:ascii="Times New Roman" w:hAnsi="Times New Roman" w:cs="Times New Roman"/>
                <w:spacing w:val="-6"/>
                <w:lang w:eastAsia="zh-CN"/>
              </w:rPr>
              <w:t>其他</w:t>
            </w:r>
            <w:r>
              <w:rPr>
                <w:rFonts w:hint="eastAsia" w:ascii="Times New Roman" w:hAnsi="Times New Roman" w:cs="Times New Roman"/>
                <w:spacing w:val="-6"/>
                <w:lang w:eastAsia="zh-CN"/>
              </w:rPr>
              <w:t>（电话会议）</w:t>
            </w:r>
          </w:p>
        </w:tc>
        <w:tc>
          <w:tcPr>
            <w:tcW w:w="2199" w:type="pct"/>
            <w:tcBorders>
              <w:left w:val="nil"/>
            </w:tcBorders>
          </w:tcPr>
          <w:p w14:paraId="35288B01">
            <w:pPr>
              <w:pStyle w:val="18"/>
              <w:spacing w:before="117" w:line="219" w:lineRule="auto"/>
              <w:ind w:left="484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6"/>
                <w:lang w:eastAsia="zh-CN"/>
              </w:rPr>
              <w:t>☑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>分析师会议</w:t>
            </w:r>
          </w:p>
          <w:p w14:paraId="6F69686C">
            <w:pPr>
              <w:pStyle w:val="18"/>
              <w:spacing w:before="183" w:line="219" w:lineRule="auto"/>
              <w:ind w:left="511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6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5"/>
                <w:lang w:eastAsia="zh-CN"/>
              </w:rPr>
              <w:t>业绩说明会</w:t>
            </w:r>
          </w:p>
          <w:p w14:paraId="39D7E6E1">
            <w:pPr>
              <w:pStyle w:val="18"/>
              <w:spacing w:before="182" w:line="220" w:lineRule="auto"/>
              <w:ind w:left="511"/>
              <w:rPr>
                <w:rFonts w:ascii="Times New Roman" w:hAnsi="Times New Roman" w:cs="Times New Roman"/>
                <w:spacing w:val="-7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6"/>
                <w:lang w:eastAsia="zh-CN"/>
              </w:rPr>
              <w:t>☑</w:t>
            </w:r>
            <w:r>
              <w:rPr>
                <w:rFonts w:ascii="Times New Roman" w:hAnsi="Times New Roman" w:cs="Times New Roman"/>
                <w:spacing w:val="-7"/>
                <w:lang w:eastAsia="zh-CN"/>
              </w:rPr>
              <w:t>路演活动</w:t>
            </w:r>
          </w:p>
          <w:p w14:paraId="2AC11218">
            <w:pPr>
              <w:pStyle w:val="18"/>
              <w:spacing w:before="182" w:line="220" w:lineRule="auto"/>
              <w:ind w:left="511"/>
              <w:rPr>
                <w:rFonts w:ascii="Times New Roman" w:hAnsi="Times New Roman" w:cs="Times New Roman"/>
                <w:spacing w:val="-7"/>
                <w:lang w:eastAsia="zh-CN"/>
              </w:rPr>
            </w:pPr>
          </w:p>
        </w:tc>
      </w:tr>
      <w:tr w14:paraId="2F1C341C">
        <w:trPr>
          <w:trHeight w:val="0" w:hRule="atLeast"/>
          <w:jc w:val="center"/>
        </w:trPr>
        <w:tc>
          <w:tcPr>
            <w:tcW w:w="968" w:type="pct"/>
            <w:vAlign w:val="center"/>
          </w:tcPr>
          <w:p w14:paraId="65B027C1">
            <w:pPr>
              <w:pStyle w:val="18"/>
              <w:spacing w:before="115" w:line="220" w:lineRule="auto"/>
              <w:ind w:left="119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pacing w:val="-2"/>
              </w:rPr>
              <w:t>参与单位名称</w:t>
            </w:r>
          </w:p>
        </w:tc>
        <w:tc>
          <w:tcPr>
            <w:tcW w:w="4031" w:type="pct"/>
            <w:gridSpan w:val="2"/>
            <w:vAlign w:val="center"/>
          </w:tcPr>
          <w:p w14:paraId="6F102432">
            <w:pPr>
              <w:pStyle w:val="18"/>
              <w:spacing w:before="116" w:line="313" w:lineRule="auto"/>
              <w:ind w:left="119" w:right="110"/>
              <w:rPr>
                <w:rFonts w:hint="default" w:ascii="Times New Roman" w:hAnsi="Times New Roman" w:cs="Times New Roman"/>
                <w:b/>
                <w:bCs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  <w:t>全国社保基金、易方达基金、建信基金、华安基金、平安资产、华夏基金、国泰基金、华泰保险、国丰新华资本、工银瑞信、广发基金、博时基金、南方基金、景顺长城基金、富国基金、招商基金、Point 72、大家资产、泰康资产、嘉实基金、银华基金等以及兴业证券、国金证券、国信证券、中信建投、国盛证券、中信证券、中金公司、国联民生证券、天风证券、长江证券、招商证券、光大证券、华源证券、广发证券等</w:t>
            </w:r>
          </w:p>
        </w:tc>
      </w:tr>
      <w:tr w14:paraId="2B80DA64">
        <w:trPr>
          <w:trHeight w:val="0" w:hRule="atLeast"/>
          <w:jc w:val="center"/>
        </w:trPr>
        <w:tc>
          <w:tcPr>
            <w:tcW w:w="968" w:type="pct"/>
            <w:vAlign w:val="center"/>
          </w:tcPr>
          <w:p w14:paraId="6807D5DC">
            <w:pPr>
              <w:pStyle w:val="18"/>
              <w:spacing w:before="114" w:line="222" w:lineRule="auto"/>
              <w:ind w:left="1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</w:rPr>
              <w:t>时间</w:t>
            </w:r>
          </w:p>
        </w:tc>
        <w:tc>
          <w:tcPr>
            <w:tcW w:w="4031" w:type="pct"/>
            <w:gridSpan w:val="2"/>
            <w:vAlign w:val="center"/>
          </w:tcPr>
          <w:p w14:paraId="0FA441E6">
            <w:pPr>
              <w:pStyle w:val="18"/>
              <w:spacing w:before="116" w:line="313" w:lineRule="auto"/>
              <w:ind w:left="119" w:right="11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  <w:lang w:eastAsia="zh-CN"/>
              </w:rPr>
              <w:t>2026年9月1日至2026年9月30日</w:t>
            </w:r>
          </w:p>
        </w:tc>
      </w:tr>
      <w:tr w14:paraId="3298256F">
        <w:trPr>
          <w:trHeight w:val="0" w:hRule="atLeast"/>
          <w:jc w:val="center"/>
        </w:trPr>
        <w:tc>
          <w:tcPr>
            <w:tcW w:w="968" w:type="pct"/>
            <w:vAlign w:val="center"/>
          </w:tcPr>
          <w:p w14:paraId="0946ECE6">
            <w:pPr>
              <w:pStyle w:val="18"/>
              <w:spacing w:before="117" w:line="224" w:lineRule="auto"/>
              <w:ind w:left="11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3"/>
              </w:rPr>
              <w:t>地点</w:t>
            </w:r>
          </w:p>
        </w:tc>
        <w:tc>
          <w:tcPr>
            <w:tcW w:w="4031" w:type="pct"/>
            <w:gridSpan w:val="2"/>
            <w:vAlign w:val="center"/>
          </w:tcPr>
          <w:p w14:paraId="00FADA5F">
            <w:pPr>
              <w:pStyle w:val="18"/>
              <w:spacing w:before="116" w:line="313" w:lineRule="auto"/>
              <w:ind w:left="119" w:right="11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  <w:lang w:eastAsia="zh-CN"/>
              </w:rPr>
              <w:t>公司会议室、电话会议等</w:t>
            </w:r>
          </w:p>
        </w:tc>
      </w:tr>
      <w:tr w14:paraId="00C2C4FD">
        <w:trPr>
          <w:trHeight w:val="0" w:hRule="atLeast"/>
          <w:jc w:val="center"/>
        </w:trPr>
        <w:tc>
          <w:tcPr>
            <w:tcW w:w="968" w:type="pct"/>
            <w:vAlign w:val="center"/>
          </w:tcPr>
          <w:p w14:paraId="11E0F2A3">
            <w:pPr>
              <w:pStyle w:val="18"/>
              <w:spacing w:before="116" w:line="313" w:lineRule="auto"/>
              <w:ind w:left="119" w:right="11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spacing w:val="4"/>
                <w:lang w:eastAsia="zh-CN"/>
              </w:rPr>
              <w:t>上市公司接待</w:t>
            </w:r>
            <w:r>
              <w:rPr>
                <w:rFonts w:ascii="Times New Roman" w:hAnsi="Times New Roman" w:cs="Times New Roman"/>
                <w:spacing w:val="-3"/>
                <w:lang w:eastAsia="zh-CN"/>
              </w:rPr>
              <w:t>人员姓名</w:t>
            </w:r>
          </w:p>
        </w:tc>
        <w:tc>
          <w:tcPr>
            <w:tcW w:w="4031" w:type="pct"/>
            <w:gridSpan w:val="2"/>
            <w:vAlign w:val="center"/>
          </w:tcPr>
          <w:p w14:paraId="69D2DD0F">
            <w:pPr>
              <w:pStyle w:val="18"/>
              <w:spacing w:before="116" w:line="313" w:lineRule="auto"/>
              <w:ind w:left="119" w:right="11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  <w:lang w:eastAsia="zh-CN"/>
              </w:rPr>
              <w:t>董事会秘书  范    潇</w:t>
            </w:r>
          </w:p>
        </w:tc>
      </w:tr>
      <w:tr w14:paraId="77E34C89">
        <w:trPr>
          <w:trHeight w:val="0" w:hRule="atLeast"/>
          <w:jc w:val="center"/>
        </w:trPr>
        <w:tc>
          <w:tcPr>
            <w:tcW w:w="968" w:type="pct"/>
            <w:vAlign w:val="center"/>
          </w:tcPr>
          <w:p w14:paraId="314C7E04">
            <w:pPr>
              <w:pStyle w:val="18"/>
              <w:spacing w:before="116" w:line="313" w:lineRule="auto"/>
              <w:ind w:left="119" w:right="110"/>
              <w:jc w:val="both"/>
              <w:rPr>
                <w:rFonts w:ascii="Times New Roman" w:hAnsi="Times New Roman" w:cs="Times New Roman"/>
                <w:spacing w:val="4"/>
                <w:lang w:eastAsia="zh-CN"/>
              </w:rPr>
            </w:pPr>
            <w:r>
              <w:rPr>
                <w:rFonts w:ascii="Times New Roman" w:hAnsi="Times New Roman" w:cs="Times New Roman"/>
                <w:spacing w:val="4"/>
                <w:lang w:eastAsia="zh-CN"/>
              </w:rPr>
              <w:t>投资者关系活动主要内容介</w:t>
            </w:r>
            <w:r>
              <w:rPr>
                <w:rFonts w:ascii="Times New Roman" w:hAnsi="Times New Roman" w:cs="Times New Roman"/>
                <w:lang w:eastAsia="zh-CN"/>
              </w:rPr>
              <w:t>绍</w:t>
            </w:r>
          </w:p>
        </w:tc>
        <w:tc>
          <w:tcPr>
            <w:tcW w:w="4031" w:type="pct"/>
            <w:gridSpan w:val="2"/>
          </w:tcPr>
          <w:p w14:paraId="42DF8141">
            <w:pPr>
              <w:pStyle w:val="18"/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left="0" w:firstLine="442"/>
              <w:jc w:val="both"/>
              <w:textAlignment w:val="auto"/>
              <w:rPr>
                <w:rFonts w:hint="eastAsia"/>
                <w:b/>
                <w:bCs/>
                <w:color w:val="auto"/>
                <w:lang w:eastAsia="zh"/>
              </w:rPr>
            </w:pPr>
            <w:r>
              <w:rPr>
                <w:b/>
                <w:bCs/>
                <w:color w:val="auto"/>
                <w:lang w:eastAsia="zh"/>
              </w:rPr>
              <w:t>2026海信电视秋季新品发布会</w:t>
            </w:r>
            <w:r>
              <w:rPr>
                <w:rFonts w:hint="eastAsia"/>
                <w:b/>
                <w:bCs/>
                <w:color w:val="auto"/>
                <w:lang w:eastAsia="zh"/>
              </w:rPr>
              <w:t>在产品、技术等方面有哪些核心突破？</w:t>
            </w:r>
          </w:p>
          <w:p w14:paraId="6D24D23B">
            <w:pPr>
              <w:pStyle w:val="18"/>
              <w:spacing w:before="120" w:beforeLines="50" w:after="120" w:afterLines="50" w:line="360" w:lineRule="auto"/>
              <w:ind w:firstLine="480" w:firstLineChars="200"/>
              <w:jc w:val="both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答：</w:t>
            </w:r>
            <w:r>
              <w:rPr>
                <w:color w:val="auto"/>
                <w:lang w:eastAsia="zh-CN"/>
              </w:rPr>
              <w:t>2026海信电视秋季新品发布会正式推出全新一代RGB-Mini LED影像旗舰U7T Pro、性能旗舰E7S Pro+两大旗舰新品</w:t>
            </w:r>
            <w:r>
              <w:rPr>
                <w:rFonts w:hint="eastAsia"/>
                <w:color w:val="auto"/>
                <w:lang w:eastAsia="zh-CN"/>
              </w:rPr>
              <w:t>，</w:t>
            </w:r>
            <w:r>
              <w:rPr>
                <w:color w:val="auto"/>
                <w:lang w:eastAsia="zh-CN"/>
              </w:rPr>
              <w:t>一次性落地六大行业首发技术，从背光硬件、屏幕素质、专属画质到智能系统全方位革新，彻底改写RGB-Mini LED高端大屏体验标准，海信RGB-Mini LED电视真正实现常用常新，进一步扩大行业领先优势。</w:t>
            </w:r>
          </w:p>
          <w:p w14:paraId="452E4C7F">
            <w:pPr>
              <w:pStyle w:val="18"/>
              <w:spacing w:before="120" w:beforeLines="50" w:after="120" w:afterLines="50" w:line="360" w:lineRule="auto"/>
              <w:ind w:firstLine="480" w:firstLineChars="200"/>
              <w:jc w:val="both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海信U7T Pro搭载了两大行业首发核心技术：首发玲珑真彩背光2.0延续红绿蓝三原色独立发光架构，搭载最新一代玲珑真彩光芯与超聚光透镜技术，大幅提升动态画面细节表现力与小窗口画面精细度；行业首创真彩黑曜屏，专为RGB-Mini LED原生真彩光源量身定制，搭载真彩晶透技术，将BT.2020色域提升至103%行业新高。</w:t>
            </w:r>
          </w:p>
          <w:p w14:paraId="052DEF47">
            <w:pPr>
              <w:pStyle w:val="18"/>
              <w:spacing w:before="120" w:beforeLines="50" w:after="120" w:afterLines="50" w:line="360" w:lineRule="auto"/>
              <w:ind w:firstLine="480" w:firstLineChars="200"/>
              <w:jc w:val="both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在性能旗舰E7S Pro+上，全球首发杜比视界第二代MAX，带来更自然的画面层次、更细腻的色彩过渡；首发R&amp;H真彩高亮架构，最高峰值亮度可达XDR Pro 6000nits，高亮场景下依旧精准保留原生色彩质感与明暗细节，告别亮场失真、暗场丢失问题。</w:t>
            </w:r>
          </w:p>
          <w:p w14:paraId="6B06B5CD">
            <w:pPr>
              <w:pStyle w:val="18"/>
              <w:spacing w:before="120" w:beforeLines="50" w:after="120" w:afterLines="50" w:line="360" w:lineRule="auto"/>
              <w:ind w:firstLine="480" w:firstLineChars="200"/>
              <w:jc w:val="both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此次发布会的核心突破，在于海信跳出单一硬件升级，通过电影、游戏、动漫三大专属画质模式</w:t>
            </w:r>
            <w:r>
              <w:rPr>
                <w:rFonts w:hint="eastAsia"/>
                <w:lang w:eastAsia="zh-CN"/>
              </w:rPr>
              <w:t>+</w:t>
            </w:r>
            <w:r>
              <w:rPr>
                <w:lang w:eastAsia="zh-CN"/>
              </w:rPr>
              <w:t>全新智能系统的全维度革新，让RGB-Mini LED体验常用常新。观影场景上，海信携手国内顶尖电影创作者，共创影像大师画质模式，将院线级调色标准、专业影视创作质感落地家用大屏，用户在家就能沉浸式体验影院级原生影像。游戏场景上，精准适配玩家需求，联合灵游坊为国产3A大作《影之刃零》定制专属画质模式。在动漫场景，海信联合bilibili独家首发《凡人》动画专属画质模式。智能体验层面，行业首个家庭智能伴侣级JUOS系统革新传统电视交互，以超级小聚为核心载体，实现智能问答秒响应、千人千面专属桌面、跨设备无缝流转三大核心体验。</w:t>
            </w:r>
          </w:p>
          <w:p w14:paraId="0E1F3C79">
            <w:pPr>
              <w:pStyle w:val="18"/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left="0" w:firstLine="442"/>
              <w:jc w:val="both"/>
              <w:textAlignment w:val="auto"/>
              <w:rPr>
                <w:rFonts w:hint="eastAsia"/>
                <w:b/>
                <w:bCs/>
                <w:color w:val="auto"/>
                <w:lang w:eastAsia="zh"/>
              </w:rPr>
            </w:pPr>
            <w:r>
              <w:rPr>
                <w:b/>
                <w:bCs/>
                <w:color w:val="auto"/>
                <w:lang w:eastAsia="zh"/>
              </w:rPr>
              <w:t>公司三色激光显示的最新应用成果</w:t>
            </w:r>
            <w:r>
              <w:rPr>
                <w:rFonts w:hint="eastAsia"/>
                <w:b/>
                <w:bCs/>
                <w:color w:val="auto"/>
                <w:lang w:eastAsia="zh"/>
              </w:rPr>
              <w:t>有哪些</w:t>
            </w:r>
            <w:r>
              <w:rPr>
                <w:b/>
                <w:bCs/>
                <w:color w:val="auto"/>
                <w:lang w:eastAsia="zh"/>
              </w:rPr>
              <w:t>？</w:t>
            </w:r>
          </w:p>
          <w:p w14:paraId="15CA9E30">
            <w:pPr>
              <w:pStyle w:val="18"/>
              <w:spacing w:before="120" w:beforeLines="50" w:after="120" w:afterLines="50" w:line="360" w:lineRule="auto"/>
              <w:ind w:firstLine="480" w:firstLineChars="200"/>
              <w:jc w:val="both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答：</w:t>
            </w:r>
            <w:r>
              <w:rPr>
                <w:color w:val="auto"/>
                <w:lang w:eastAsia="zh-CN"/>
              </w:rPr>
              <w:t>公司在第七届激光显示技术与产业发展大会上，通过“墙即银幕、巨幕隐身、造梦空间”三大激光显示创新场景，全方位展现技术落地成果与多元应用潜力</w:t>
            </w:r>
            <w:r>
              <w:rPr>
                <w:rFonts w:hint="eastAsia"/>
                <w:color w:val="auto"/>
                <w:lang w:eastAsia="zh-CN"/>
              </w:rPr>
              <w:t>。</w:t>
            </w:r>
          </w:p>
          <w:p w14:paraId="1E27AC1D">
            <w:pPr>
              <w:pStyle w:val="18"/>
              <w:spacing w:before="120" w:beforeLines="50" w:after="120" w:afterLines="50" w:line="360" w:lineRule="auto"/>
              <w:ind w:firstLine="480" w:firstLineChars="200"/>
              <w:jc w:val="both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lang w:eastAsia="zh-CN"/>
              </w:rPr>
              <w:t>在家庭场景中，海信全球首款150吋屏幕发声激光电视X1 Ultra，依托首创屏幕振子发声技术，无需外接音响即可实现音画合一，将IMAX级影院体验搬进客厅；Vidda C5无界Master影院投影机，凭借7000+lm超高亮度、专业影院级成像芯片与哈勃红标电影镜头，可实现200吋超大屏高清观影效果。</w:t>
            </w:r>
          </w:p>
          <w:p w14:paraId="4145CC82">
            <w:pPr>
              <w:pStyle w:val="18"/>
              <w:spacing w:before="120" w:beforeLines="50" w:after="120" w:afterLines="50" w:line="360" w:lineRule="auto"/>
              <w:ind w:firstLine="480" w:firstLineChars="200"/>
              <w:jc w:val="both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lang w:eastAsia="zh-CN"/>
              </w:rPr>
              <w:t>针对传统大屏与家居美学冲突的痛点，海信江山画卷R1可卷曲激光影院实现形态革新，观影时舒展成百吋巨幕，闲置时卷曲收纳、还原墙面整洁，还支持艺术高定适配多元家装风格。搭配120英寸高增益地升幕与Vidda C5 UltraMax四色激光投影，可灵活适配客厅、书房等多元居家空间，兼顾实用性与观赏性。依托漫反射成像原理，激光显示观感柔和护眼，斩获德国莱茵五星眼舒适与“0有害蓝光”双认证，实现影音沉浸与健康护眼双向兼顾。</w:t>
            </w:r>
          </w:p>
          <w:p w14:paraId="6DBB34E1">
            <w:pPr>
              <w:pStyle w:val="18"/>
              <w:spacing w:before="120" w:beforeLines="50" w:after="120" w:afterLines="50" w:line="360" w:lineRule="auto"/>
              <w:ind w:firstLine="480" w:firstLineChars="200"/>
              <w:jc w:val="both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lang w:eastAsia="zh-CN"/>
              </w:rPr>
              <w:t>在商用场景的“造梦空间”展区，激光显示突破居家场景边界，实现千行百业广泛赋能。沉浸式CAVE空间可实现影像随人动态适配，打造极致沉浸体验；玄彩系列三色4K商用投影复刻专业高尔夫训练赛场，助力智慧体育落地；超短焦耀彩系列产品打破空间、光线限制，为智慧课堂建设提供全新解决方案。</w:t>
            </w:r>
          </w:p>
          <w:p w14:paraId="01D53E72">
            <w:pPr>
              <w:pStyle w:val="18"/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left="0" w:firstLine="442"/>
              <w:jc w:val="both"/>
              <w:textAlignment w:val="auto"/>
              <w:rPr>
                <w:rFonts w:hint="eastAsia"/>
                <w:b/>
                <w:bCs/>
                <w:color w:val="auto"/>
                <w:lang w:eastAsia="zh"/>
              </w:rPr>
            </w:pPr>
            <w:r>
              <w:rPr>
                <w:rFonts w:hint="eastAsia"/>
                <w:b/>
                <w:bCs/>
                <w:color w:val="auto"/>
                <w:lang w:eastAsia="zh"/>
              </w:rPr>
              <w:t>公司如何看待</w:t>
            </w:r>
            <w:r>
              <w:rPr>
                <w:b/>
                <w:bCs/>
                <w:color w:val="auto"/>
                <w:lang w:eastAsia="zh"/>
              </w:rPr>
              <w:t>激光显示下一个五年</w:t>
            </w:r>
            <w:r>
              <w:rPr>
                <w:rFonts w:hint="eastAsia"/>
                <w:b/>
                <w:bCs/>
                <w:color w:val="auto"/>
                <w:lang w:eastAsia="zh"/>
              </w:rPr>
              <w:t>的发展方向</w:t>
            </w:r>
            <w:r>
              <w:rPr>
                <w:b/>
                <w:bCs/>
                <w:color w:val="auto"/>
                <w:lang w:eastAsia="zh"/>
              </w:rPr>
              <w:t>？</w:t>
            </w:r>
          </w:p>
          <w:p w14:paraId="6CC93E7A">
            <w:pPr>
              <w:pStyle w:val="18"/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firstLine="480" w:firstLineChars="200"/>
              <w:jc w:val="both"/>
              <w:textAlignment w:val="auto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答：</w:t>
            </w:r>
            <w:r>
              <w:rPr>
                <w:color w:val="auto"/>
                <w:lang w:eastAsia="zh-CN"/>
              </w:rPr>
              <w:t>“十五五”规划已将新型显示明确列为国家重点培育的战略性支柱产业，激光显示作为国内完全自主可控的新一代显示技术，已完成核心技术攻关与全产业链布局，当前正从家庭大屏市场向车载显示、AR互动、商用文旅等新兴赛道快速渗透，成为支撑我国新型显示产业实现换道领跑的核心力量。</w:t>
            </w:r>
          </w:p>
          <w:p w14:paraId="7F6ECED2">
            <w:pPr>
              <w:pStyle w:val="18"/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firstLine="480" w:firstLineChars="200"/>
              <w:jc w:val="both"/>
              <w:textAlignment w:val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lang w:eastAsia="zh-CN"/>
              </w:rPr>
              <w:t>激光显示下一个五年将主要沿三个方向演进：</w:t>
            </w:r>
            <w:r>
              <w:rPr>
                <w:rFonts w:hint="eastAsia"/>
                <w:color w:val="auto"/>
                <w:lang w:eastAsia="zh-CN"/>
              </w:rPr>
              <w:t>其一，未来</w:t>
            </w:r>
            <w:r>
              <w:rPr>
                <w:color w:val="auto"/>
                <w:lang w:eastAsia="zh-CN"/>
              </w:rPr>
              <w:t>5</w:t>
            </w:r>
            <w:r>
              <w:rPr>
                <w:rFonts w:hint="eastAsia"/>
                <w:color w:val="auto"/>
                <w:lang w:eastAsia="zh-CN"/>
              </w:rPr>
              <w:t>年，</w:t>
            </w:r>
            <w:r>
              <w:rPr>
                <w:color w:val="auto"/>
                <w:lang w:eastAsia="zh-CN"/>
              </w:rPr>
              <w:t>120</w:t>
            </w:r>
            <w:r>
              <w:rPr>
                <w:rFonts w:hint="eastAsia"/>
                <w:color w:val="auto"/>
                <w:lang w:eastAsia="zh-CN"/>
              </w:rPr>
              <w:t>英寸激光电视将成为行业主流——今年上半年全国</w:t>
            </w:r>
            <w:r>
              <w:rPr>
                <w:color w:val="auto"/>
                <w:lang w:eastAsia="zh-CN"/>
              </w:rPr>
              <w:t>30</w:t>
            </w:r>
            <w:r>
              <w:rPr>
                <w:rFonts w:hint="eastAsia"/>
                <w:color w:val="auto"/>
                <w:lang w:eastAsia="zh-CN"/>
              </w:rPr>
              <w:t>城</w:t>
            </w:r>
            <w:r>
              <w:rPr>
                <w:color w:val="auto"/>
                <w:lang w:eastAsia="zh-CN"/>
              </w:rPr>
              <w:t>120</w:t>
            </w:r>
            <w:r>
              <w:rPr>
                <w:rFonts w:hint="eastAsia"/>
                <w:color w:val="auto"/>
                <w:lang w:eastAsia="zh-CN"/>
              </w:rPr>
              <w:t>平方米以上新房成交占比达</w:t>
            </w:r>
            <w:r>
              <w:rPr>
                <w:color w:val="auto"/>
                <w:lang w:eastAsia="zh-CN"/>
              </w:rPr>
              <w:t>48%</w:t>
            </w:r>
            <w:r>
              <w:rPr>
                <w:rFonts w:hint="eastAsia"/>
                <w:color w:val="auto"/>
                <w:lang w:eastAsia="zh-CN"/>
              </w:rPr>
              <w:t>，大客厅配大屏成为刚需，过去四年百吋电视销量增长</w:t>
            </w:r>
            <w:r>
              <w:rPr>
                <w:color w:val="auto"/>
                <w:lang w:eastAsia="zh-CN"/>
              </w:rPr>
              <w:t>892%</w:t>
            </w:r>
            <w:r>
              <w:rPr>
                <w:rFonts w:hint="eastAsia"/>
                <w:color w:val="auto"/>
                <w:lang w:eastAsia="zh-CN"/>
              </w:rPr>
              <w:t>；其二，“三色原生光源”正成为全行业共同选择，激光将率先引领多基色时代；其三，激光成像无需物理面板，有望成为未来数字世界的“第一显示”，让“巨幕随行”，显示无处不在。</w:t>
            </w:r>
          </w:p>
          <w:p w14:paraId="590152D6">
            <w:pPr>
              <w:pStyle w:val="18"/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firstLine="480" w:firstLineChars="200"/>
              <w:jc w:val="both"/>
              <w:textAlignment w:val="auto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海信</w:t>
            </w:r>
            <w:r>
              <w:rPr>
                <w:color w:val="auto"/>
                <w:lang w:eastAsia="zh-CN"/>
              </w:rPr>
              <w:t>明确提出“百吋之上，唯享激光”的核心主张</w:t>
            </w:r>
            <w:r>
              <w:rPr>
                <w:rFonts w:hint="eastAsia"/>
                <w:color w:val="auto"/>
                <w:lang w:eastAsia="zh-CN"/>
              </w:rPr>
              <w:t>，这既是用户心里的共识，也是下一代显示的进化方向。激光显示将从家庭客厅走向商用场景，从百吋巨幕走向无处不在的显示，稳步走向下一代空间显示图景。</w:t>
            </w:r>
          </w:p>
          <w:p w14:paraId="21A03898">
            <w:pPr>
              <w:pStyle w:val="18"/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left="0" w:firstLine="442"/>
              <w:jc w:val="both"/>
              <w:textAlignment w:val="auto"/>
              <w:rPr>
                <w:rFonts w:ascii="Times New Roman" w:hAnsi="Times New Roman" w:cs="Times New Roman"/>
                <w:color w:val="auto"/>
                <w:lang w:eastAsia="zh"/>
              </w:rPr>
            </w:pPr>
            <w:r>
              <w:rPr>
                <w:b/>
                <w:color w:val="auto"/>
                <w:lang w:eastAsia="zh-CN"/>
              </w:rPr>
              <w:t>海信布局场序显示的</w:t>
            </w:r>
            <w:r>
              <w:rPr>
                <w:rFonts w:hint="eastAsia"/>
                <w:b/>
                <w:color w:val="auto"/>
                <w:lang w:eastAsia="zh-CN"/>
              </w:rPr>
              <w:t>战略考量</w:t>
            </w:r>
            <w:r>
              <w:rPr>
                <w:b/>
                <w:color w:val="auto"/>
                <w:lang w:eastAsia="zh-CN"/>
              </w:rPr>
              <w:t>？</w:t>
            </w:r>
          </w:p>
          <w:p w14:paraId="57C3CDD9">
            <w:pPr>
              <w:pStyle w:val="18"/>
              <w:spacing w:before="120" w:beforeLines="50" w:after="120" w:afterLines="50" w:line="360" w:lineRule="auto"/>
              <w:ind w:firstLine="480" w:firstLineChars="200"/>
              <w:jc w:val="both"/>
              <w:rPr>
                <w:rFonts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eastAsia="zh"/>
              </w:rPr>
              <w:t>答：海信布局</w:t>
            </w:r>
            <w:r>
              <w:rPr>
                <w:rFonts w:ascii="Times New Roman" w:hAnsi="Times New Roman" w:cs="Times New Roman"/>
                <w:color w:val="auto"/>
                <w:lang w:eastAsia="zh"/>
              </w:rPr>
              <w:t>场序显示，核心是在RGB-Mini LED全球领先的基础上，将液晶显示创新向底层架构</w:t>
            </w:r>
            <w:r>
              <w:rPr>
                <w:rFonts w:hint="eastAsia" w:ascii="Times New Roman" w:hAnsi="Times New Roman" w:cs="Times New Roman"/>
                <w:color w:val="auto"/>
                <w:lang w:eastAsia="zh"/>
              </w:rPr>
              <w:t>推进</w:t>
            </w:r>
            <w:r>
              <w:rPr>
                <w:rFonts w:ascii="Times New Roman" w:hAnsi="Times New Roman" w:cs="Times New Roman"/>
                <w:color w:val="auto"/>
                <w:lang w:eastAsia="zh"/>
              </w:rPr>
              <w:t>，以系统级创新</w:t>
            </w:r>
            <w:r>
              <w:rPr>
                <w:rFonts w:hint="eastAsia" w:ascii="Times New Roman" w:hAnsi="Times New Roman" w:cs="Times New Roman"/>
                <w:color w:val="auto"/>
                <w:lang w:eastAsia="zh"/>
              </w:rPr>
              <w:t>持续</w:t>
            </w:r>
            <w:r>
              <w:rPr>
                <w:rFonts w:ascii="Times New Roman" w:hAnsi="Times New Roman" w:cs="Times New Roman"/>
                <w:color w:val="auto"/>
                <w:lang w:eastAsia="zh"/>
              </w:rPr>
              <w:t>巩固RGB显示赛道的全球领先地位，并抢占下一代液晶显示技术主动权。</w:t>
            </w:r>
          </w:p>
          <w:p w14:paraId="25D701D0">
            <w:pPr>
              <w:pStyle w:val="18"/>
              <w:spacing w:before="120" w:beforeLines="50" w:after="120" w:afterLines="50" w:line="360" w:lineRule="auto"/>
              <w:ind w:firstLine="480" w:firstLineChars="200"/>
              <w:jc w:val="both"/>
              <w:rPr>
                <w:rFonts w:ascii="Times New Roman" w:hAnsi="Times New Roman" w:cs="Times New Roman"/>
                <w:color w:val="auto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lang w:eastAsia="zh-CN"/>
              </w:rPr>
              <w:t>从技术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突破看</w:t>
            </w:r>
            <w:r>
              <w:rPr>
                <w:rFonts w:ascii="Times New Roman" w:hAnsi="Times New Roman" w:cs="Times New Roman"/>
                <w:color w:val="auto"/>
                <w:lang w:eastAsia="zh-CN"/>
              </w:rPr>
              <w:t>，海信场序显示取消传统彩色滤光片，由液晶像素、RGB背光和实时算法按照高速时序共同生成彩色图像。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通过</w:t>
            </w:r>
            <w:r>
              <w:rPr>
                <w:rFonts w:ascii="Times New Roman" w:hAnsi="Times New Roman" w:cs="Times New Roman"/>
                <w:color w:val="auto"/>
                <w:lang w:eastAsia="zh-CN"/>
              </w:rPr>
              <w:t>RGB光源高速切换，让完整像素在不同时间呈现不同颜色子场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，以“</w:t>
            </w:r>
            <w:r>
              <w:rPr>
                <w:rFonts w:ascii="Times New Roman" w:hAnsi="Times New Roman" w:cs="Times New Roman"/>
                <w:color w:val="auto"/>
                <w:lang w:eastAsia="zh-CN"/>
              </w:rPr>
              <w:t>时间复用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”</w:t>
            </w:r>
            <w:r>
              <w:rPr>
                <w:rFonts w:ascii="Times New Roman" w:hAnsi="Times New Roman" w:cs="Times New Roman"/>
                <w:color w:val="auto"/>
                <w:lang w:eastAsia="zh-CN"/>
              </w:rPr>
              <w:t>进一步释放传统空间混色架构的潜力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color w:val="auto"/>
                <w:lang w:eastAsia="zh-CN"/>
              </w:rPr>
              <w:t>为高亮度、广色域和高能效的协同提升创造新的空间。</w:t>
            </w:r>
          </w:p>
          <w:p w14:paraId="03711388">
            <w:pPr>
              <w:pStyle w:val="18"/>
              <w:spacing w:before="120" w:beforeLines="50" w:after="120" w:afterLines="50" w:line="360" w:lineRule="auto"/>
              <w:ind w:firstLine="480" w:firstLineChars="200"/>
              <w:jc w:val="both"/>
              <w:rPr>
                <w:rFonts w:ascii="Times New Roman" w:hAnsi="Times New Roman" w:cs="Times New Roman"/>
                <w:color w:val="auto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lang w:eastAsia="zh-CN"/>
              </w:rPr>
              <w:t>从能力基础看，海信作为RGB-Mini LED技术的全球开创者与引领者，已积累RGB光源控制、光色协同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控制</w:t>
            </w:r>
            <w:r>
              <w:rPr>
                <w:rFonts w:ascii="Times New Roman" w:hAnsi="Times New Roman" w:cs="Times New Roman"/>
                <w:color w:val="auto"/>
                <w:lang w:eastAsia="zh-CN"/>
              </w:rPr>
              <w:t>、色彩管理、画质算法、芯片处理和整机协同等系统能力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color w:val="auto"/>
                <w:lang w:eastAsia="zh-CN"/>
              </w:rPr>
              <w:t>集中攻关液晶高刷响应、色场精准同步、彩边抑制、场间串扰抑制、高保真色彩呈现等产业化难题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color w:val="auto"/>
                <w:lang w:eastAsia="zh-CN"/>
              </w:rPr>
              <w:t>构建起领跑行业的技术壁垒。</w:t>
            </w:r>
          </w:p>
          <w:p w14:paraId="0078217D">
            <w:pPr>
              <w:pStyle w:val="18"/>
              <w:spacing w:before="120" w:beforeLines="50" w:after="120" w:afterLines="50" w:line="360" w:lineRule="auto"/>
              <w:ind w:firstLine="480" w:firstLineChars="200"/>
              <w:jc w:val="both"/>
              <w:rPr>
                <w:rFonts w:ascii="Times New Roman" w:hAnsi="Times New Roman" w:cs="Times New Roman"/>
                <w:color w:val="auto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lang w:eastAsia="zh-CN"/>
              </w:rPr>
              <w:t>从应用落地看，海信在2026柏林国际电子消费品展览会（IFA）展出全球首款85吋RGB场序显示产品，未来可广泛适配高端数字标牌、智慧会议室、展览展示、移动显示等商用场景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14DBF519">
            <w:pPr>
              <w:pStyle w:val="18"/>
              <w:spacing w:before="120" w:beforeLines="50" w:after="120" w:afterLines="50" w:line="360" w:lineRule="auto"/>
              <w:ind w:firstLine="480" w:firstLineChars="20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lang w:eastAsia="zh-CN"/>
              </w:rPr>
              <w:t>从产业意义看，海信自主研发的场序显示技术，是我国液晶显示高端化发展的全新系统技术路线，是液晶显示近年来具有突破性的技术创新，也是中国自主显示技术引领世界的标志性成果。</w:t>
            </w:r>
            <w:bookmarkStart w:id="0" w:name="_GoBack"/>
            <w:bookmarkEnd w:id="0"/>
          </w:p>
        </w:tc>
      </w:tr>
    </w:tbl>
    <w:p w14:paraId="04E46689">
      <w:pPr>
        <w:jc w:val="center"/>
        <w:rPr>
          <w:rFonts w:ascii="Times New Roman" w:hAnsi="Times New Roman" w:cs="Times New Roman"/>
          <w:lang w:eastAsia="zh-CN"/>
        </w:rPr>
      </w:pPr>
    </w:p>
    <w:sectPr>
      <w:pgSz w:w="11907" w:h="16839"/>
      <w:pgMar w:top="737" w:right="1694" w:bottom="737" w:left="1699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egoe UI Symbol">
    <w:altName w:val="苹方-简"/>
    <w:panose1 w:val="020B0502040204020203"/>
    <w:charset w:val="00"/>
    <w:family w:val="swiss"/>
    <w:pitch w:val="default"/>
    <w:sig w:usb0="00000000" w:usb1="00000000" w:usb2="0004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33129D"/>
    <w:multiLevelType w:val="multilevel"/>
    <w:tmpl w:val="4C33129D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3270"/>
    <w:rsid w:val="00015357"/>
    <w:rsid w:val="000258DA"/>
    <w:rsid w:val="00026A3C"/>
    <w:rsid w:val="00027473"/>
    <w:rsid w:val="000433B0"/>
    <w:rsid w:val="000528A6"/>
    <w:rsid w:val="000566D4"/>
    <w:rsid w:val="00057AFC"/>
    <w:rsid w:val="00063A98"/>
    <w:rsid w:val="000648F2"/>
    <w:rsid w:val="0007153A"/>
    <w:rsid w:val="000720F6"/>
    <w:rsid w:val="000878B0"/>
    <w:rsid w:val="00095EE6"/>
    <w:rsid w:val="00096328"/>
    <w:rsid w:val="000A12D3"/>
    <w:rsid w:val="000B5B1D"/>
    <w:rsid w:val="000C4CE2"/>
    <w:rsid w:val="000D7D44"/>
    <w:rsid w:val="000F6158"/>
    <w:rsid w:val="000F6509"/>
    <w:rsid w:val="001010F6"/>
    <w:rsid w:val="00102283"/>
    <w:rsid w:val="00115C8E"/>
    <w:rsid w:val="00116842"/>
    <w:rsid w:val="00132FD5"/>
    <w:rsid w:val="001339D6"/>
    <w:rsid w:val="00135E16"/>
    <w:rsid w:val="001374C6"/>
    <w:rsid w:val="001377B9"/>
    <w:rsid w:val="00152FD0"/>
    <w:rsid w:val="00153A81"/>
    <w:rsid w:val="00161E1E"/>
    <w:rsid w:val="0017109E"/>
    <w:rsid w:val="00172A27"/>
    <w:rsid w:val="001732F8"/>
    <w:rsid w:val="00180497"/>
    <w:rsid w:val="0018684E"/>
    <w:rsid w:val="001878F1"/>
    <w:rsid w:val="001A7542"/>
    <w:rsid w:val="001B1907"/>
    <w:rsid w:val="001B21C1"/>
    <w:rsid w:val="001B58A9"/>
    <w:rsid w:val="001C061C"/>
    <w:rsid w:val="001C5778"/>
    <w:rsid w:val="001D1F73"/>
    <w:rsid w:val="001D66E8"/>
    <w:rsid w:val="001F443D"/>
    <w:rsid w:val="001F7D21"/>
    <w:rsid w:val="0020072C"/>
    <w:rsid w:val="00202EDC"/>
    <w:rsid w:val="002078FE"/>
    <w:rsid w:val="00215D42"/>
    <w:rsid w:val="002163B2"/>
    <w:rsid w:val="00225297"/>
    <w:rsid w:val="00227F8A"/>
    <w:rsid w:val="002330D1"/>
    <w:rsid w:val="002419CA"/>
    <w:rsid w:val="00251171"/>
    <w:rsid w:val="0025222F"/>
    <w:rsid w:val="00253848"/>
    <w:rsid w:val="00254B68"/>
    <w:rsid w:val="00255864"/>
    <w:rsid w:val="002630E1"/>
    <w:rsid w:val="002639ED"/>
    <w:rsid w:val="002665EF"/>
    <w:rsid w:val="00274121"/>
    <w:rsid w:val="00282F35"/>
    <w:rsid w:val="002943D3"/>
    <w:rsid w:val="002E0413"/>
    <w:rsid w:val="002E7A10"/>
    <w:rsid w:val="002F1506"/>
    <w:rsid w:val="002F353A"/>
    <w:rsid w:val="002F636D"/>
    <w:rsid w:val="003041E7"/>
    <w:rsid w:val="00304697"/>
    <w:rsid w:val="00313B73"/>
    <w:rsid w:val="00316B6A"/>
    <w:rsid w:val="003211D9"/>
    <w:rsid w:val="0033713F"/>
    <w:rsid w:val="00347596"/>
    <w:rsid w:val="00364753"/>
    <w:rsid w:val="00365786"/>
    <w:rsid w:val="003727CA"/>
    <w:rsid w:val="0038006B"/>
    <w:rsid w:val="00381231"/>
    <w:rsid w:val="003A1EDC"/>
    <w:rsid w:val="003A6954"/>
    <w:rsid w:val="003B32E2"/>
    <w:rsid w:val="003B42D1"/>
    <w:rsid w:val="003C6F36"/>
    <w:rsid w:val="003D14E6"/>
    <w:rsid w:val="003D524D"/>
    <w:rsid w:val="003D7D3D"/>
    <w:rsid w:val="003F10D8"/>
    <w:rsid w:val="003F4193"/>
    <w:rsid w:val="003F77B0"/>
    <w:rsid w:val="00400638"/>
    <w:rsid w:val="00405F80"/>
    <w:rsid w:val="00416404"/>
    <w:rsid w:val="004238A1"/>
    <w:rsid w:val="004264B0"/>
    <w:rsid w:val="00445ED0"/>
    <w:rsid w:val="004466A9"/>
    <w:rsid w:val="0045514D"/>
    <w:rsid w:val="0046515E"/>
    <w:rsid w:val="00472981"/>
    <w:rsid w:val="00472CF7"/>
    <w:rsid w:val="0047436B"/>
    <w:rsid w:val="00483747"/>
    <w:rsid w:val="004902CD"/>
    <w:rsid w:val="0049271B"/>
    <w:rsid w:val="00497D95"/>
    <w:rsid w:val="004A074D"/>
    <w:rsid w:val="004A6B28"/>
    <w:rsid w:val="004A6E80"/>
    <w:rsid w:val="004B5A8A"/>
    <w:rsid w:val="004D379F"/>
    <w:rsid w:val="004D650C"/>
    <w:rsid w:val="004E110E"/>
    <w:rsid w:val="004F0040"/>
    <w:rsid w:val="004F3993"/>
    <w:rsid w:val="005018B5"/>
    <w:rsid w:val="00503B28"/>
    <w:rsid w:val="00511139"/>
    <w:rsid w:val="005155C1"/>
    <w:rsid w:val="005203B6"/>
    <w:rsid w:val="005242AD"/>
    <w:rsid w:val="005436D0"/>
    <w:rsid w:val="00544F16"/>
    <w:rsid w:val="00555B77"/>
    <w:rsid w:val="0057355D"/>
    <w:rsid w:val="00582B2F"/>
    <w:rsid w:val="00593B99"/>
    <w:rsid w:val="0059784C"/>
    <w:rsid w:val="005978C7"/>
    <w:rsid w:val="005A20E2"/>
    <w:rsid w:val="005A7D2E"/>
    <w:rsid w:val="005B57CE"/>
    <w:rsid w:val="005B5D5C"/>
    <w:rsid w:val="005B6903"/>
    <w:rsid w:val="005C35F8"/>
    <w:rsid w:val="005E02BA"/>
    <w:rsid w:val="005F3B68"/>
    <w:rsid w:val="00602685"/>
    <w:rsid w:val="00603B0A"/>
    <w:rsid w:val="00604C71"/>
    <w:rsid w:val="0060571A"/>
    <w:rsid w:val="006106E7"/>
    <w:rsid w:val="0061331C"/>
    <w:rsid w:val="006262FC"/>
    <w:rsid w:val="006366A9"/>
    <w:rsid w:val="00642804"/>
    <w:rsid w:val="0064439F"/>
    <w:rsid w:val="00646BDD"/>
    <w:rsid w:val="0065359E"/>
    <w:rsid w:val="00654F37"/>
    <w:rsid w:val="00660ACD"/>
    <w:rsid w:val="006642E7"/>
    <w:rsid w:val="006771F2"/>
    <w:rsid w:val="0068377E"/>
    <w:rsid w:val="00691AF0"/>
    <w:rsid w:val="00694F83"/>
    <w:rsid w:val="00697AF8"/>
    <w:rsid w:val="006A38D3"/>
    <w:rsid w:val="006A40AC"/>
    <w:rsid w:val="006B0432"/>
    <w:rsid w:val="006B1E29"/>
    <w:rsid w:val="006B3BF4"/>
    <w:rsid w:val="006B5826"/>
    <w:rsid w:val="006B6C0C"/>
    <w:rsid w:val="006C6E82"/>
    <w:rsid w:val="006D01DC"/>
    <w:rsid w:val="006D6CFE"/>
    <w:rsid w:val="006D76E5"/>
    <w:rsid w:val="006F253E"/>
    <w:rsid w:val="006F3A6B"/>
    <w:rsid w:val="00701A97"/>
    <w:rsid w:val="00701CDE"/>
    <w:rsid w:val="007069FF"/>
    <w:rsid w:val="0071271A"/>
    <w:rsid w:val="0071680F"/>
    <w:rsid w:val="00721A3C"/>
    <w:rsid w:val="007235DA"/>
    <w:rsid w:val="007253E1"/>
    <w:rsid w:val="00725F92"/>
    <w:rsid w:val="00734E08"/>
    <w:rsid w:val="00735CFA"/>
    <w:rsid w:val="00735FB6"/>
    <w:rsid w:val="0073618F"/>
    <w:rsid w:val="00747F36"/>
    <w:rsid w:val="007514AB"/>
    <w:rsid w:val="00754290"/>
    <w:rsid w:val="00754498"/>
    <w:rsid w:val="0075590F"/>
    <w:rsid w:val="00756484"/>
    <w:rsid w:val="00763464"/>
    <w:rsid w:val="00776833"/>
    <w:rsid w:val="00782E2F"/>
    <w:rsid w:val="0078668C"/>
    <w:rsid w:val="00790039"/>
    <w:rsid w:val="007A0FB9"/>
    <w:rsid w:val="007B14E0"/>
    <w:rsid w:val="007C57A9"/>
    <w:rsid w:val="007C6CB9"/>
    <w:rsid w:val="007D2BC0"/>
    <w:rsid w:val="007D3C9B"/>
    <w:rsid w:val="007F0142"/>
    <w:rsid w:val="007F30CB"/>
    <w:rsid w:val="007F60B3"/>
    <w:rsid w:val="008035EF"/>
    <w:rsid w:val="008062D6"/>
    <w:rsid w:val="008071CB"/>
    <w:rsid w:val="0081198C"/>
    <w:rsid w:val="008254FF"/>
    <w:rsid w:val="00830360"/>
    <w:rsid w:val="00832AC0"/>
    <w:rsid w:val="008435C9"/>
    <w:rsid w:val="008449E3"/>
    <w:rsid w:val="00855870"/>
    <w:rsid w:val="0087238E"/>
    <w:rsid w:val="00877B66"/>
    <w:rsid w:val="00887818"/>
    <w:rsid w:val="00897825"/>
    <w:rsid w:val="008A4DB6"/>
    <w:rsid w:val="008A5910"/>
    <w:rsid w:val="008B4BD6"/>
    <w:rsid w:val="008B68E8"/>
    <w:rsid w:val="008B6F5B"/>
    <w:rsid w:val="008C224B"/>
    <w:rsid w:val="008C24E6"/>
    <w:rsid w:val="008C2D1A"/>
    <w:rsid w:val="008C3298"/>
    <w:rsid w:val="008C4D9D"/>
    <w:rsid w:val="008D33E8"/>
    <w:rsid w:val="008D5C2C"/>
    <w:rsid w:val="008D6412"/>
    <w:rsid w:val="008D768F"/>
    <w:rsid w:val="008F0267"/>
    <w:rsid w:val="00900F18"/>
    <w:rsid w:val="00912E03"/>
    <w:rsid w:val="0091785A"/>
    <w:rsid w:val="009301CB"/>
    <w:rsid w:val="0093392E"/>
    <w:rsid w:val="00935084"/>
    <w:rsid w:val="00941F33"/>
    <w:rsid w:val="009445BA"/>
    <w:rsid w:val="009570DB"/>
    <w:rsid w:val="00963F33"/>
    <w:rsid w:val="009715D6"/>
    <w:rsid w:val="00971B3B"/>
    <w:rsid w:val="0098378D"/>
    <w:rsid w:val="00985409"/>
    <w:rsid w:val="00987326"/>
    <w:rsid w:val="009919D6"/>
    <w:rsid w:val="00994859"/>
    <w:rsid w:val="009A1671"/>
    <w:rsid w:val="009A66CD"/>
    <w:rsid w:val="009A7ED2"/>
    <w:rsid w:val="009B2534"/>
    <w:rsid w:val="009B5B12"/>
    <w:rsid w:val="009B7B0F"/>
    <w:rsid w:val="009C1127"/>
    <w:rsid w:val="009C7F78"/>
    <w:rsid w:val="009D0B7C"/>
    <w:rsid w:val="009E6DBB"/>
    <w:rsid w:val="009E77AC"/>
    <w:rsid w:val="009F5C67"/>
    <w:rsid w:val="009F6113"/>
    <w:rsid w:val="00A007F4"/>
    <w:rsid w:val="00A23B10"/>
    <w:rsid w:val="00A25571"/>
    <w:rsid w:val="00A25AB4"/>
    <w:rsid w:val="00A262F1"/>
    <w:rsid w:val="00A30CCF"/>
    <w:rsid w:val="00A3641B"/>
    <w:rsid w:val="00A4434C"/>
    <w:rsid w:val="00A505E5"/>
    <w:rsid w:val="00A634F6"/>
    <w:rsid w:val="00A77627"/>
    <w:rsid w:val="00AA0E52"/>
    <w:rsid w:val="00AA70F6"/>
    <w:rsid w:val="00AB32CF"/>
    <w:rsid w:val="00AB5A40"/>
    <w:rsid w:val="00AC45FA"/>
    <w:rsid w:val="00AC7BB4"/>
    <w:rsid w:val="00AC7F69"/>
    <w:rsid w:val="00B16D06"/>
    <w:rsid w:val="00B42227"/>
    <w:rsid w:val="00B54DEB"/>
    <w:rsid w:val="00B608BD"/>
    <w:rsid w:val="00B635FD"/>
    <w:rsid w:val="00B75C0D"/>
    <w:rsid w:val="00B77915"/>
    <w:rsid w:val="00B82CFC"/>
    <w:rsid w:val="00B84A94"/>
    <w:rsid w:val="00B90D34"/>
    <w:rsid w:val="00B97E05"/>
    <w:rsid w:val="00BA1605"/>
    <w:rsid w:val="00BA54F6"/>
    <w:rsid w:val="00BB67BB"/>
    <w:rsid w:val="00BC0963"/>
    <w:rsid w:val="00BC36E1"/>
    <w:rsid w:val="00BC7451"/>
    <w:rsid w:val="00BD7247"/>
    <w:rsid w:val="00BE2107"/>
    <w:rsid w:val="00BE3A85"/>
    <w:rsid w:val="00BE5771"/>
    <w:rsid w:val="00C012C4"/>
    <w:rsid w:val="00C035D2"/>
    <w:rsid w:val="00C04086"/>
    <w:rsid w:val="00C06DF6"/>
    <w:rsid w:val="00C10CA9"/>
    <w:rsid w:val="00C12561"/>
    <w:rsid w:val="00C21C58"/>
    <w:rsid w:val="00C22DFC"/>
    <w:rsid w:val="00C235CF"/>
    <w:rsid w:val="00C248D5"/>
    <w:rsid w:val="00C27962"/>
    <w:rsid w:val="00C3085F"/>
    <w:rsid w:val="00C330F9"/>
    <w:rsid w:val="00C506B4"/>
    <w:rsid w:val="00C54CCF"/>
    <w:rsid w:val="00C55CE5"/>
    <w:rsid w:val="00C721DD"/>
    <w:rsid w:val="00C80C4A"/>
    <w:rsid w:val="00C8294D"/>
    <w:rsid w:val="00C92ECE"/>
    <w:rsid w:val="00C9419A"/>
    <w:rsid w:val="00C95359"/>
    <w:rsid w:val="00CA5D74"/>
    <w:rsid w:val="00CB6A39"/>
    <w:rsid w:val="00CB6B05"/>
    <w:rsid w:val="00CB7634"/>
    <w:rsid w:val="00CB78FF"/>
    <w:rsid w:val="00CC30E7"/>
    <w:rsid w:val="00CC56C3"/>
    <w:rsid w:val="00CC6824"/>
    <w:rsid w:val="00CD4A4E"/>
    <w:rsid w:val="00D05F96"/>
    <w:rsid w:val="00D0641B"/>
    <w:rsid w:val="00D15993"/>
    <w:rsid w:val="00D21F86"/>
    <w:rsid w:val="00D25D6B"/>
    <w:rsid w:val="00D30CD2"/>
    <w:rsid w:val="00D31D16"/>
    <w:rsid w:val="00D41C2F"/>
    <w:rsid w:val="00D434B6"/>
    <w:rsid w:val="00D46F9C"/>
    <w:rsid w:val="00D51F0B"/>
    <w:rsid w:val="00D6574B"/>
    <w:rsid w:val="00D70681"/>
    <w:rsid w:val="00D82759"/>
    <w:rsid w:val="00D96A06"/>
    <w:rsid w:val="00DE0B40"/>
    <w:rsid w:val="00DE3D73"/>
    <w:rsid w:val="00DE5956"/>
    <w:rsid w:val="00DF152D"/>
    <w:rsid w:val="00DF24CF"/>
    <w:rsid w:val="00DF5FC9"/>
    <w:rsid w:val="00E104C3"/>
    <w:rsid w:val="00E116A1"/>
    <w:rsid w:val="00E13EDA"/>
    <w:rsid w:val="00E22F5A"/>
    <w:rsid w:val="00E236EE"/>
    <w:rsid w:val="00E2376B"/>
    <w:rsid w:val="00E273C3"/>
    <w:rsid w:val="00E2784A"/>
    <w:rsid w:val="00E33296"/>
    <w:rsid w:val="00E36234"/>
    <w:rsid w:val="00E40699"/>
    <w:rsid w:val="00E4143F"/>
    <w:rsid w:val="00E503CA"/>
    <w:rsid w:val="00E61428"/>
    <w:rsid w:val="00E61436"/>
    <w:rsid w:val="00E702FA"/>
    <w:rsid w:val="00E72277"/>
    <w:rsid w:val="00E73F47"/>
    <w:rsid w:val="00E748A0"/>
    <w:rsid w:val="00E776E6"/>
    <w:rsid w:val="00E80FFB"/>
    <w:rsid w:val="00EA0E43"/>
    <w:rsid w:val="00EB2569"/>
    <w:rsid w:val="00EC2BB0"/>
    <w:rsid w:val="00F01655"/>
    <w:rsid w:val="00F02112"/>
    <w:rsid w:val="00F04FBD"/>
    <w:rsid w:val="00F066C2"/>
    <w:rsid w:val="00F078B0"/>
    <w:rsid w:val="00F1678C"/>
    <w:rsid w:val="00F16B8C"/>
    <w:rsid w:val="00F27911"/>
    <w:rsid w:val="00F317DB"/>
    <w:rsid w:val="00F564FC"/>
    <w:rsid w:val="00F60D2B"/>
    <w:rsid w:val="00F6150B"/>
    <w:rsid w:val="00F63A0D"/>
    <w:rsid w:val="00F65269"/>
    <w:rsid w:val="00F654B8"/>
    <w:rsid w:val="00F65985"/>
    <w:rsid w:val="00F664D7"/>
    <w:rsid w:val="00F67A80"/>
    <w:rsid w:val="00F70E0A"/>
    <w:rsid w:val="00FA05BC"/>
    <w:rsid w:val="00FB37BD"/>
    <w:rsid w:val="00FC266A"/>
    <w:rsid w:val="00FD1A68"/>
    <w:rsid w:val="00FD4774"/>
    <w:rsid w:val="00FD7C16"/>
    <w:rsid w:val="00FE1CDA"/>
    <w:rsid w:val="00FE4037"/>
    <w:rsid w:val="00FE57BF"/>
    <w:rsid w:val="00FE74D5"/>
    <w:rsid w:val="00FF4DC1"/>
    <w:rsid w:val="00FF50B2"/>
    <w:rsid w:val="012B4701"/>
    <w:rsid w:val="01A473FF"/>
    <w:rsid w:val="01D628BE"/>
    <w:rsid w:val="02203B3A"/>
    <w:rsid w:val="0261487E"/>
    <w:rsid w:val="02CC7B09"/>
    <w:rsid w:val="03035935"/>
    <w:rsid w:val="036A7762"/>
    <w:rsid w:val="037C716B"/>
    <w:rsid w:val="038720C2"/>
    <w:rsid w:val="03930A79"/>
    <w:rsid w:val="03CA2248"/>
    <w:rsid w:val="03E219EE"/>
    <w:rsid w:val="04137DFA"/>
    <w:rsid w:val="047343F5"/>
    <w:rsid w:val="04C609C8"/>
    <w:rsid w:val="056A57F8"/>
    <w:rsid w:val="05F652DD"/>
    <w:rsid w:val="061439B5"/>
    <w:rsid w:val="066C1739"/>
    <w:rsid w:val="076C7F34"/>
    <w:rsid w:val="07F1509C"/>
    <w:rsid w:val="080261BB"/>
    <w:rsid w:val="08A70B11"/>
    <w:rsid w:val="091A424A"/>
    <w:rsid w:val="091E40AA"/>
    <w:rsid w:val="09671F72"/>
    <w:rsid w:val="0972111F"/>
    <w:rsid w:val="09BC05EC"/>
    <w:rsid w:val="09DD72C1"/>
    <w:rsid w:val="09E10052"/>
    <w:rsid w:val="09FB7366"/>
    <w:rsid w:val="0A675A94"/>
    <w:rsid w:val="0A6D7B38"/>
    <w:rsid w:val="0A7B4003"/>
    <w:rsid w:val="0B15662E"/>
    <w:rsid w:val="0BA6296F"/>
    <w:rsid w:val="0BE80A87"/>
    <w:rsid w:val="0CC65882"/>
    <w:rsid w:val="0CDA7707"/>
    <w:rsid w:val="0DB24763"/>
    <w:rsid w:val="0E4534CF"/>
    <w:rsid w:val="0E9E4764"/>
    <w:rsid w:val="0EB9334C"/>
    <w:rsid w:val="0F8B28D2"/>
    <w:rsid w:val="0FA0760F"/>
    <w:rsid w:val="0FBF79A8"/>
    <w:rsid w:val="10030B85"/>
    <w:rsid w:val="101051ED"/>
    <w:rsid w:val="10190546"/>
    <w:rsid w:val="113740A5"/>
    <w:rsid w:val="12527D3F"/>
    <w:rsid w:val="12AA1929"/>
    <w:rsid w:val="12AB2A46"/>
    <w:rsid w:val="13170AE0"/>
    <w:rsid w:val="138403CC"/>
    <w:rsid w:val="1384217A"/>
    <w:rsid w:val="14245C02"/>
    <w:rsid w:val="14642FB3"/>
    <w:rsid w:val="14E629C1"/>
    <w:rsid w:val="150D0E85"/>
    <w:rsid w:val="155D48B9"/>
    <w:rsid w:val="160E6673"/>
    <w:rsid w:val="1708666A"/>
    <w:rsid w:val="17D42FA4"/>
    <w:rsid w:val="19037FE5"/>
    <w:rsid w:val="19900A12"/>
    <w:rsid w:val="19C24C2F"/>
    <w:rsid w:val="19F33BB6"/>
    <w:rsid w:val="1A310B82"/>
    <w:rsid w:val="1A8D7508"/>
    <w:rsid w:val="1AC437A4"/>
    <w:rsid w:val="1B5A59F0"/>
    <w:rsid w:val="1BF105C9"/>
    <w:rsid w:val="1CB11B06"/>
    <w:rsid w:val="1CDD1FCF"/>
    <w:rsid w:val="1CFA16FF"/>
    <w:rsid w:val="1D2422D8"/>
    <w:rsid w:val="1D5202A2"/>
    <w:rsid w:val="1D532BBD"/>
    <w:rsid w:val="1DA13AFA"/>
    <w:rsid w:val="1E000793"/>
    <w:rsid w:val="1E370533"/>
    <w:rsid w:val="1EE95587"/>
    <w:rsid w:val="1F182311"/>
    <w:rsid w:val="1F503520"/>
    <w:rsid w:val="1F5844BB"/>
    <w:rsid w:val="1F69491A"/>
    <w:rsid w:val="1F980D5B"/>
    <w:rsid w:val="1FA3063F"/>
    <w:rsid w:val="1FAD3F88"/>
    <w:rsid w:val="20897AC0"/>
    <w:rsid w:val="208D2876"/>
    <w:rsid w:val="20F46465"/>
    <w:rsid w:val="210B63F6"/>
    <w:rsid w:val="211D3DA7"/>
    <w:rsid w:val="2129610F"/>
    <w:rsid w:val="21747CD2"/>
    <w:rsid w:val="21FB3F4F"/>
    <w:rsid w:val="220821C8"/>
    <w:rsid w:val="22291FCF"/>
    <w:rsid w:val="22AB6B3F"/>
    <w:rsid w:val="23937AC8"/>
    <w:rsid w:val="23E00F22"/>
    <w:rsid w:val="23E634F2"/>
    <w:rsid w:val="24B0361B"/>
    <w:rsid w:val="25203CCD"/>
    <w:rsid w:val="252D7F94"/>
    <w:rsid w:val="25675458"/>
    <w:rsid w:val="25FD42CD"/>
    <w:rsid w:val="26154EB4"/>
    <w:rsid w:val="26661BB3"/>
    <w:rsid w:val="26696E6A"/>
    <w:rsid w:val="267F67D1"/>
    <w:rsid w:val="26C012C4"/>
    <w:rsid w:val="28420146"/>
    <w:rsid w:val="299B7DC6"/>
    <w:rsid w:val="2A4E308A"/>
    <w:rsid w:val="2B6A7A50"/>
    <w:rsid w:val="2B822FEC"/>
    <w:rsid w:val="2BDA654F"/>
    <w:rsid w:val="2CA15303"/>
    <w:rsid w:val="2D8C63A3"/>
    <w:rsid w:val="2E7B3D35"/>
    <w:rsid w:val="2EA927A9"/>
    <w:rsid w:val="2EAB0AAB"/>
    <w:rsid w:val="2F274D9B"/>
    <w:rsid w:val="2F6649D2"/>
    <w:rsid w:val="2F991CA5"/>
    <w:rsid w:val="30DD2A72"/>
    <w:rsid w:val="315076E8"/>
    <w:rsid w:val="3227669B"/>
    <w:rsid w:val="32854830"/>
    <w:rsid w:val="34930017"/>
    <w:rsid w:val="35244AF8"/>
    <w:rsid w:val="358D0FE4"/>
    <w:rsid w:val="35D7578A"/>
    <w:rsid w:val="35DC59EE"/>
    <w:rsid w:val="35E674FA"/>
    <w:rsid w:val="36405F7D"/>
    <w:rsid w:val="3652180C"/>
    <w:rsid w:val="36A007CA"/>
    <w:rsid w:val="378659C1"/>
    <w:rsid w:val="37922808"/>
    <w:rsid w:val="37EB1F18"/>
    <w:rsid w:val="37EFE4A2"/>
    <w:rsid w:val="37FD7E3D"/>
    <w:rsid w:val="38363929"/>
    <w:rsid w:val="38BD1B07"/>
    <w:rsid w:val="38F60B75"/>
    <w:rsid w:val="39380748"/>
    <w:rsid w:val="39FE4185"/>
    <w:rsid w:val="3A2B2AA0"/>
    <w:rsid w:val="3A396F6B"/>
    <w:rsid w:val="3AC67785"/>
    <w:rsid w:val="3AD55680"/>
    <w:rsid w:val="3B874CE3"/>
    <w:rsid w:val="3BE63813"/>
    <w:rsid w:val="3C3519B4"/>
    <w:rsid w:val="3DC6320C"/>
    <w:rsid w:val="3DFF798A"/>
    <w:rsid w:val="3EFB0C93"/>
    <w:rsid w:val="3F196A3A"/>
    <w:rsid w:val="3F5D7BA0"/>
    <w:rsid w:val="3F7B000C"/>
    <w:rsid w:val="3FBDB402"/>
    <w:rsid w:val="3FBDE036"/>
    <w:rsid w:val="3FBF4DC9"/>
    <w:rsid w:val="3FF3309B"/>
    <w:rsid w:val="3FF54374"/>
    <w:rsid w:val="403D52DB"/>
    <w:rsid w:val="404B6D6F"/>
    <w:rsid w:val="41B45A71"/>
    <w:rsid w:val="421B33FA"/>
    <w:rsid w:val="42E514F0"/>
    <w:rsid w:val="432205D2"/>
    <w:rsid w:val="436A63E7"/>
    <w:rsid w:val="437E6337"/>
    <w:rsid w:val="44537B7B"/>
    <w:rsid w:val="44B32884"/>
    <w:rsid w:val="44E879B5"/>
    <w:rsid w:val="45B846D6"/>
    <w:rsid w:val="46813FDD"/>
    <w:rsid w:val="46F3437B"/>
    <w:rsid w:val="47617B01"/>
    <w:rsid w:val="47F008D6"/>
    <w:rsid w:val="47FDC3CE"/>
    <w:rsid w:val="484F02A2"/>
    <w:rsid w:val="488C4C47"/>
    <w:rsid w:val="48A44149"/>
    <w:rsid w:val="48A9177E"/>
    <w:rsid w:val="48C46704"/>
    <w:rsid w:val="492D2391"/>
    <w:rsid w:val="49D62A28"/>
    <w:rsid w:val="49E8450A"/>
    <w:rsid w:val="4A4A0D21"/>
    <w:rsid w:val="4A6E0CD3"/>
    <w:rsid w:val="4AD60806"/>
    <w:rsid w:val="4B683F6F"/>
    <w:rsid w:val="4BF74ED8"/>
    <w:rsid w:val="4BFC429C"/>
    <w:rsid w:val="4C013FBC"/>
    <w:rsid w:val="4C5FC75B"/>
    <w:rsid w:val="4C7402D7"/>
    <w:rsid w:val="4C8B22A5"/>
    <w:rsid w:val="4D1F506A"/>
    <w:rsid w:val="4F0F2539"/>
    <w:rsid w:val="4F1B7FA7"/>
    <w:rsid w:val="4F55619D"/>
    <w:rsid w:val="4F7C497F"/>
    <w:rsid w:val="4FA7451F"/>
    <w:rsid w:val="4FE039D8"/>
    <w:rsid w:val="50264753"/>
    <w:rsid w:val="503A176D"/>
    <w:rsid w:val="50DF4CBB"/>
    <w:rsid w:val="51581605"/>
    <w:rsid w:val="51C26265"/>
    <w:rsid w:val="51FD48CA"/>
    <w:rsid w:val="528A2602"/>
    <w:rsid w:val="529A036B"/>
    <w:rsid w:val="529B7BC9"/>
    <w:rsid w:val="53255590"/>
    <w:rsid w:val="53853260"/>
    <w:rsid w:val="53AE40CE"/>
    <w:rsid w:val="53D77AC9"/>
    <w:rsid w:val="53E06252"/>
    <w:rsid w:val="557B40F7"/>
    <w:rsid w:val="55F10BEA"/>
    <w:rsid w:val="57415259"/>
    <w:rsid w:val="57995095"/>
    <w:rsid w:val="58D05804"/>
    <w:rsid w:val="5A335695"/>
    <w:rsid w:val="5AB77ABD"/>
    <w:rsid w:val="5B0847CE"/>
    <w:rsid w:val="5C2B2A4F"/>
    <w:rsid w:val="5CC63083"/>
    <w:rsid w:val="5CC83CEB"/>
    <w:rsid w:val="5CEB76B4"/>
    <w:rsid w:val="5D212727"/>
    <w:rsid w:val="5D464BE3"/>
    <w:rsid w:val="5DE03A1E"/>
    <w:rsid w:val="5DE30E18"/>
    <w:rsid w:val="5EFC8863"/>
    <w:rsid w:val="5F3D2D8C"/>
    <w:rsid w:val="5F7F2DC3"/>
    <w:rsid w:val="5FEFFE4E"/>
    <w:rsid w:val="5FF39DF9"/>
    <w:rsid w:val="603262EF"/>
    <w:rsid w:val="60B13450"/>
    <w:rsid w:val="60FE2644"/>
    <w:rsid w:val="621FCB9C"/>
    <w:rsid w:val="625E7607"/>
    <w:rsid w:val="63021D41"/>
    <w:rsid w:val="63057A83"/>
    <w:rsid w:val="63AD76F5"/>
    <w:rsid w:val="642A7E72"/>
    <w:rsid w:val="64671D6D"/>
    <w:rsid w:val="64CA0FF6"/>
    <w:rsid w:val="64F102BF"/>
    <w:rsid w:val="64F551FD"/>
    <w:rsid w:val="654F5217"/>
    <w:rsid w:val="657F3B1C"/>
    <w:rsid w:val="65BF044E"/>
    <w:rsid w:val="660D1128"/>
    <w:rsid w:val="66553BDD"/>
    <w:rsid w:val="665925BF"/>
    <w:rsid w:val="67281F92"/>
    <w:rsid w:val="67397F49"/>
    <w:rsid w:val="67670D0C"/>
    <w:rsid w:val="677671A1"/>
    <w:rsid w:val="67F65BEC"/>
    <w:rsid w:val="691A4E3E"/>
    <w:rsid w:val="691C78D4"/>
    <w:rsid w:val="69F24095"/>
    <w:rsid w:val="6A3A6264"/>
    <w:rsid w:val="6A4315BC"/>
    <w:rsid w:val="6A57468A"/>
    <w:rsid w:val="6A8F27B0"/>
    <w:rsid w:val="6AB875E3"/>
    <w:rsid w:val="6ACA6966"/>
    <w:rsid w:val="6AF6662F"/>
    <w:rsid w:val="6B596BBE"/>
    <w:rsid w:val="6C651125"/>
    <w:rsid w:val="6CD429A0"/>
    <w:rsid w:val="6D120AFE"/>
    <w:rsid w:val="6DB876C5"/>
    <w:rsid w:val="6DD6FFD8"/>
    <w:rsid w:val="6E2D7E8C"/>
    <w:rsid w:val="6E712470"/>
    <w:rsid w:val="6E7B6E4B"/>
    <w:rsid w:val="6E9A5523"/>
    <w:rsid w:val="6EC60143"/>
    <w:rsid w:val="6F024E2E"/>
    <w:rsid w:val="6F293585"/>
    <w:rsid w:val="6F2A4AF9"/>
    <w:rsid w:val="6FA348AB"/>
    <w:rsid w:val="6FD06242"/>
    <w:rsid w:val="701513F0"/>
    <w:rsid w:val="7060279C"/>
    <w:rsid w:val="70BF74C3"/>
    <w:rsid w:val="71C34D91"/>
    <w:rsid w:val="722B4B4E"/>
    <w:rsid w:val="722E0038"/>
    <w:rsid w:val="72E5624E"/>
    <w:rsid w:val="72EE0006"/>
    <w:rsid w:val="73987733"/>
    <w:rsid w:val="73B452D9"/>
    <w:rsid w:val="743C0E2B"/>
    <w:rsid w:val="74BC04A6"/>
    <w:rsid w:val="752244C4"/>
    <w:rsid w:val="75285696"/>
    <w:rsid w:val="75287D2D"/>
    <w:rsid w:val="75822CF1"/>
    <w:rsid w:val="760D0CD1"/>
    <w:rsid w:val="76781F92"/>
    <w:rsid w:val="770045CD"/>
    <w:rsid w:val="77170059"/>
    <w:rsid w:val="77212C85"/>
    <w:rsid w:val="77534E09"/>
    <w:rsid w:val="775F515F"/>
    <w:rsid w:val="779C230C"/>
    <w:rsid w:val="78F767F5"/>
    <w:rsid w:val="796B2DFE"/>
    <w:rsid w:val="7AB67B89"/>
    <w:rsid w:val="7AFF6891"/>
    <w:rsid w:val="7B547650"/>
    <w:rsid w:val="7BFDEF97"/>
    <w:rsid w:val="7CE26037"/>
    <w:rsid w:val="7D605990"/>
    <w:rsid w:val="7D7EDEF3"/>
    <w:rsid w:val="7D8C038C"/>
    <w:rsid w:val="7DAE00ED"/>
    <w:rsid w:val="7DB9530F"/>
    <w:rsid w:val="7DD16A88"/>
    <w:rsid w:val="7DD30D3F"/>
    <w:rsid w:val="7DD40A53"/>
    <w:rsid w:val="7E1153D8"/>
    <w:rsid w:val="7E6B7C1A"/>
    <w:rsid w:val="7EAB7A4E"/>
    <w:rsid w:val="7F02218E"/>
    <w:rsid w:val="7F2A1125"/>
    <w:rsid w:val="7F4F4108"/>
    <w:rsid w:val="7F5576EC"/>
    <w:rsid w:val="7F6851CA"/>
    <w:rsid w:val="7FA2808B"/>
    <w:rsid w:val="7FDE8104"/>
    <w:rsid w:val="7FFF2A99"/>
    <w:rsid w:val="977F908B"/>
    <w:rsid w:val="9FAC3797"/>
    <w:rsid w:val="9FFF68DF"/>
    <w:rsid w:val="B7CFB273"/>
    <w:rsid w:val="BF7F01BF"/>
    <w:rsid w:val="C77EEA2F"/>
    <w:rsid w:val="CFFA9BEF"/>
    <w:rsid w:val="D6EC3053"/>
    <w:rsid w:val="DFBD66FD"/>
    <w:rsid w:val="DFDBE67B"/>
    <w:rsid w:val="DFFE6CF7"/>
    <w:rsid w:val="DFFF6725"/>
    <w:rsid w:val="EBFDB476"/>
    <w:rsid w:val="ECEEA721"/>
    <w:rsid w:val="EF7FDDFF"/>
    <w:rsid w:val="EFF9420B"/>
    <w:rsid w:val="F47FA7FD"/>
    <w:rsid w:val="F557AB4B"/>
    <w:rsid w:val="F5A7D12F"/>
    <w:rsid w:val="F8FCC963"/>
    <w:rsid w:val="F9F5FAF0"/>
    <w:rsid w:val="FAFD2FFE"/>
    <w:rsid w:val="FDE3E049"/>
    <w:rsid w:val="FEFF2194"/>
    <w:rsid w:val="FFBAF80B"/>
    <w:rsid w:val="FFDF8FA6"/>
    <w:rsid w:val="FFEFFB37"/>
    <w:rsid w:val="FFFEF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  <w:lang w:eastAsia="zh-CN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3"/>
    <w:semiHidden/>
    <w:unhideWhenUsed/>
    <w:qFormat/>
    <w:uiPriority w:val="99"/>
  </w:style>
  <w:style w:type="paragraph" w:styleId="4">
    <w:name w:val="Balloon Text"/>
    <w:basedOn w:val="1"/>
    <w:link w:val="25"/>
    <w:qFormat/>
    <w:uiPriority w:val="0"/>
    <w:rPr>
      <w:sz w:val="18"/>
      <w:szCs w:val="18"/>
    </w:rPr>
  </w:style>
  <w:style w:type="paragraph" w:styleId="5">
    <w:name w:val="footer"/>
    <w:basedOn w:val="1"/>
    <w:link w:val="2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hint="eastAsia" w:ascii="宋体" w:hAnsi="宋体" w:eastAsia="宋体" w:cs="Times New Roman"/>
      <w:sz w:val="24"/>
      <w:szCs w:val="24"/>
      <w:lang w:eastAsia="zh-CN"/>
    </w:rPr>
  </w:style>
  <w:style w:type="paragraph" w:styleId="8">
    <w:name w:val="Normal (Web)"/>
    <w:basedOn w:val="1"/>
    <w:qFormat/>
    <w:uiPriority w:val="99"/>
    <w:pPr>
      <w:widowControl w:val="0"/>
      <w:kinsoku/>
      <w:autoSpaceDE/>
      <w:autoSpaceDN/>
      <w:adjustRightInd/>
      <w:snapToGrid/>
      <w:jc w:val="both"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24"/>
      <w:szCs w:val="24"/>
      <w:lang w:eastAsia="zh-CN"/>
    </w:rPr>
  </w:style>
  <w:style w:type="paragraph" w:styleId="9">
    <w:name w:val="annotation subject"/>
    <w:basedOn w:val="3"/>
    <w:next w:val="3"/>
    <w:link w:val="24"/>
    <w:qFormat/>
    <w:uiPriority w:val="0"/>
    <w:rPr>
      <w:b/>
      <w:bCs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FollowedHyperlink"/>
    <w:basedOn w:val="12"/>
    <w:qFormat/>
    <w:uiPriority w:val="0"/>
    <w:rPr>
      <w:color w:val="800080"/>
      <w:u w:val="single"/>
    </w:rPr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character" w:styleId="16">
    <w:name w:val="annotation reference"/>
    <w:basedOn w:val="12"/>
    <w:qFormat/>
    <w:uiPriority w:val="0"/>
    <w:rPr>
      <w:sz w:val="21"/>
      <w:szCs w:val="21"/>
    </w:rPr>
  </w:style>
  <w:style w:type="table" w:customStyle="1" w:styleId="1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页眉 字符"/>
    <w:basedOn w:val="12"/>
    <w:link w:val="6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21">
    <w:name w:val="页脚 字符"/>
    <w:basedOn w:val="12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paragraph" w:customStyle="1" w:styleId="22">
    <w:name w:val="修订1"/>
    <w:hidden/>
    <w:semiHidden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customStyle="1" w:styleId="23">
    <w:name w:val="批注文字 字符"/>
    <w:basedOn w:val="12"/>
    <w:link w:val="3"/>
    <w:semiHidden/>
    <w:qFormat/>
    <w:uiPriority w:val="99"/>
    <w:rPr>
      <w:rFonts w:ascii="Arial" w:hAnsi="Arial" w:eastAsia="Arial" w:cs="Arial"/>
      <w:snapToGrid w:val="0"/>
      <w:color w:val="000000"/>
      <w:sz w:val="21"/>
      <w:szCs w:val="21"/>
      <w:lang w:eastAsia="en-US"/>
    </w:rPr>
  </w:style>
  <w:style w:type="character" w:customStyle="1" w:styleId="24">
    <w:name w:val="批注主题 字符"/>
    <w:basedOn w:val="23"/>
    <w:link w:val="9"/>
    <w:qFormat/>
    <w:uiPriority w:val="0"/>
    <w:rPr>
      <w:rFonts w:ascii="Arial" w:hAnsi="Arial" w:eastAsia="Arial" w:cs="Arial"/>
      <w:b/>
      <w:bCs/>
      <w:snapToGrid w:val="0"/>
      <w:color w:val="000000"/>
      <w:sz w:val="21"/>
      <w:szCs w:val="21"/>
      <w:lang w:eastAsia="en-US"/>
    </w:rPr>
  </w:style>
  <w:style w:type="character" w:customStyle="1" w:styleId="25">
    <w:name w:val="批注框文本 字符"/>
    <w:basedOn w:val="12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paragraph" w:customStyle="1" w:styleId="26">
    <w:name w:val="修订2"/>
    <w:hidden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customStyle="1" w:styleId="27">
    <w:name w:val="修订3"/>
    <w:hidden/>
    <w:semiHidden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customStyle="1" w:styleId="28">
    <w:name w:val="15"/>
    <w:basedOn w:val="12"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29">
    <w:name w:val="10"/>
    <w:basedOn w:val="12"/>
    <w:qFormat/>
    <w:uiPriority w:val="0"/>
    <w:rPr>
      <w:rFonts w:hint="default" w:ascii="Times New Roman" w:hAnsi="Times New Roman" w:cs="Times New Roman"/>
    </w:rPr>
  </w:style>
  <w:style w:type="paragraph" w:customStyle="1" w:styleId="30">
    <w:name w:val="Revision"/>
    <w:hidden/>
    <w:unhideWhenUsed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customStyle="1" w:styleId="31">
    <w:name w:val="Unresolved Mention"/>
    <w:basedOn w:val="1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E4720B19-EEC4-43BE-8B41-AA0BAD1377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486</Words>
  <Characters>2776</Characters>
  <Lines>23</Lines>
  <Paragraphs>6</Paragraphs>
  <TotalTime>13</TotalTime>
  <ScaleCrop>false</ScaleCrop>
  <LinksUpToDate>false</LinksUpToDate>
  <CharactersWithSpaces>3256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2025-05-04T15:42:00Z</dcterms:created>
  <dc:creator>Data</dc:creator>
  <cp:lastModifiedBy>王璐</cp:lastModifiedBy>
  <dcterms:modified xsi:type="dcterms:W3CDTF">2026-09-29T15:17:27Z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2024-08-12T09:26:14Z</vt:filetime>
  </property>
  <property fmtid="{D5CDD505-2E9C-101B-9397-08002B2CF9AE}" pid="4" name="KSOProductBuildVer">
    <vt:lpwstr>2052-12.1.26046.26046</vt:lpwstr>
  </property>
  <property fmtid="{D5CDD505-2E9C-101B-9397-08002B2CF9AE}" pid="5" name="ICV">
    <vt:lpwstr>8B4ED578141901680766BB6A3FD65A71_43</vt:lpwstr>
  </property>
  <property fmtid="{D5CDD505-2E9C-101B-9397-08002B2CF9AE}" pid="6" name="KSOTemplateDocerSaveRecord">
    <vt:lpwstr>eyJoZGlkIjoiZjVhNzZhN2NmNmE4NDc3MDlkNzBlNDA0NmIxYTIxMmYiLCJ1c2VySWQiOiIyNjA0NjA5MDEifQ==</vt:lpwstr>
  </property>
</Properties>
</file>