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r>
        <w:rPr>
          <w:rFonts w:hint="eastAsia"/>
        </w:rPr>
        <w:t>重庆望变电气（集团）股份有限公司</w:t>
      </w:r>
    </w:p>
    <w:p>
      <w:pPr>
        <w:pStyle w:val="2"/>
        <w:jc w:val="center"/>
      </w:pPr>
      <w:r>
        <w:rPr>
          <w:rFonts w:hint="eastAsia"/>
        </w:rPr>
        <w:t>投资者关系活动记录表</w:t>
      </w:r>
    </w:p>
    <w:tbl>
      <w:tblPr>
        <w:tblStyle w:val="13"/>
        <w:tblW w:w="84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2"/>
        <w:gridCol w:w="3637"/>
        <w:gridCol w:w="3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8" w:hRule="atLeast"/>
          <w:jc w:val="center"/>
        </w:trPr>
        <w:tc>
          <w:tcPr>
            <w:tcW w:w="1792" w:type="dxa"/>
            <w:tcBorders>
              <w:right w:val="single" w:color="auto" w:sz="4" w:space="0"/>
            </w:tcBorders>
          </w:tcPr>
          <w:p>
            <w:pPr>
              <w:spacing w:line="360" w:lineRule="auto"/>
              <w:jc w:val="left"/>
              <w:rPr>
                <w:b/>
                <w:bCs/>
                <w:sz w:val="24"/>
                <w:szCs w:val="32"/>
              </w:rPr>
            </w:pPr>
          </w:p>
          <w:p>
            <w:pPr>
              <w:spacing w:line="360" w:lineRule="auto"/>
              <w:jc w:val="left"/>
              <w:rPr>
                <w:b/>
                <w:bCs/>
                <w:sz w:val="24"/>
                <w:szCs w:val="32"/>
              </w:rPr>
            </w:pPr>
          </w:p>
          <w:p>
            <w:pPr>
              <w:spacing w:line="360" w:lineRule="auto"/>
              <w:jc w:val="left"/>
              <w:rPr>
                <w:b/>
                <w:bCs/>
                <w:sz w:val="24"/>
                <w:szCs w:val="32"/>
              </w:rPr>
            </w:pPr>
          </w:p>
          <w:p>
            <w:pPr>
              <w:spacing w:line="360" w:lineRule="auto"/>
              <w:jc w:val="left"/>
              <w:rPr>
                <w:b/>
                <w:bCs/>
                <w:sz w:val="24"/>
                <w:szCs w:val="32"/>
              </w:rPr>
            </w:pPr>
            <w:r>
              <w:rPr>
                <w:rFonts w:hint="eastAsia" w:ascii="仿宋" w:hAnsi="仿宋" w:eastAsia="仿宋" w:cs="仿宋"/>
                <w:b/>
                <w:bCs/>
                <w:spacing w:val="-2"/>
                <w:sz w:val="28"/>
                <w:szCs w:val="28"/>
              </w:rPr>
              <w:t>投资者关系活动类别</w:t>
            </w:r>
          </w:p>
        </w:tc>
        <w:tc>
          <w:tcPr>
            <w:tcW w:w="3637" w:type="dxa"/>
            <w:tcBorders>
              <w:top w:val="single" w:color="auto" w:sz="4" w:space="0"/>
              <w:left w:val="single" w:color="auto" w:sz="4" w:space="0"/>
              <w:bottom w:val="single" w:color="auto" w:sz="4" w:space="0"/>
              <w:right w:val="nil"/>
            </w:tcBorders>
          </w:tcPr>
          <w:p>
            <w:pPr>
              <w:spacing w:before="57" w:line="360" w:lineRule="auto"/>
              <w:jc w:val="left"/>
              <w:rPr>
                <w:rFonts w:hint="eastAsia" w:ascii="仿宋" w:hAnsi="仿宋" w:eastAsia="仿宋" w:cs="仿宋"/>
                <w:sz w:val="28"/>
                <w:szCs w:val="28"/>
              </w:rPr>
            </w:pPr>
            <w:r>
              <w:rPr>
                <w:rFonts w:hint="eastAsia" w:ascii="仿宋" w:hAnsi="仿宋" w:eastAsia="仿宋" w:cs="仿宋"/>
                <w:spacing w:val="5"/>
                <w:sz w:val="28"/>
                <w:szCs w:val="28"/>
              </w:rPr>
              <w:sym w:font="Wingdings 2" w:char="00A3"/>
            </w:r>
            <w:r>
              <w:rPr>
                <w:rFonts w:hint="eastAsia" w:ascii="仿宋" w:hAnsi="仿宋" w:eastAsia="仿宋" w:cs="仿宋"/>
                <w:spacing w:val="6"/>
                <w:position w:val="7"/>
                <w:sz w:val="28"/>
                <w:szCs w:val="28"/>
              </w:rPr>
              <w:t>特定对象调</w:t>
            </w:r>
            <w:r>
              <w:rPr>
                <w:rFonts w:hint="eastAsia" w:ascii="仿宋" w:hAnsi="仿宋" w:eastAsia="仿宋" w:cs="仿宋"/>
                <w:spacing w:val="5"/>
                <w:position w:val="7"/>
                <w:sz w:val="28"/>
                <w:szCs w:val="28"/>
              </w:rPr>
              <w:t>研</w:t>
            </w:r>
          </w:p>
          <w:p>
            <w:pPr>
              <w:spacing w:line="360" w:lineRule="auto"/>
              <w:jc w:val="left"/>
              <w:rPr>
                <w:rFonts w:hint="eastAsia" w:ascii="仿宋" w:hAnsi="仿宋" w:eastAsia="仿宋" w:cs="仿宋"/>
                <w:sz w:val="28"/>
                <w:szCs w:val="28"/>
              </w:rPr>
            </w:pPr>
            <w:r>
              <w:rPr>
                <w:rFonts w:hint="eastAsia" w:ascii="仿宋" w:hAnsi="仿宋" w:eastAsia="仿宋" w:cs="仿宋"/>
                <w:spacing w:val="5"/>
                <w:sz w:val="28"/>
                <w:szCs w:val="28"/>
              </w:rPr>
              <w:sym w:font="Wingdings 2" w:char="00A3"/>
            </w:r>
            <w:r>
              <w:rPr>
                <w:rFonts w:hint="eastAsia" w:ascii="仿宋" w:hAnsi="仿宋" w:eastAsia="仿宋" w:cs="仿宋"/>
                <w:spacing w:val="4"/>
                <w:sz w:val="28"/>
                <w:szCs w:val="28"/>
              </w:rPr>
              <w:t>媒体采访</w:t>
            </w:r>
          </w:p>
          <w:p>
            <w:pPr>
              <w:spacing w:before="66" w:line="360" w:lineRule="auto"/>
              <w:jc w:val="left"/>
              <w:rPr>
                <w:rFonts w:hint="eastAsia" w:ascii="仿宋" w:hAnsi="仿宋" w:eastAsia="仿宋" w:cs="仿宋"/>
                <w:sz w:val="28"/>
                <w:szCs w:val="28"/>
              </w:rPr>
            </w:pPr>
            <w:r>
              <w:rPr>
                <w:rFonts w:hint="eastAsia" w:ascii="仿宋" w:hAnsi="仿宋" w:eastAsia="仿宋" w:cs="仿宋"/>
                <w:spacing w:val="5"/>
                <w:sz w:val="28"/>
                <w:szCs w:val="28"/>
              </w:rPr>
              <w:sym w:font="Wingdings 2" w:char="00A3"/>
            </w:r>
            <w:r>
              <w:rPr>
                <w:rFonts w:hint="eastAsia" w:ascii="仿宋" w:hAnsi="仿宋" w:eastAsia="仿宋" w:cs="仿宋"/>
                <w:spacing w:val="5"/>
                <w:sz w:val="28"/>
                <w:szCs w:val="28"/>
              </w:rPr>
              <w:t>新闻发布会</w:t>
            </w:r>
          </w:p>
          <w:p>
            <w:pPr>
              <w:spacing w:before="69" w:line="360" w:lineRule="auto"/>
              <w:jc w:val="left"/>
              <w:rPr>
                <w:rFonts w:hint="eastAsia" w:ascii="仿宋" w:hAnsi="仿宋" w:eastAsia="仿宋" w:cs="仿宋"/>
                <w:sz w:val="28"/>
                <w:szCs w:val="28"/>
              </w:rPr>
            </w:pPr>
            <w:r>
              <w:rPr>
                <w:rFonts w:hint="eastAsia" w:ascii="仿宋" w:hAnsi="仿宋" w:eastAsia="仿宋" w:cs="仿宋"/>
                <w:spacing w:val="5"/>
                <w:sz w:val="28"/>
                <w:szCs w:val="28"/>
              </w:rPr>
              <w:sym w:font="Wingdings 2" w:char="0052"/>
            </w:r>
            <w:r>
              <w:rPr>
                <w:rFonts w:hint="eastAsia" w:ascii="仿宋" w:hAnsi="仿宋" w:eastAsia="仿宋" w:cs="仿宋"/>
                <w:spacing w:val="4"/>
                <w:sz w:val="28"/>
                <w:szCs w:val="28"/>
              </w:rPr>
              <w:t>现场参观</w:t>
            </w:r>
          </w:p>
          <w:p>
            <w:pPr>
              <w:spacing w:before="69" w:line="360" w:lineRule="auto"/>
              <w:jc w:val="left"/>
              <w:rPr>
                <w:rFonts w:eastAsia="仿宋"/>
              </w:rPr>
            </w:pPr>
            <w:r>
              <w:rPr>
                <w:rFonts w:hint="eastAsia" w:ascii="仿宋" w:hAnsi="仿宋" w:eastAsia="仿宋" w:cs="仿宋"/>
                <w:spacing w:val="5"/>
                <w:sz w:val="28"/>
                <w:szCs w:val="28"/>
              </w:rPr>
              <w:sym w:font="Wingdings 2" w:char="0052"/>
            </w:r>
            <w:r>
              <w:rPr>
                <w:rFonts w:hint="eastAsia" w:ascii="仿宋" w:hAnsi="仿宋" w:eastAsia="仿宋" w:cs="仿宋"/>
                <w:spacing w:val="4"/>
                <w:sz w:val="28"/>
                <w:szCs w:val="28"/>
              </w:rPr>
              <w:t>其他</w:t>
            </w:r>
          </w:p>
        </w:tc>
        <w:tc>
          <w:tcPr>
            <w:tcW w:w="3025" w:type="dxa"/>
            <w:tcBorders>
              <w:top w:val="single" w:color="auto" w:sz="4" w:space="0"/>
              <w:left w:val="nil"/>
              <w:bottom w:val="single" w:color="auto" w:sz="4" w:space="0"/>
              <w:right w:val="single" w:color="auto" w:sz="4" w:space="0"/>
            </w:tcBorders>
          </w:tcPr>
          <w:p>
            <w:pPr>
              <w:spacing w:before="57" w:line="360" w:lineRule="auto"/>
              <w:jc w:val="left"/>
              <w:rPr>
                <w:rFonts w:hint="eastAsia" w:ascii="仿宋" w:hAnsi="仿宋" w:eastAsia="仿宋" w:cs="仿宋"/>
                <w:sz w:val="28"/>
                <w:szCs w:val="28"/>
              </w:rPr>
            </w:pPr>
            <w:r>
              <w:rPr>
                <w:rFonts w:hint="eastAsia" w:ascii="仿宋" w:hAnsi="仿宋" w:eastAsia="仿宋" w:cs="仿宋"/>
                <w:spacing w:val="5"/>
                <w:sz w:val="28"/>
                <w:szCs w:val="28"/>
              </w:rPr>
              <w:sym w:font="Wingdings 2" w:char="00A3"/>
            </w:r>
            <w:r>
              <w:rPr>
                <w:rFonts w:hint="eastAsia" w:ascii="仿宋" w:hAnsi="仿宋" w:eastAsia="仿宋" w:cs="仿宋"/>
                <w:spacing w:val="5"/>
                <w:position w:val="7"/>
                <w:sz w:val="28"/>
                <w:szCs w:val="28"/>
              </w:rPr>
              <w:t>分析师会议</w:t>
            </w:r>
          </w:p>
          <w:p>
            <w:pPr>
              <w:spacing w:line="360" w:lineRule="auto"/>
              <w:jc w:val="left"/>
              <w:rPr>
                <w:rFonts w:hint="eastAsia" w:ascii="仿宋" w:hAnsi="仿宋" w:eastAsia="仿宋" w:cs="仿宋"/>
                <w:sz w:val="28"/>
                <w:szCs w:val="28"/>
              </w:rPr>
            </w:pPr>
            <w:r>
              <w:rPr>
                <w:rFonts w:hint="eastAsia" w:ascii="仿宋" w:hAnsi="仿宋" w:eastAsia="仿宋" w:cs="仿宋"/>
                <w:spacing w:val="5"/>
                <w:sz w:val="28"/>
                <w:szCs w:val="28"/>
              </w:rPr>
              <w:sym w:font="Wingdings 2" w:char="00A3"/>
            </w:r>
            <w:r>
              <w:rPr>
                <w:rFonts w:hint="eastAsia" w:ascii="仿宋" w:hAnsi="仿宋" w:eastAsia="仿宋" w:cs="仿宋"/>
                <w:spacing w:val="5"/>
                <w:sz w:val="28"/>
                <w:szCs w:val="28"/>
              </w:rPr>
              <w:t>业绩说明会</w:t>
            </w:r>
          </w:p>
          <w:p>
            <w:pPr>
              <w:spacing w:before="69" w:line="360" w:lineRule="auto"/>
              <w:jc w:val="left"/>
              <w:rPr>
                <w:rFonts w:hint="eastAsia" w:ascii="仿宋" w:hAnsi="仿宋" w:eastAsia="仿宋" w:cs="仿宋"/>
                <w:sz w:val="28"/>
                <w:szCs w:val="28"/>
              </w:rPr>
            </w:pPr>
            <w:r>
              <w:rPr>
                <w:rFonts w:hint="eastAsia" w:ascii="仿宋" w:hAnsi="仿宋" w:eastAsia="仿宋" w:cs="仿宋"/>
                <w:spacing w:val="5"/>
                <w:sz w:val="28"/>
                <w:szCs w:val="28"/>
              </w:rPr>
              <w:sym w:font="Wingdings 2" w:char="00A3"/>
            </w:r>
            <w:r>
              <w:rPr>
                <w:rFonts w:hint="eastAsia" w:ascii="仿宋" w:hAnsi="仿宋" w:eastAsia="仿宋" w:cs="仿宋"/>
                <w:spacing w:val="4"/>
                <w:sz w:val="28"/>
                <w:szCs w:val="28"/>
              </w:rPr>
              <w:t>路演活动</w:t>
            </w:r>
          </w:p>
          <w:p>
            <w:pPr>
              <w:spacing w:line="360" w:lineRule="auto"/>
              <w:jc w:val="left"/>
            </w:pPr>
            <w:r>
              <w:rPr>
                <w:rFonts w:hint="eastAsia" w:ascii="仿宋" w:hAnsi="仿宋" w:eastAsia="仿宋" w:cs="仿宋"/>
                <w:spacing w:val="5"/>
                <w:sz w:val="28"/>
                <w:szCs w:val="28"/>
              </w:rPr>
              <w:sym w:font="Wingdings 2" w:char="00A3"/>
            </w:r>
            <w:r>
              <w:rPr>
                <w:rFonts w:hint="eastAsia" w:ascii="仿宋" w:hAnsi="仿宋" w:eastAsia="仿宋" w:cs="仿宋"/>
                <w:spacing w:val="5"/>
                <w:sz w:val="28"/>
                <w:szCs w:val="28"/>
              </w:rPr>
              <w:t>电话调研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792" w:type="dxa"/>
          </w:tcPr>
          <w:p>
            <w:pPr>
              <w:spacing w:line="360" w:lineRule="auto"/>
              <w:jc w:val="left"/>
              <w:rPr>
                <w:rFonts w:hint="eastAsia" w:ascii="仿宋" w:hAnsi="仿宋" w:eastAsia="仿宋" w:cs="仿宋"/>
                <w:sz w:val="28"/>
                <w:szCs w:val="28"/>
              </w:rPr>
            </w:pPr>
            <w:r>
              <w:rPr>
                <w:rFonts w:hint="eastAsia" w:ascii="仿宋" w:hAnsi="仿宋" w:eastAsia="仿宋" w:cs="仿宋"/>
                <w:b/>
                <w:bCs/>
                <w:sz w:val="28"/>
                <w:szCs w:val="28"/>
              </w:rPr>
              <w:t>调研人员（单位）</w:t>
            </w:r>
          </w:p>
        </w:tc>
        <w:tc>
          <w:tcPr>
            <w:tcW w:w="6662" w:type="dxa"/>
            <w:gridSpan w:val="2"/>
            <w:tcBorders>
              <w:top w:val="single" w:color="auto" w:sz="4" w:space="0"/>
            </w:tcBorders>
            <w:vAlign w:val="center"/>
          </w:tcPr>
          <w:p>
            <w:pPr>
              <w:widowControl/>
              <w:jc w:val="left"/>
              <w:textAlignment w:val="center"/>
              <w:rPr>
                <w:rFonts w:hint="eastAsia" w:ascii="宋体" w:hAnsi="宋体" w:eastAsia="宋体" w:cs="宋体"/>
                <w:sz w:val="28"/>
                <w:szCs w:val="28"/>
              </w:rPr>
            </w:pPr>
            <w:r>
              <w:rPr>
                <w:rFonts w:hint="eastAsia" w:ascii="宋体" w:hAnsi="宋体" w:eastAsia="宋体" w:cs="宋体"/>
                <w:kern w:val="0"/>
                <w:sz w:val="28"/>
                <w:szCs w:val="28"/>
                <w:lang w:bidi="ar"/>
              </w:rPr>
              <w:t>金鹰基金、上海惠璞资管、杭州善时资管、上海证券、国泰海通证券、北京九一私募、上海金晨碧云资管、天和资本</w:t>
            </w:r>
            <w:bookmarkStart w:id="3" w:name="_GoBack"/>
            <w:bookmarkEnd w:id="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792" w:type="dxa"/>
          </w:tcPr>
          <w:p>
            <w:pPr>
              <w:spacing w:line="360" w:lineRule="auto"/>
              <w:jc w:val="left"/>
              <w:rPr>
                <w:rFonts w:hint="eastAsia" w:ascii="仿宋" w:hAnsi="仿宋" w:eastAsia="仿宋" w:cs="仿宋"/>
                <w:b/>
                <w:bCs/>
                <w:spacing w:val="-2"/>
                <w:sz w:val="28"/>
                <w:szCs w:val="28"/>
              </w:rPr>
            </w:pPr>
            <w:r>
              <w:rPr>
                <w:rFonts w:hint="eastAsia" w:ascii="仿宋" w:hAnsi="仿宋" w:eastAsia="仿宋" w:cs="仿宋"/>
                <w:b/>
                <w:bCs/>
                <w:spacing w:val="-2"/>
                <w:sz w:val="28"/>
                <w:szCs w:val="28"/>
              </w:rPr>
              <w:t>调研时间</w:t>
            </w:r>
          </w:p>
        </w:tc>
        <w:tc>
          <w:tcPr>
            <w:tcW w:w="6662" w:type="dxa"/>
            <w:gridSpan w:val="2"/>
          </w:tcPr>
          <w:p>
            <w:pPr>
              <w:spacing w:line="360" w:lineRule="auto"/>
              <w:rPr>
                <w:rFonts w:hint="eastAsia" w:ascii="仿宋" w:hAnsi="仿宋" w:eastAsia="仿宋" w:cs="仿宋"/>
                <w:spacing w:val="-2"/>
                <w:sz w:val="28"/>
                <w:szCs w:val="28"/>
              </w:rPr>
            </w:pPr>
            <w:r>
              <w:rPr>
                <w:rFonts w:hint="eastAsia" w:ascii="仿宋" w:hAnsi="仿宋" w:eastAsia="仿宋" w:cs="仿宋"/>
                <w:spacing w:val="-2"/>
                <w:sz w:val="28"/>
                <w:szCs w:val="28"/>
              </w:rPr>
              <w:t>2026年8月31日-2026年9月28日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792" w:type="dxa"/>
          </w:tcPr>
          <w:p>
            <w:pPr>
              <w:spacing w:line="360" w:lineRule="auto"/>
              <w:jc w:val="left"/>
              <w:rPr>
                <w:rFonts w:hint="eastAsia" w:ascii="仿宋" w:hAnsi="仿宋" w:eastAsia="仿宋" w:cs="仿宋"/>
                <w:b/>
                <w:bCs/>
                <w:spacing w:val="-2"/>
                <w:sz w:val="28"/>
                <w:szCs w:val="28"/>
              </w:rPr>
            </w:pPr>
            <w:r>
              <w:rPr>
                <w:rFonts w:hint="eastAsia" w:ascii="仿宋" w:hAnsi="仿宋" w:eastAsia="仿宋" w:cs="仿宋"/>
                <w:b/>
                <w:bCs/>
                <w:spacing w:val="-2"/>
                <w:sz w:val="28"/>
                <w:szCs w:val="28"/>
              </w:rPr>
              <w:t>调研地点</w:t>
            </w:r>
          </w:p>
        </w:tc>
        <w:tc>
          <w:tcPr>
            <w:tcW w:w="6662" w:type="dxa"/>
            <w:gridSpan w:val="2"/>
          </w:tcPr>
          <w:p>
            <w:pPr>
              <w:spacing w:line="360" w:lineRule="auto"/>
              <w:rPr>
                <w:rFonts w:hint="eastAsia" w:ascii="仿宋" w:hAnsi="仿宋" w:eastAsia="仿宋" w:cs="仿宋"/>
                <w:spacing w:val="-2"/>
                <w:sz w:val="28"/>
                <w:szCs w:val="28"/>
              </w:rPr>
            </w:pPr>
            <w:r>
              <w:rPr>
                <w:rFonts w:hint="eastAsia" w:ascii="仿宋" w:hAnsi="仿宋" w:eastAsia="仿宋" w:cs="仿宋"/>
                <w:spacing w:val="-2"/>
                <w:sz w:val="28"/>
                <w:szCs w:val="28"/>
              </w:rPr>
              <w:t>线上、江北嘴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jc w:val="center"/>
        </w:trPr>
        <w:tc>
          <w:tcPr>
            <w:tcW w:w="1792" w:type="dxa"/>
          </w:tcPr>
          <w:p>
            <w:pPr>
              <w:spacing w:line="360" w:lineRule="auto"/>
              <w:jc w:val="left"/>
              <w:rPr>
                <w:b/>
                <w:bCs/>
                <w:sz w:val="24"/>
                <w:szCs w:val="32"/>
              </w:rPr>
            </w:pPr>
            <w:r>
              <w:rPr>
                <w:rFonts w:hint="eastAsia" w:ascii="仿宋" w:hAnsi="仿宋" w:eastAsia="仿宋" w:cs="仿宋"/>
                <w:b/>
                <w:bCs/>
                <w:spacing w:val="-2"/>
                <w:sz w:val="28"/>
                <w:szCs w:val="28"/>
              </w:rPr>
              <w:t>上市公司接待人员</w:t>
            </w:r>
          </w:p>
        </w:tc>
        <w:tc>
          <w:tcPr>
            <w:tcW w:w="6662" w:type="dxa"/>
            <w:gridSpan w:val="2"/>
          </w:tcPr>
          <w:p>
            <w:pPr>
              <w:spacing w:line="360" w:lineRule="auto"/>
              <w:jc w:val="left"/>
              <w:rPr>
                <w:rFonts w:hint="eastAsia" w:ascii="仿宋" w:hAnsi="仿宋" w:eastAsia="仿宋" w:cs="仿宋"/>
                <w:spacing w:val="-2"/>
                <w:sz w:val="28"/>
                <w:szCs w:val="28"/>
              </w:rPr>
            </w:pPr>
            <w:r>
              <w:rPr>
                <w:rFonts w:hint="eastAsia" w:ascii="仿宋" w:hAnsi="仿宋" w:eastAsia="仿宋" w:cs="仿宋"/>
                <w:spacing w:val="-2"/>
                <w:sz w:val="28"/>
                <w:szCs w:val="28"/>
              </w:rPr>
              <w:t>董秘、证券部相关人员</w:t>
            </w:r>
          </w:p>
        </w:tc>
      </w:tr>
    </w:tbl>
    <w:p>
      <w:pPr>
        <w:spacing w:line="360" w:lineRule="auto"/>
        <w:jc w:val="left"/>
        <w:rPr>
          <w:rFonts w:hint="eastAsia" w:ascii="仿宋" w:hAnsi="仿宋" w:eastAsia="仿宋" w:cs="仿宋"/>
          <w:b/>
          <w:bCs/>
          <w:spacing w:val="-2"/>
          <w:sz w:val="28"/>
          <w:szCs w:val="28"/>
        </w:rPr>
      </w:pPr>
      <w:r>
        <w:rPr>
          <w:rFonts w:hint="eastAsia" w:ascii="仿宋" w:hAnsi="仿宋" w:eastAsia="仿宋" w:cs="仿宋"/>
          <w:b/>
          <w:bCs/>
          <w:spacing w:val="-2"/>
          <w:sz w:val="28"/>
          <w:szCs w:val="28"/>
        </w:rPr>
        <w:br w:type="page"/>
      </w:r>
    </w:p>
    <w:tbl>
      <w:tblPr>
        <w:tblStyle w:val="13"/>
        <w:tblW w:w="84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2"/>
        <w:gridCol w:w="66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92" w:type="dxa"/>
          </w:tcPr>
          <w:p>
            <w:pPr>
              <w:spacing w:line="360" w:lineRule="auto"/>
              <w:jc w:val="left"/>
              <w:rPr>
                <w:rFonts w:hint="eastAsia" w:ascii="仿宋" w:hAnsi="仿宋" w:eastAsia="仿宋" w:cs="仿宋"/>
                <w:sz w:val="28"/>
                <w:szCs w:val="28"/>
              </w:rPr>
            </w:pPr>
            <w:r>
              <w:rPr>
                <w:rFonts w:hint="eastAsia" w:ascii="仿宋" w:hAnsi="仿宋" w:eastAsia="仿宋" w:cs="仿宋"/>
                <w:b/>
                <w:bCs/>
                <w:spacing w:val="-2"/>
                <w:sz w:val="28"/>
                <w:szCs w:val="28"/>
              </w:rPr>
              <w:t>资者关系活动主要内容</w:t>
            </w:r>
          </w:p>
        </w:tc>
        <w:tc>
          <w:tcPr>
            <w:tcW w:w="6662" w:type="dxa"/>
          </w:tcPr>
          <w:p>
            <w:pPr>
              <w:numPr>
                <w:ilvl w:val="255"/>
                <w:numId w:val="0"/>
              </w:numPr>
              <w:jc w:val="left"/>
              <w:rPr>
                <w:rFonts w:hint="eastAsia" w:ascii="仿宋" w:hAnsi="仿宋" w:eastAsia="仿宋" w:cs="仿宋"/>
                <w:sz w:val="28"/>
                <w:szCs w:val="28"/>
              </w:rPr>
            </w:pPr>
            <w:r>
              <w:rPr>
                <w:rFonts w:hint="eastAsia" w:ascii="仿宋" w:hAnsi="仿宋" w:eastAsia="仿宋" w:cs="仿宋"/>
                <w:b/>
                <w:bCs/>
                <w:sz w:val="28"/>
                <w:szCs w:val="28"/>
              </w:rPr>
              <w:t>1、</w:t>
            </w:r>
            <w:bookmarkStart w:id="0" w:name="OLE_LINK2"/>
            <w:r>
              <w:rPr>
                <w:rFonts w:hint="eastAsia" w:ascii="仿宋" w:hAnsi="仿宋" w:eastAsia="仿宋" w:cs="仿宋"/>
                <w:b/>
                <w:bCs/>
                <w:sz w:val="28"/>
                <w:szCs w:val="28"/>
              </w:rPr>
              <w:t>2026年第三季度，</w:t>
            </w:r>
            <w:bookmarkEnd w:id="0"/>
            <w:r>
              <w:rPr>
                <w:rFonts w:hint="eastAsia" w:ascii="仿宋" w:hAnsi="仿宋" w:eastAsia="仿宋" w:cs="仿宋"/>
                <w:b/>
                <w:bCs/>
                <w:sz w:val="28"/>
                <w:szCs w:val="28"/>
              </w:rPr>
              <w:t>公司主营业务经营情况？</w:t>
            </w:r>
            <w:r>
              <w:rPr>
                <w:rFonts w:hint="eastAsia" w:ascii="仿宋" w:hAnsi="仿宋" w:eastAsia="仿宋" w:cs="仿宋"/>
                <w:sz w:val="28"/>
                <w:szCs w:val="28"/>
              </w:rPr>
              <w:br w:type="textWrapping"/>
            </w:r>
            <w:r>
              <w:rPr>
                <w:rFonts w:hint="eastAsia" w:ascii="仿宋" w:hAnsi="仿宋" w:eastAsia="仿宋" w:cs="仿宋"/>
                <w:sz w:val="28"/>
                <w:szCs w:val="28"/>
              </w:rPr>
              <w:t>答：2026年第三季度，公司输配电及控制设备业务总体呈稳定态势，海外有一定预中标储备订单；取向硅钢业务</w:t>
            </w:r>
            <w:r>
              <w:rPr>
                <w:rFonts w:hint="eastAsia" w:ascii="仿宋" w:hAnsi="仿宋" w:eastAsia="仿宋" w:cs="仿宋"/>
                <w:sz w:val="28"/>
                <w:szCs w:val="28"/>
                <w:lang w:val="en-US" w:eastAsia="zh-CN"/>
              </w:rPr>
              <w:t>虽有一定</w:t>
            </w:r>
            <w:r>
              <w:rPr>
                <w:rFonts w:hint="eastAsia" w:ascii="仿宋" w:hAnsi="仿宋" w:eastAsia="仿宋" w:cs="仿宋"/>
                <w:sz w:val="28"/>
                <w:szCs w:val="28"/>
              </w:rPr>
              <w:t>改善，</w:t>
            </w:r>
            <w:r>
              <w:rPr>
                <w:rFonts w:hint="eastAsia" w:ascii="仿宋" w:hAnsi="仿宋" w:eastAsia="仿宋" w:cs="仿宋"/>
                <w:sz w:val="28"/>
                <w:szCs w:val="28"/>
                <w:lang w:val="en-US" w:eastAsia="zh-CN"/>
              </w:rPr>
              <w:t>但也有波动，对</w:t>
            </w:r>
            <w:r>
              <w:rPr>
                <w:rFonts w:hint="eastAsia" w:ascii="仿宋" w:hAnsi="仿宋" w:eastAsia="仿宋" w:cs="仿宋"/>
                <w:sz w:val="28"/>
                <w:szCs w:val="28"/>
              </w:rPr>
              <w:t>利润</w:t>
            </w:r>
            <w:r>
              <w:rPr>
                <w:rFonts w:hint="eastAsia" w:ascii="仿宋" w:hAnsi="仿宋" w:eastAsia="仿宋" w:cs="仿宋"/>
                <w:sz w:val="28"/>
                <w:szCs w:val="28"/>
                <w:lang w:val="en-US" w:eastAsia="zh-CN"/>
              </w:rPr>
              <w:t>贡献</w:t>
            </w:r>
            <w:r>
              <w:rPr>
                <w:rFonts w:hint="eastAsia" w:ascii="仿宋" w:hAnsi="仿宋" w:eastAsia="仿宋" w:cs="仿宋"/>
                <w:sz w:val="28"/>
                <w:szCs w:val="28"/>
              </w:rPr>
              <w:t>影响</w:t>
            </w:r>
            <w:r>
              <w:rPr>
                <w:rFonts w:hint="eastAsia" w:ascii="仿宋" w:hAnsi="仿宋" w:eastAsia="仿宋" w:cs="仿宋"/>
                <w:sz w:val="28"/>
                <w:szCs w:val="28"/>
                <w:lang w:val="en-US" w:eastAsia="zh-CN"/>
              </w:rPr>
              <w:t>有限</w:t>
            </w:r>
            <w:r>
              <w:rPr>
                <w:rFonts w:hint="eastAsia" w:ascii="仿宋" w:hAnsi="仿宋" w:eastAsia="仿宋" w:cs="仿宋"/>
                <w:sz w:val="28"/>
                <w:szCs w:val="28"/>
              </w:rPr>
              <w:t>；电动汽车充电业务板块，按项目规划积极开展场站投建运营，积极推进核心设备自产，促进产业链生态协同。具体数据以公告为准。</w:t>
            </w:r>
            <w:r>
              <w:rPr>
                <w:rFonts w:hint="eastAsia" w:ascii="仿宋" w:hAnsi="仿宋" w:eastAsia="仿宋" w:cs="仿宋"/>
                <w:sz w:val="28"/>
                <w:szCs w:val="28"/>
              </w:rPr>
              <w:br w:type="textWrapping"/>
            </w:r>
            <w:r>
              <w:rPr>
                <w:rFonts w:hint="eastAsia" w:ascii="仿宋" w:hAnsi="仿宋" w:eastAsia="仿宋" w:cs="仿宋"/>
                <w:b/>
                <w:bCs/>
                <w:sz w:val="28"/>
                <w:szCs w:val="28"/>
              </w:rPr>
              <w:t>2、公司输配电及控制设备业务是否有海外新订单？2026年变压器出口订单预期是多少？</w:t>
            </w:r>
            <w:r>
              <w:rPr>
                <w:rFonts w:hint="eastAsia" w:ascii="仿宋" w:hAnsi="仿宋" w:eastAsia="仿宋" w:cs="仿宋"/>
                <w:sz w:val="28"/>
                <w:szCs w:val="28"/>
              </w:rPr>
              <w:br w:type="textWrapping"/>
            </w:r>
            <w:r>
              <w:rPr>
                <w:rFonts w:hint="eastAsia" w:ascii="仿宋" w:hAnsi="仿宋" w:eastAsia="仿宋" w:cs="仿宋"/>
                <w:sz w:val="28"/>
                <w:szCs w:val="28"/>
              </w:rPr>
              <w:t>答：公司产品订单运用区域已经覆盖南美洲、美国德克萨斯州、阿曼等地，以上订单参与项目均为数据中心项目。基于公司在东南亚、中东、南亚的市场基础，以及现有欧洲市场的突破，公司会持续积极拓展国际市场，后期将持续关注海外优质项目。具体出口数据以公告实际为准。</w:t>
            </w:r>
            <w:r>
              <w:rPr>
                <w:rFonts w:hint="eastAsia" w:ascii="仿宋" w:hAnsi="仿宋" w:eastAsia="仿宋" w:cs="仿宋"/>
                <w:sz w:val="28"/>
                <w:szCs w:val="28"/>
              </w:rPr>
              <w:br w:type="textWrapping"/>
            </w:r>
            <w:r>
              <w:rPr>
                <w:rFonts w:hint="eastAsia" w:ascii="仿宋" w:hAnsi="仿宋" w:eastAsia="仿宋" w:cs="仿宋"/>
                <w:b/>
                <w:bCs/>
                <w:sz w:val="28"/>
                <w:szCs w:val="28"/>
              </w:rPr>
              <w:t>3、公司对于拓展海外市场，是否有一些更具体的规划或者方案？是否有在海外扩张产能的规划？</w:t>
            </w:r>
          </w:p>
          <w:p>
            <w:pPr>
              <w:numPr>
                <w:ilvl w:val="255"/>
                <w:numId w:val="0"/>
              </w:numPr>
              <w:jc w:val="left"/>
              <w:rPr>
                <w:rFonts w:hint="eastAsia" w:ascii="仿宋" w:hAnsi="仿宋" w:eastAsia="仿宋" w:cs="仿宋"/>
                <w:sz w:val="28"/>
                <w:szCs w:val="28"/>
              </w:rPr>
            </w:pPr>
            <w:r>
              <w:rPr>
                <w:rFonts w:hint="eastAsia" w:ascii="仿宋" w:hAnsi="仿宋" w:eastAsia="仿宋" w:cs="仿宋"/>
                <w:sz w:val="28"/>
                <w:szCs w:val="28"/>
              </w:rPr>
              <w:t>答：根据公司“未来三年重点提升海外业务占比”的战略规划，2026年将海外业务作为重点突破方向。输配电设备领域，将深度参与“一带一路”沿线国家电力基础设施建设，依托央企海外项目实现设备出口与工程服务协同出海。在东南亚市场将努力把握区域基建拉动电气设备需求的机遇，扩大变压器、成套设备市场份额；在中东市场持续跟进数据中心项目，拓展高端市场应用；在欧美市场依托取向硅钢产品既有客户基础，深化与国际知名企业合作，提升高端材料出口比例。重大战略投资请以公告为准。</w:t>
            </w:r>
          </w:p>
          <w:p>
            <w:pPr>
              <w:numPr>
                <w:ilvl w:val="255"/>
                <w:numId w:val="0"/>
              </w:numPr>
              <w:jc w:val="left"/>
              <w:rPr>
                <w:rFonts w:hint="eastAsia" w:ascii="仿宋" w:hAnsi="仿宋" w:eastAsia="仿宋" w:cs="仿宋"/>
                <w:sz w:val="28"/>
                <w:szCs w:val="28"/>
              </w:rPr>
            </w:pPr>
            <w:r>
              <w:rPr>
                <w:rFonts w:hint="eastAsia" w:ascii="仿宋" w:hAnsi="仿宋" w:eastAsia="仿宋" w:cs="仿宋"/>
                <w:b/>
                <w:bCs/>
                <w:sz w:val="28"/>
                <w:szCs w:val="28"/>
              </w:rPr>
              <w:t>4、公司变压器出口UL认证办理进度？是否有国外CSP项目订单储备？</w:t>
            </w:r>
            <w:r>
              <w:rPr>
                <w:rFonts w:hint="eastAsia" w:ascii="仿宋" w:hAnsi="仿宋" w:eastAsia="仿宋" w:cs="仿宋"/>
                <w:sz w:val="28"/>
                <w:szCs w:val="28"/>
              </w:rPr>
              <w:br w:type="textWrapping"/>
            </w:r>
            <w:r>
              <w:rPr>
                <w:rFonts w:hint="eastAsia" w:ascii="仿宋" w:hAnsi="仿宋" w:eastAsia="仿宋" w:cs="仿宋"/>
                <w:sz w:val="28"/>
                <w:szCs w:val="28"/>
              </w:rPr>
              <w:t>答：公司正在积极办理UL认证，且持续不断地拓展国际市场，相关业绩以公告为准。</w:t>
            </w:r>
            <w:r>
              <w:rPr>
                <w:rFonts w:hint="eastAsia" w:ascii="仿宋" w:hAnsi="仿宋" w:eastAsia="仿宋" w:cs="仿宋"/>
                <w:sz w:val="28"/>
                <w:szCs w:val="28"/>
              </w:rPr>
              <w:br w:type="textWrapping"/>
            </w:r>
            <w:r>
              <w:rPr>
                <w:rFonts w:hint="eastAsia" w:ascii="仿宋" w:hAnsi="仿宋" w:eastAsia="仿宋" w:cs="仿宋"/>
                <w:b/>
                <w:bCs/>
                <w:sz w:val="28"/>
                <w:szCs w:val="28"/>
              </w:rPr>
              <w:t>5、海外变压器订单的毛利率与国内相比毛利率差异？未来毛利率是否稳定？</w:t>
            </w:r>
          </w:p>
          <w:p>
            <w:pPr>
              <w:numPr>
                <w:ilvl w:val="255"/>
                <w:numId w:val="0"/>
              </w:numPr>
              <w:jc w:val="left"/>
              <w:rPr>
                <w:rFonts w:hint="eastAsia" w:ascii="仿宋" w:hAnsi="仿宋" w:eastAsia="仿宋" w:cs="仿宋"/>
                <w:sz w:val="28"/>
                <w:szCs w:val="28"/>
              </w:rPr>
            </w:pPr>
            <w:r>
              <w:rPr>
                <w:rFonts w:hint="eastAsia" w:ascii="仿宋" w:hAnsi="仿宋" w:eastAsia="仿宋" w:cs="仿宋"/>
                <w:sz w:val="28"/>
                <w:szCs w:val="28"/>
              </w:rPr>
              <w:t>答：变压器毛利率因受地域成本、运用领域、电压等级、容量大小等因素存在差异，与国内毛利率呈现不同是市场有序竞争的正常表现；海外业务毛利率总体较国内有优势，但是竞争仍然激烈。</w:t>
            </w:r>
          </w:p>
          <w:p>
            <w:pPr>
              <w:numPr>
                <w:ilvl w:val="255"/>
                <w:numId w:val="0"/>
              </w:numPr>
              <w:jc w:val="left"/>
              <w:rPr>
                <w:rFonts w:hint="eastAsia" w:ascii="仿宋" w:hAnsi="仿宋" w:eastAsia="仿宋" w:cs="仿宋"/>
                <w:sz w:val="28"/>
                <w:szCs w:val="28"/>
              </w:rPr>
            </w:pPr>
            <w:r>
              <w:rPr>
                <w:rFonts w:hint="eastAsia" w:ascii="仿宋" w:hAnsi="仿宋" w:eastAsia="仿宋" w:cs="仿宋"/>
                <w:b/>
                <w:bCs/>
                <w:sz w:val="28"/>
                <w:szCs w:val="28"/>
              </w:rPr>
              <w:t>6、现目前八万吨高端磁性新材料项目的产出情况？目前，高牌号取向硅钢单吨净利润大概是多少?</w:t>
            </w:r>
            <w:r>
              <w:rPr>
                <w:rFonts w:hint="eastAsia" w:ascii="仿宋" w:hAnsi="仿宋" w:eastAsia="仿宋" w:cs="仿宋"/>
                <w:sz w:val="28"/>
                <w:szCs w:val="28"/>
              </w:rPr>
              <w:br w:type="textWrapping"/>
            </w:r>
            <w:r>
              <w:rPr>
                <w:rFonts w:hint="eastAsia" w:ascii="仿宋" w:hAnsi="仿宋" w:eastAsia="仿宋" w:cs="仿宋"/>
                <w:sz w:val="28"/>
                <w:szCs w:val="28"/>
              </w:rPr>
              <w:t>答：八万吨高端磁性新材料项目已于2024年6月全线投产。截至目前项目生产稳定，满产满销，85及以上高牌号产出占比稳步提升，成功攻克075牌号高磁感取向硅钢技术壁垒，核心性能指标达到国内先进水平。具体产品盈利能力以实际产出牌号结构和实时出货价格而定。</w:t>
            </w:r>
            <w:bookmarkStart w:id="1" w:name="OLE_LINK4"/>
          </w:p>
          <w:p>
            <w:pPr>
              <w:numPr>
                <w:ilvl w:val="255"/>
                <w:numId w:val="0"/>
              </w:numPr>
              <w:jc w:val="left"/>
              <w:rPr>
                <w:rFonts w:hint="eastAsia" w:ascii="仿宋" w:hAnsi="仿宋" w:eastAsia="仿宋" w:cs="仿宋"/>
                <w:sz w:val="28"/>
                <w:szCs w:val="28"/>
              </w:rPr>
            </w:pPr>
            <w:r>
              <w:rPr>
                <w:rFonts w:hint="eastAsia" w:ascii="仿宋" w:hAnsi="仿宋" w:eastAsia="仿宋" w:cs="仿宋"/>
                <w:b/>
                <w:bCs/>
                <w:sz w:val="28"/>
                <w:szCs w:val="28"/>
              </w:rPr>
              <w:t>7、公司原有的CGO生产产线</w:t>
            </w:r>
            <w:bookmarkEnd w:id="1"/>
            <w:r>
              <w:rPr>
                <w:rFonts w:hint="eastAsia" w:ascii="仿宋" w:hAnsi="仿宋" w:eastAsia="仿宋" w:cs="仿宋"/>
                <w:b/>
                <w:bCs/>
                <w:sz w:val="28"/>
                <w:szCs w:val="28"/>
              </w:rPr>
              <w:t>的产品是否都是亏损状态？是否有产线改造计划？后期，市场还存在产能扩张吗？</w:t>
            </w:r>
            <w:r>
              <w:rPr>
                <w:rFonts w:hint="eastAsia" w:ascii="仿宋" w:hAnsi="仿宋" w:eastAsia="仿宋" w:cs="仿宋"/>
                <w:sz w:val="28"/>
                <w:szCs w:val="28"/>
              </w:rPr>
              <w:br w:type="textWrapping"/>
            </w:r>
            <w:r>
              <w:rPr>
                <w:rFonts w:hint="eastAsia" w:ascii="仿宋" w:hAnsi="仿宋" w:eastAsia="仿宋" w:cs="仿宋"/>
                <w:sz w:val="28"/>
                <w:szCs w:val="28"/>
              </w:rPr>
              <w:t>答：公司</w:t>
            </w:r>
            <w:r>
              <w:rPr>
                <w:rFonts w:hint="eastAsia" w:ascii="仿宋" w:hAnsi="仿宋" w:eastAsia="仿宋" w:cs="仿宋"/>
                <w:sz w:val="28"/>
                <w:szCs w:val="28"/>
                <w:lang w:val="en-US" w:eastAsia="zh-CN"/>
              </w:rPr>
              <w:t>有5万吨产线是</w:t>
            </w:r>
            <w:r>
              <w:rPr>
                <w:rFonts w:hint="eastAsia" w:ascii="仿宋" w:hAnsi="仿宋" w:eastAsia="仿宋" w:cs="仿宋"/>
                <w:sz w:val="28"/>
                <w:szCs w:val="28"/>
              </w:rPr>
              <w:t>CGO产品均为一般取向硅钢，</w:t>
            </w:r>
            <w:r>
              <w:rPr>
                <w:rFonts w:hint="eastAsia" w:ascii="仿宋" w:hAnsi="仿宋" w:eastAsia="仿宋" w:cs="仿宋"/>
                <w:sz w:val="28"/>
                <w:szCs w:val="28"/>
                <w:lang w:val="en-US" w:eastAsia="zh-CN"/>
              </w:rPr>
              <w:t>其中有部分产品利润倒挂</w:t>
            </w:r>
            <w:r>
              <w:rPr>
                <w:rFonts w:hint="eastAsia" w:ascii="仿宋" w:hAnsi="仿宋" w:eastAsia="仿宋" w:cs="仿宋"/>
                <w:sz w:val="28"/>
                <w:szCs w:val="28"/>
              </w:rPr>
              <w:t>。公司将综合取向硅钢全球产能布局同时结合公司自身的财务规划综合评估是否技改；我们认为海外变压器产能释放时间延后的情况下，存在市场竞争者产能扩张的竞争威胁可能，具体以相关市场公告为准。</w:t>
            </w:r>
          </w:p>
          <w:p>
            <w:pPr>
              <w:numPr>
                <w:ilvl w:val="255"/>
                <w:numId w:val="0"/>
              </w:numPr>
              <w:jc w:val="left"/>
              <w:rPr>
                <w:rFonts w:hint="eastAsia" w:ascii="仿宋" w:hAnsi="仿宋" w:eastAsia="仿宋" w:cs="仿宋"/>
                <w:b/>
                <w:bCs/>
                <w:sz w:val="28"/>
                <w:szCs w:val="28"/>
              </w:rPr>
            </w:pPr>
            <w:r>
              <w:rPr>
                <w:rFonts w:hint="eastAsia" w:ascii="仿宋" w:hAnsi="仿宋" w:eastAsia="仿宋" w:cs="仿宋"/>
                <w:b/>
                <w:bCs/>
                <w:sz w:val="28"/>
                <w:szCs w:val="28"/>
              </w:rPr>
              <w:t>8、后期，取向硅钢的价格展望？</w:t>
            </w:r>
          </w:p>
          <w:p>
            <w:pPr>
              <w:numPr>
                <w:ilvl w:val="255"/>
                <w:numId w:val="0"/>
              </w:numPr>
              <w:jc w:val="left"/>
              <w:rPr>
                <w:rFonts w:hint="eastAsia" w:ascii="仿宋" w:hAnsi="仿宋" w:eastAsia="仿宋" w:cs="仿宋"/>
                <w:sz w:val="28"/>
                <w:szCs w:val="28"/>
              </w:rPr>
            </w:pPr>
            <w:r>
              <w:rPr>
                <w:rFonts w:hint="eastAsia" w:ascii="仿宋" w:hAnsi="仿宋" w:eastAsia="仿宋" w:cs="仿宋"/>
                <w:sz w:val="28"/>
                <w:szCs w:val="28"/>
              </w:rPr>
              <w:t>答：截止目前，头部企业取向硅钢出厂价格已经持续向上调整了；电力设备市场竞争依然激烈，同时美国对电力设备的管控和限制，进一步加剧了行业竞争态势，全行业毛利率都受到一定影响。未来取向硅钢价格仍然可能面临一定的波动。</w:t>
            </w:r>
          </w:p>
          <w:p>
            <w:pPr>
              <w:numPr>
                <w:ilvl w:val="255"/>
                <w:numId w:val="0"/>
              </w:numPr>
              <w:jc w:val="left"/>
              <w:rPr>
                <w:rFonts w:hint="eastAsia" w:ascii="仿宋" w:hAnsi="仿宋" w:eastAsia="仿宋" w:cs="仿宋"/>
                <w:b/>
                <w:bCs/>
                <w:sz w:val="28"/>
                <w:szCs w:val="28"/>
              </w:rPr>
            </w:pPr>
            <w:r>
              <w:rPr>
                <w:rFonts w:hint="eastAsia" w:ascii="仿宋" w:hAnsi="仿宋" w:eastAsia="仿宋" w:cs="仿宋"/>
                <w:b/>
                <w:bCs/>
                <w:sz w:val="28"/>
                <w:szCs w:val="28"/>
              </w:rPr>
              <w:t>9、</w:t>
            </w:r>
            <w:bookmarkStart w:id="2" w:name="OLE_LINK1"/>
            <w:r>
              <w:rPr>
                <w:rFonts w:hint="eastAsia" w:ascii="仿宋" w:hAnsi="仿宋" w:eastAsia="仿宋" w:cs="仿宋"/>
                <w:b/>
                <w:bCs/>
                <w:sz w:val="28"/>
                <w:szCs w:val="28"/>
              </w:rPr>
              <w:t>公司是否研发了固态变压器产品？现目前是什么阶段？是否考虑直接收购具备生产固态变压器生产资质的公司？</w:t>
            </w:r>
          </w:p>
          <w:p>
            <w:pPr>
              <w:numPr>
                <w:ilvl w:val="255"/>
                <w:numId w:val="0"/>
              </w:numPr>
              <w:jc w:val="left"/>
              <w:rPr>
                <w:rFonts w:hint="eastAsia" w:ascii="仿宋" w:hAnsi="仿宋" w:eastAsia="仿宋" w:cs="仿宋"/>
                <w:sz w:val="28"/>
                <w:szCs w:val="28"/>
              </w:rPr>
            </w:pPr>
            <w:r>
              <w:rPr>
                <w:rFonts w:hint="eastAsia" w:ascii="仿宋" w:hAnsi="仿宋" w:eastAsia="仿宋" w:cs="仿宋"/>
                <w:sz w:val="28"/>
                <w:szCs w:val="28"/>
              </w:rPr>
              <w:t>答：目前，公司正在积极开展相关研发工作，自身研发团队和外部高校、研发团队等共同合作开展，具体研发进展及公司重大投资请以公告为准。</w:t>
            </w:r>
            <w:bookmarkEnd w:id="2"/>
            <w:r>
              <w:rPr>
                <w:rFonts w:hint="eastAsia" w:ascii="仿宋" w:hAnsi="仿宋" w:eastAsia="仿宋" w:cs="仿宋"/>
                <w:sz w:val="28"/>
                <w:szCs w:val="28"/>
              </w:rPr>
              <w:br w:type="textWrapping"/>
            </w:r>
            <w:r>
              <w:rPr>
                <w:rFonts w:hint="eastAsia" w:ascii="仿宋" w:hAnsi="仿宋" w:eastAsia="仿宋" w:cs="仿宋"/>
                <w:b/>
                <w:bCs/>
                <w:sz w:val="28"/>
                <w:szCs w:val="28"/>
              </w:rPr>
              <w:t>10、云变电气的整体业绩发展规划？</w:t>
            </w:r>
            <w:r>
              <w:rPr>
                <w:rFonts w:hint="eastAsia" w:ascii="仿宋" w:hAnsi="仿宋" w:eastAsia="仿宋" w:cs="仿宋"/>
                <w:sz w:val="28"/>
                <w:szCs w:val="28"/>
              </w:rPr>
              <w:br w:type="textWrapping"/>
            </w:r>
            <w:r>
              <w:rPr>
                <w:rFonts w:hint="eastAsia" w:ascii="仿宋" w:hAnsi="仿宋" w:eastAsia="仿宋" w:cs="仿宋"/>
                <w:sz w:val="28"/>
                <w:szCs w:val="28"/>
              </w:rPr>
              <w:t>答：云变电气目前生产场地具备30亿元产值生产能力；云变电气利用自身的品牌优势、人才优势、专精特新的技术优势，持续提升盈利能力，2025年实现营业收入13.09亿元。云变电气地处“一带一路”关键地理位置，结合公司大力拓展海外市场，云变电气有望实现330kv和500kv的业绩突破，公司业绩有望进一步提升。</w:t>
            </w:r>
          </w:p>
          <w:p>
            <w:pPr>
              <w:numPr>
                <w:ilvl w:val="255"/>
                <w:numId w:val="0"/>
              </w:numPr>
              <w:jc w:val="left"/>
              <w:rPr>
                <w:rFonts w:hint="eastAsia" w:ascii="仿宋" w:hAnsi="仿宋" w:eastAsia="仿宋" w:cs="仿宋"/>
                <w:sz w:val="28"/>
                <w:szCs w:val="28"/>
              </w:rPr>
            </w:pPr>
            <w:r>
              <w:rPr>
                <w:rFonts w:hint="eastAsia" w:ascii="仿宋" w:hAnsi="仿宋" w:eastAsia="仿宋" w:cs="仿宋"/>
                <w:b/>
                <w:bCs/>
                <w:sz w:val="28"/>
                <w:szCs w:val="28"/>
              </w:rPr>
              <w:t>11、公司的兆瓦级智能超充网络建设项目，目前最新的进展如何？ 预期业绩目标是什么样的？</w:t>
            </w:r>
            <w:r>
              <w:rPr>
                <w:rFonts w:hint="eastAsia" w:ascii="仿宋" w:hAnsi="仿宋" w:eastAsia="仿宋" w:cs="仿宋"/>
                <w:sz w:val="28"/>
                <w:szCs w:val="28"/>
              </w:rPr>
              <w:br w:type="textWrapping"/>
            </w:r>
            <w:r>
              <w:rPr>
                <w:rFonts w:hint="eastAsia" w:ascii="仿宋" w:hAnsi="仿宋" w:eastAsia="仿宋" w:cs="仿宋"/>
                <w:sz w:val="28"/>
                <w:szCs w:val="28"/>
              </w:rPr>
              <w:t>答：公司该项目按计划推进中，2026年上半年，公司新增建设8个超充站，新增投运5个超充站，截止目前，公司共有9个超充站已投运。公司正在内蒙古、广东、广西、陕西、山西、山东、江西、贵州等资源丰富、电动重卡大力发展的省份开发、布局新的站点。同时，公司试探性在国外考察重卡充电站市场，如：老挝、印尼、菲律宾等。具体业绩以公告为准。</w:t>
            </w:r>
          </w:p>
          <w:p>
            <w:pPr>
              <w:numPr>
                <w:ilvl w:val="255"/>
                <w:numId w:val="0"/>
              </w:numPr>
              <w:jc w:val="left"/>
              <w:rPr>
                <w:rFonts w:hint="eastAsia" w:ascii="仿宋" w:hAnsi="仿宋" w:eastAsia="仿宋" w:cs="仿宋"/>
                <w:b/>
                <w:bCs/>
                <w:sz w:val="28"/>
                <w:szCs w:val="28"/>
              </w:rPr>
            </w:pPr>
            <w:r>
              <w:rPr>
                <w:rFonts w:hint="eastAsia" w:ascii="仿宋" w:hAnsi="仿宋" w:eastAsia="仿宋" w:cs="仿宋"/>
                <w:b/>
                <w:bCs/>
                <w:sz w:val="28"/>
                <w:szCs w:val="28"/>
              </w:rPr>
              <w:t>12、短期来说，公司只能超充建设进展与回本周期都是比较长的。这意味着短期来说无法为公司的业绩报表提供支撑，公司在这这方面是否有考量从哪些方面入手来提升业绩？</w:t>
            </w:r>
          </w:p>
          <w:p>
            <w:pPr>
              <w:numPr>
                <w:ilvl w:val="255"/>
                <w:numId w:val="0"/>
              </w:numPr>
              <w:jc w:val="left"/>
              <w:rPr>
                <w:rFonts w:ascii="仿宋" w:hAnsi="仿宋" w:eastAsia="仿宋" w:cs="仿宋"/>
                <w:sz w:val="28"/>
                <w:szCs w:val="28"/>
              </w:rPr>
            </w:pPr>
            <w:r>
              <w:rPr>
                <w:rFonts w:hint="eastAsia" w:ascii="仿宋" w:hAnsi="仿宋" w:eastAsia="仿宋" w:cs="仿宋"/>
                <w:sz w:val="28"/>
                <w:szCs w:val="28"/>
              </w:rPr>
              <w:t>答：公司主要通过持续改进提升输配电及控制设备产品的市占率和盈利能力；持续提升取向硅钢产品市场竞争力和品牌影响力，确保传统产品稳定公司基本盘。超充项目通过提升已经建成场站的盈利能力，努力降低拓展项目及在建项目的建设成本和拓展成本，不断提升公司内部管理能力，通过向内要效益等多举并措提升公司的经营业绩。</w:t>
            </w:r>
            <w:r>
              <w:rPr>
                <w:rFonts w:hint="eastAsia" w:ascii="仿宋" w:hAnsi="仿宋" w:eastAsia="仿宋" w:cs="仿宋"/>
                <w:sz w:val="28"/>
                <w:szCs w:val="28"/>
              </w:rPr>
              <w:br w:type="textWrapping"/>
            </w:r>
            <w:r>
              <w:rPr>
                <w:rFonts w:hint="eastAsia" w:ascii="仿宋" w:hAnsi="仿宋" w:eastAsia="仿宋" w:cs="仿宋"/>
                <w:b/>
                <w:bCs/>
                <w:sz w:val="28"/>
                <w:szCs w:val="28"/>
              </w:rPr>
              <w:t>13、公司公众号提及的跟华为合作的智能设备制造业务，现在进展及后期预期如何？</w:t>
            </w:r>
            <w:r>
              <w:rPr>
                <w:rFonts w:hint="eastAsia" w:ascii="仿宋" w:hAnsi="仿宋" w:eastAsia="仿宋" w:cs="仿宋"/>
                <w:sz w:val="28"/>
                <w:szCs w:val="28"/>
              </w:rPr>
              <w:br w:type="textWrapping"/>
            </w:r>
            <w:r>
              <w:rPr>
                <w:rFonts w:hint="eastAsia" w:ascii="仿宋" w:hAnsi="仿宋" w:eastAsia="仿宋" w:cs="仿宋"/>
                <w:sz w:val="28"/>
                <w:szCs w:val="28"/>
              </w:rPr>
              <w:t xml:space="preserve">答：作为华为兆瓦超充生态的核心共建者与重要合作伙伴，公司早在今年的3月9日2026华为超充・重卡经销商生态大会上，公司便已重磅亮相，发布兆瓦级变充一体设备及预制舱变电站两大核心产品，推出四大灵活合作模式；随着重卡充电产品成功投放与建站合作模式创新突破，这一全新业务组合正加速形成规模效应，将有望成为公司未来业绩增长的持续性引擎。   </w:t>
            </w:r>
          </w:p>
          <w:p>
            <w:pPr>
              <w:numPr>
                <w:ilvl w:val="255"/>
                <w:numId w:val="0"/>
              </w:numPr>
              <w:jc w:val="left"/>
              <w:rPr>
                <w:rFonts w:hint="eastAsia" w:ascii="仿宋" w:hAnsi="仿宋" w:eastAsia="仿宋" w:cs="仿宋"/>
                <w:sz w:val="28"/>
                <w:szCs w:val="28"/>
              </w:rPr>
            </w:pPr>
            <w:r>
              <w:rPr>
                <w:rFonts w:hint="eastAsia" w:ascii="仿宋" w:hAnsi="仿宋" w:eastAsia="仿宋" w:cs="仿宋"/>
                <w:b/>
                <w:bCs/>
                <w:sz w:val="28"/>
                <w:szCs w:val="28"/>
              </w:rPr>
              <w:t>14、目前铜价仍居高位，原材料成本上涨对公司业务的影响如何？</w:t>
            </w:r>
          </w:p>
          <w:p>
            <w:pPr>
              <w:numPr>
                <w:ilvl w:val="255"/>
                <w:numId w:val="0"/>
              </w:numPr>
              <w:jc w:val="left"/>
              <w:rPr>
                <w:rFonts w:hint="eastAsia" w:ascii="仿宋" w:hAnsi="仿宋" w:eastAsia="仿宋" w:cs="仿宋"/>
                <w:sz w:val="28"/>
                <w:szCs w:val="28"/>
              </w:rPr>
            </w:pPr>
            <w:r>
              <w:rPr>
                <w:rFonts w:hint="eastAsia" w:ascii="仿宋" w:hAnsi="仿宋" w:eastAsia="仿宋" w:cs="仿宋"/>
                <w:sz w:val="28"/>
                <w:szCs w:val="28"/>
              </w:rPr>
              <w:t>答：公司正视原材料价格上涨带来的成本压力，近期公司也已公告为充分利用期货市场的套期保值功能，有效控制市场风险，降低原料市场价格波动对公司生产经营成本的影响，提升公司整体抵御风险能力，增强财务稳健性。根据生产产品原材料需求测算，公司及下属子公司（包含全资及控股子公司等）2026年度拟对铜期货套期保值</w:t>
            </w:r>
            <w:r>
              <w:rPr>
                <w:rFonts w:hint="eastAsia" w:ascii="仿宋" w:hAnsi="仿宋" w:eastAsia="仿宋" w:cs="仿宋"/>
                <w:sz w:val="28"/>
                <w:szCs w:val="28"/>
                <w:lang w:val="en-US" w:eastAsia="zh-CN"/>
              </w:rPr>
              <w:t>,相关具体情况详见公司已发布的《</w:t>
            </w:r>
            <w:r>
              <w:rPr>
                <w:rFonts w:hint="eastAsia" w:ascii="仿宋" w:hAnsi="仿宋" w:eastAsia="仿宋" w:cs="仿宋"/>
                <w:sz w:val="28"/>
                <w:szCs w:val="28"/>
              </w:rPr>
              <w:t>关于开展2026年度商品期货套期保值业务的公告</w:t>
            </w:r>
            <w:r>
              <w:rPr>
                <w:rFonts w:hint="eastAsia" w:ascii="仿宋" w:hAnsi="仿宋" w:eastAsia="仿宋" w:cs="仿宋"/>
                <w:sz w:val="28"/>
                <w:szCs w:val="28"/>
                <w:lang w:val="en-US" w:eastAsia="zh-CN"/>
              </w:rPr>
              <w:t>》。</w:t>
            </w:r>
            <w:r>
              <w:rPr>
                <w:rFonts w:hint="eastAsia" w:ascii="仿宋" w:hAnsi="仿宋" w:eastAsia="仿宋" w:cs="仿宋"/>
                <w:sz w:val="28"/>
                <w:szCs w:val="28"/>
              </w:rPr>
              <w:t>同时，公司优化供应链管理、与供应商建立长期合作以稳定采购；推动技术升级和生产效率的提高以降低成本；在此基础上，公司根据市场供需状况和成本变化适时调整产品售价，部分传导成本压力。未来，公司将继续聚焦于供应链优化、产品结构升级和技术创新，以提升在原材料价格波动环境下的经营韧性和竞争力。</w:t>
            </w:r>
          </w:p>
          <w:p>
            <w:pPr>
              <w:numPr>
                <w:ilvl w:val="255"/>
                <w:numId w:val="0"/>
              </w:numPr>
              <w:jc w:val="left"/>
              <w:rPr>
                <w:rFonts w:hint="eastAsia" w:ascii="仿宋" w:hAnsi="仿宋" w:eastAsia="仿宋" w:cs="仿宋"/>
                <w:b/>
                <w:bCs/>
                <w:sz w:val="28"/>
                <w:szCs w:val="28"/>
              </w:rPr>
            </w:pPr>
            <w:r>
              <w:rPr>
                <w:rFonts w:hint="eastAsia" w:ascii="仿宋" w:hAnsi="仿宋" w:eastAsia="仿宋" w:cs="仿宋"/>
                <w:b/>
                <w:bCs/>
                <w:sz w:val="28"/>
                <w:szCs w:val="28"/>
              </w:rPr>
              <w:t>15、输配电及控制设备业务存在账期问题，公司应收账款额大，在公司利润本就持续下滑的情形下，公司如何避免应收账款坏账风险？</w:t>
            </w:r>
          </w:p>
          <w:p>
            <w:pPr>
              <w:numPr>
                <w:ilvl w:val="255"/>
                <w:numId w:val="0"/>
              </w:numPr>
              <w:jc w:val="left"/>
              <w:rPr>
                <w:rFonts w:hint="eastAsia" w:ascii="仿宋" w:hAnsi="仿宋" w:eastAsia="仿宋" w:cs="仿宋"/>
                <w:sz w:val="28"/>
                <w:szCs w:val="28"/>
              </w:rPr>
            </w:pPr>
            <w:r>
              <w:rPr>
                <w:rFonts w:hint="eastAsia" w:ascii="仿宋" w:hAnsi="仿宋" w:eastAsia="仿宋" w:cs="仿宋"/>
                <w:sz w:val="28"/>
                <w:szCs w:val="28"/>
              </w:rPr>
              <w:t>答：公司高度重视营运资金管理与风险防控，已建立覆盖“事前评估、事中跟踪、事后处置”全流程的应收账款管控体系。通过严格的客户信用评级、动态账期管理及专项催收机制，有效控制坏账风险。目前公司账期结构健康，整体风险处于可控区间。</w:t>
            </w:r>
          </w:p>
          <w:p>
            <w:pPr>
              <w:numPr>
                <w:ilvl w:val="255"/>
                <w:numId w:val="0"/>
              </w:numPr>
              <w:jc w:val="left"/>
              <w:rPr>
                <w:rFonts w:hint="eastAsia" w:ascii="仿宋" w:hAnsi="仿宋" w:eastAsia="仿宋" w:cs="仿宋"/>
                <w:sz w:val="28"/>
                <w:szCs w:val="28"/>
              </w:rPr>
            </w:pPr>
            <w:r>
              <w:rPr>
                <w:rFonts w:hint="eastAsia" w:ascii="仿宋" w:hAnsi="仿宋" w:eastAsia="仿宋" w:cs="仿宋"/>
                <w:b/>
                <w:bCs/>
                <w:sz w:val="28"/>
                <w:szCs w:val="28"/>
              </w:rPr>
              <w:t>16、公司已出现资产负债率高的财务情况，公司有哪些措施与进展？</w:t>
            </w:r>
            <w:r>
              <w:rPr>
                <w:rFonts w:hint="eastAsia" w:ascii="仿宋" w:hAnsi="仿宋" w:eastAsia="仿宋" w:cs="仿宋"/>
                <w:sz w:val="28"/>
                <w:szCs w:val="28"/>
              </w:rPr>
              <w:br w:type="textWrapping"/>
            </w:r>
            <w:r>
              <w:rPr>
                <w:rFonts w:hint="eastAsia" w:ascii="仿宋" w:hAnsi="仿宋" w:eastAsia="仿宋" w:cs="仿宋"/>
                <w:sz w:val="28"/>
                <w:szCs w:val="28"/>
              </w:rPr>
              <w:t>答：</w:t>
            </w:r>
            <w:r>
              <w:rPr>
                <w:rFonts w:hint="eastAsia" w:ascii="仿宋" w:hAnsi="仿宋" w:eastAsia="仿宋" w:cs="仿宋"/>
                <w:sz w:val="28"/>
                <w:szCs w:val="28"/>
                <w:lang w:val="en-US" w:eastAsia="zh-CN"/>
              </w:rPr>
              <w:t>公司本年度</w:t>
            </w:r>
            <w:r>
              <w:rPr>
                <w:rFonts w:hint="eastAsia" w:ascii="仿宋" w:hAnsi="仿宋" w:eastAsia="仿宋" w:cs="仿宋"/>
                <w:sz w:val="28"/>
                <w:szCs w:val="28"/>
              </w:rPr>
              <w:t>实控人定增资金已经到位，对改善公司财务结构、降低资产负债率起到了一定效果；资产负债率较高原因主要是公司自筹资金建设八万吨高端磁性材料项目和收购云变100%股权的项目贷和并购贷导致的，该两个项目均已实现预期目标并持续为公司贡献业绩；公司将努力通过降库、降应收款等多项措施，提升公司财务质量降低财务风险</w:t>
            </w:r>
            <w:r>
              <w:rPr>
                <w:rFonts w:hint="eastAsia" w:ascii="仿宋" w:hAnsi="仿宋" w:eastAsia="仿宋" w:cs="仿宋"/>
                <w:sz w:val="28"/>
                <w:szCs w:val="28"/>
                <w:lang w:eastAsia="zh-CN"/>
              </w:rPr>
              <w:t>。</w:t>
            </w:r>
          </w:p>
          <w:p>
            <w:pPr>
              <w:numPr>
                <w:ilvl w:val="255"/>
                <w:numId w:val="0"/>
              </w:numPr>
              <w:jc w:val="left"/>
              <w:rPr>
                <w:rFonts w:hint="eastAsia" w:ascii="仿宋" w:hAnsi="仿宋" w:eastAsia="仿宋" w:cs="仿宋"/>
                <w:sz w:val="28"/>
                <w:szCs w:val="28"/>
              </w:rPr>
            </w:pPr>
            <w:r>
              <w:rPr>
                <w:rFonts w:hint="eastAsia" w:ascii="仿宋" w:hAnsi="仿宋" w:eastAsia="仿宋" w:cs="仿宋"/>
                <w:b/>
                <w:bCs/>
                <w:sz w:val="28"/>
                <w:szCs w:val="28"/>
              </w:rPr>
              <w:t>17、公司本次定增募集资金用于补充流动资金，具体将如何规划使用？是有针对具体什么新项目吗？</w:t>
            </w:r>
            <w:r>
              <w:rPr>
                <w:rFonts w:hint="eastAsia" w:ascii="仿宋" w:hAnsi="仿宋" w:eastAsia="仿宋" w:cs="仿宋"/>
                <w:sz w:val="28"/>
                <w:szCs w:val="28"/>
              </w:rPr>
              <w:br w:type="textWrapping"/>
            </w:r>
            <w:r>
              <w:rPr>
                <w:rFonts w:hint="eastAsia" w:ascii="仿宋" w:hAnsi="仿宋" w:eastAsia="仿宋" w:cs="仿宋"/>
                <w:sz w:val="28"/>
                <w:szCs w:val="28"/>
              </w:rPr>
              <w:t>答：</w:t>
            </w:r>
            <w:r>
              <w:rPr>
                <w:rFonts w:hint="eastAsia" w:ascii="仿宋" w:hAnsi="仿宋" w:eastAsia="仿宋" w:cs="仿宋"/>
                <w:sz w:val="28"/>
                <w:szCs w:val="28"/>
                <w:lang w:val="en-US" w:eastAsia="zh-CN"/>
              </w:rPr>
              <w:t>公司本次定增募集资金用途就是补充流动资金</w:t>
            </w:r>
            <w:r>
              <w:rPr>
                <w:rFonts w:hint="eastAsia" w:ascii="仿宋" w:hAnsi="仿宋" w:eastAsia="仿宋" w:cs="仿宋"/>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1792" w:type="dxa"/>
          </w:tcPr>
          <w:p>
            <w:pPr>
              <w:spacing w:line="360" w:lineRule="auto"/>
              <w:jc w:val="center"/>
              <w:rPr>
                <w:b/>
                <w:bCs/>
                <w:sz w:val="24"/>
                <w:szCs w:val="32"/>
              </w:rPr>
            </w:pPr>
            <w:r>
              <w:rPr>
                <w:rFonts w:hint="eastAsia" w:ascii="仿宋" w:hAnsi="仿宋" w:eastAsia="仿宋" w:cs="仿宋"/>
                <w:b/>
                <w:bCs/>
                <w:spacing w:val="-2"/>
                <w:sz w:val="28"/>
                <w:szCs w:val="28"/>
              </w:rPr>
              <w:t xml:space="preserve"> 附件清单 (如有)</w:t>
            </w:r>
          </w:p>
        </w:tc>
        <w:tc>
          <w:tcPr>
            <w:tcW w:w="6662" w:type="dxa"/>
          </w:tcPr>
          <w:p>
            <w:pPr>
              <w:spacing w:line="360" w:lineRule="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2" w:type="dxa"/>
          </w:tcPr>
          <w:p>
            <w:pPr>
              <w:spacing w:line="360" w:lineRule="auto"/>
              <w:ind w:firstLine="277" w:firstLineChars="100"/>
              <w:jc w:val="left"/>
              <w:rPr>
                <w:rFonts w:hint="eastAsia" w:ascii="仿宋" w:hAnsi="仿宋" w:eastAsia="仿宋" w:cs="仿宋"/>
                <w:b/>
                <w:bCs/>
                <w:spacing w:val="-2"/>
                <w:sz w:val="28"/>
                <w:szCs w:val="28"/>
              </w:rPr>
            </w:pPr>
            <w:r>
              <w:rPr>
                <w:rFonts w:hint="eastAsia" w:ascii="仿宋" w:hAnsi="仿宋" w:eastAsia="仿宋" w:cs="仿宋"/>
                <w:b/>
                <w:bCs/>
                <w:spacing w:val="-2"/>
                <w:sz w:val="28"/>
                <w:szCs w:val="28"/>
              </w:rPr>
              <w:t>相关提示</w:t>
            </w:r>
          </w:p>
        </w:tc>
        <w:tc>
          <w:tcPr>
            <w:tcW w:w="6662" w:type="dxa"/>
          </w:tcPr>
          <w:p>
            <w:pPr>
              <w:widowControl/>
              <w:spacing w:line="360" w:lineRule="auto"/>
              <w:jc w:val="left"/>
            </w:pPr>
            <w:r>
              <w:rPr>
                <w:rFonts w:hint="eastAsia" w:ascii="仿宋" w:hAnsi="仿宋" w:eastAsia="仿宋" w:cs="仿宋"/>
                <w:sz w:val="28"/>
                <w:szCs w:val="28"/>
              </w:rPr>
              <w:t>调研内容均不涉及公司内幕信息及相关未披露的重大事项信息。内容涉及对行业的预测、公司发展战略规划等相关内容，不能视作公司或公司管理层对行业、公司发展的承诺和保证，敬请广大投资者注意投资风险。</w:t>
            </w:r>
          </w:p>
        </w:tc>
      </w:tr>
    </w:tbl>
    <w:p/>
    <w:sectPr>
      <w:pgSz w:w="11906" w:h="16838"/>
      <w:pgMar w:top="12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MS PGothic">
    <w:panose1 w:val="020B0600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yODMxYTE0ZTc0ZGU3Y2QwODc3MzYzN2Q1YmNiM2EifQ=="/>
  </w:docVars>
  <w:rsids>
    <w:rsidRoot w:val="00172A27"/>
    <w:rsid w:val="00013D5E"/>
    <w:rsid w:val="00013F2A"/>
    <w:rsid w:val="00025CC2"/>
    <w:rsid w:val="00052418"/>
    <w:rsid w:val="00065631"/>
    <w:rsid w:val="00065EB1"/>
    <w:rsid w:val="00086FF0"/>
    <w:rsid w:val="00097FFB"/>
    <w:rsid w:val="000D4D80"/>
    <w:rsid w:val="000F3D26"/>
    <w:rsid w:val="00126AED"/>
    <w:rsid w:val="00142881"/>
    <w:rsid w:val="00172A27"/>
    <w:rsid w:val="00174AF0"/>
    <w:rsid w:val="00180DE1"/>
    <w:rsid w:val="00181A75"/>
    <w:rsid w:val="00194169"/>
    <w:rsid w:val="001B4E56"/>
    <w:rsid w:val="001B72C1"/>
    <w:rsid w:val="001C2038"/>
    <w:rsid w:val="001D35C7"/>
    <w:rsid w:val="001D4EFA"/>
    <w:rsid w:val="002005EA"/>
    <w:rsid w:val="002201E3"/>
    <w:rsid w:val="002418BA"/>
    <w:rsid w:val="00254BBC"/>
    <w:rsid w:val="002655E7"/>
    <w:rsid w:val="00272127"/>
    <w:rsid w:val="0027620F"/>
    <w:rsid w:val="002A5024"/>
    <w:rsid w:val="0031124A"/>
    <w:rsid w:val="003368B2"/>
    <w:rsid w:val="00336BA3"/>
    <w:rsid w:val="003534BF"/>
    <w:rsid w:val="003A73B3"/>
    <w:rsid w:val="003B1706"/>
    <w:rsid w:val="003D1413"/>
    <w:rsid w:val="003E5AA6"/>
    <w:rsid w:val="00403D34"/>
    <w:rsid w:val="00414BB4"/>
    <w:rsid w:val="00436D28"/>
    <w:rsid w:val="00456294"/>
    <w:rsid w:val="00486805"/>
    <w:rsid w:val="004B0A7B"/>
    <w:rsid w:val="004E5ABD"/>
    <w:rsid w:val="004F5749"/>
    <w:rsid w:val="00514BE7"/>
    <w:rsid w:val="00515EDE"/>
    <w:rsid w:val="005A2DDF"/>
    <w:rsid w:val="005D4831"/>
    <w:rsid w:val="005D7DA2"/>
    <w:rsid w:val="005F416C"/>
    <w:rsid w:val="00601749"/>
    <w:rsid w:val="006227BD"/>
    <w:rsid w:val="00644BB0"/>
    <w:rsid w:val="006464D5"/>
    <w:rsid w:val="0067780C"/>
    <w:rsid w:val="006A0B21"/>
    <w:rsid w:val="006A68BB"/>
    <w:rsid w:val="006C3C21"/>
    <w:rsid w:val="006D3243"/>
    <w:rsid w:val="006E764C"/>
    <w:rsid w:val="00714693"/>
    <w:rsid w:val="00740926"/>
    <w:rsid w:val="007E6D44"/>
    <w:rsid w:val="00814B2F"/>
    <w:rsid w:val="00833C9D"/>
    <w:rsid w:val="008366D5"/>
    <w:rsid w:val="00862215"/>
    <w:rsid w:val="0088017F"/>
    <w:rsid w:val="008818C9"/>
    <w:rsid w:val="008A00DB"/>
    <w:rsid w:val="008A69FD"/>
    <w:rsid w:val="008C10A9"/>
    <w:rsid w:val="008C2D17"/>
    <w:rsid w:val="008C4853"/>
    <w:rsid w:val="008C60AF"/>
    <w:rsid w:val="00921781"/>
    <w:rsid w:val="00935E4B"/>
    <w:rsid w:val="00976954"/>
    <w:rsid w:val="009A6D94"/>
    <w:rsid w:val="009C378D"/>
    <w:rsid w:val="009D0775"/>
    <w:rsid w:val="009F6404"/>
    <w:rsid w:val="00A15A23"/>
    <w:rsid w:val="00A1652E"/>
    <w:rsid w:val="00A1748C"/>
    <w:rsid w:val="00A21894"/>
    <w:rsid w:val="00A40B7A"/>
    <w:rsid w:val="00A450B6"/>
    <w:rsid w:val="00A5380F"/>
    <w:rsid w:val="00A72B6A"/>
    <w:rsid w:val="00A74073"/>
    <w:rsid w:val="00A90D34"/>
    <w:rsid w:val="00A96CC9"/>
    <w:rsid w:val="00AB456F"/>
    <w:rsid w:val="00B010DC"/>
    <w:rsid w:val="00B27AB7"/>
    <w:rsid w:val="00B4710E"/>
    <w:rsid w:val="00B96C36"/>
    <w:rsid w:val="00BA5812"/>
    <w:rsid w:val="00BB67A9"/>
    <w:rsid w:val="00BF274D"/>
    <w:rsid w:val="00C114B4"/>
    <w:rsid w:val="00C15888"/>
    <w:rsid w:val="00C22483"/>
    <w:rsid w:val="00C31931"/>
    <w:rsid w:val="00C46D12"/>
    <w:rsid w:val="00C505DD"/>
    <w:rsid w:val="00C5503C"/>
    <w:rsid w:val="00CE55C5"/>
    <w:rsid w:val="00CE6ED0"/>
    <w:rsid w:val="00D10841"/>
    <w:rsid w:val="00D21930"/>
    <w:rsid w:val="00D553F4"/>
    <w:rsid w:val="00DA4071"/>
    <w:rsid w:val="00DE6EC6"/>
    <w:rsid w:val="00DF24CE"/>
    <w:rsid w:val="00DF708B"/>
    <w:rsid w:val="00E9768D"/>
    <w:rsid w:val="00EA1DC2"/>
    <w:rsid w:val="00EA2274"/>
    <w:rsid w:val="00EA2D9A"/>
    <w:rsid w:val="00EB5F7E"/>
    <w:rsid w:val="00EC1EEE"/>
    <w:rsid w:val="00ED1C4E"/>
    <w:rsid w:val="00ED7DCB"/>
    <w:rsid w:val="00F02C55"/>
    <w:rsid w:val="00F16D0B"/>
    <w:rsid w:val="00F17782"/>
    <w:rsid w:val="00F3330A"/>
    <w:rsid w:val="00F63F50"/>
    <w:rsid w:val="00F765A5"/>
    <w:rsid w:val="00F864BF"/>
    <w:rsid w:val="00FA00A3"/>
    <w:rsid w:val="00FA0617"/>
    <w:rsid w:val="00FA51AD"/>
    <w:rsid w:val="00FD1CC3"/>
    <w:rsid w:val="00FE1A6E"/>
    <w:rsid w:val="00FF4099"/>
    <w:rsid w:val="01284E1B"/>
    <w:rsid w:val="013E75F8"/>
    <w:rsid w:val="016420F2"/>
    <w:rsid w:val="01C20073"/>
    <w:rsid w:val="020060F9"/>
    <w:rsid w:val="02134CB8"/>
    <w:rsid w:val="027470CC"/>
    <w:rsid w:val="02E96BCD"/>
    <w:rsid w:val="02EE5EC8"/>
    <w:rsid w:val="02F32E0C"/>
    <w:rsid w:val="02F47D1B"/>
    <w:rsid w:val="03237D85"/>
    <w:rsid w:val="03986CEB"/>
    <w:rsid w:val="03BE368D"/>
    <w:rsid w:val="03C74BB5"/>
    <w:rsid w:val="042B21AE"/>
    <w:rsid w:val="04574920"/>
    <w:rsid w:val="04775F12"/>
    <w:rsid w:val="04E173D1"/>
    <w:rsid w:val="04F16AB7"/>
    <w:rsid w:val="051B0D6D"/>
    <w:rsid w:val="0536650D"/>
    <w:rsid w:val="054C52D8"/>
    <w:rsid w:val="05C124D3"/>
    <w:rsid w:val="05CE4BC5"/>
    <w:rsid w:val="069468A4"/>
    <w:rsid w:val="07293D6D"/>
    <w:rsid w:val="079239C5"/>
    <w:rsid w:val="079C3C62"/>
    <w:rsid w:val="07B94BDA"/>
    <w:rsid w:val="07C54B4B"/>
    <w:rsid w:val="07D102E3"/>
    <w:rsid w:val="07FF4FEA"/>
    <w:rsid w:val="08086333"/>
    <w:rsid w:val="083F6263"/>
    <w:rsid w:val="08406CE4"/>
    <w:rsid w:val="086053D6"/>
    <w:rsid w:val="08694E0E"/>
    <w:rsid w:val="08A95EF6"/>
    <w:rsid w:val="08B13535"/>
    <w:rsid w:val="08BD0334"/>
    <w:rsid w:val="09873FB3"/>
    <w:rsid w:val="09950955"/>
    <w:rsid w:val="09C676BC"/>
    <w:rsid w:val="09D970FB"/>
    <w:rsid w:val="0A2911E1"/>
    <w:rsid w:val="0AA52A4B"/>
    <w:rsid w:val="0AB96EDF"/>
    <w:rsid w:val="0B416CC0"/>
    <w:rsid w:val="0B482792"/>
    <w:rsid w:val="0B656DE1"/>
    <w:rsid w:val="0B7C0033"/>
    <w:rsid w:val="0B8B40BA"/>
    <w:rsid w:val="0B9A2D2D"/>
    <w:rsid w:val="0BBC492E"/>
    <w:rsid w:val="0BE53059"/>
    <w:rsid w:val="0C27489D"/>
    <w:rsid w:val="0CA2437E"/>
    <w:rsid w:val="0CC65D86"/>
    <w:rsid w:val="0CE813E4"/>
    <w:rsid w:val="0D1B1ACD"/>
    <w:rsid w:val="0D244E26"/>
    <w:rsid w:val="0D5355B7"/>
    <w:rsid w:val="0D553692"/>
    <w:rsid w:val="0D613090"/>
    <w:rsid w:val="0D9123B3"/>
    <w:rsid w:val="0D984241"/>
    <w:rsid w:val="0DA66F51"/>
    <w:rsid w:val="0DAA2575"/>
    <w:rsid w:val="0DBB7AFD"/>
    <w:rsid w:val="0DFB5FF5"/>
    <w:rsid w:val="0E4478C6"/>
    <w:rsid w:val="0E460794"/>
    <w:rsid w:val="0E461F04"/>
    <w:rsid w:val="0E637FDA"/>
    <w:rsid w:val="0EA15698"/>
    <w:rsid w:val="0F056591"/>
    <w:rsid w:val="0F080F08"/>
    <w:rsid w:val="0F585187"/>
    <w:rsid w:val="0F7D2198"/>
    <w:rsid w:val="0F8C6010"/>
    <w:rsid w:val="0FBE58EE"/>
    <w:rsid w:val="0FF54B8C"/>
    <w:rsid w:val="10072271"/>
    <w:rsid w:val="103121E7"/>
    <w:rsid w:val="103143DF"/>
    <w:rsid w:val="10583A7A"/>
    <w:rsid w:val="109B0818"/>
    <w:rsid w:val="10A739D5"/>
    <w:rsid w:val="10BB519D"/>
    <w:rsid w:val="10C10D6E"/>
    <w:rsid w:val="110A7E8F"/>
    <w:rsid w:val="1114107F"/>
    <w:rsid w:val="115D0AC9"/>
    <w:rsid w:val="11651119"/>
    <w:rsid w:val="11710A28"/>
    <w:rsid w:val="11A76ED1"/>
    <w:rsid w:val="11BB1862"/>
    <w:rsid w:val="11F47D3F"/>
    <w:rsid w:val="120224E3"/>
    <w:rsid w:val="12034295"/>
    <w:rsid w:val="1221208B"/>
    <w:rsid w:val="122F22A3"/>
    <w:rsid w:val="1253015A"/>
    <w:rsid w:val="12557603"/>
    <w:rsid w:val="127C6B6A"/>
    <w:rsid w:val="12B117A1"/>
    <w:rsid w:val="13566077"/>
    <w:rsid w:val="136046DE"/>
    <w:rsid w:val="13AA3D1E"/>
    <w:rsid w:val="13DC7C8A"/>
    <w:rsid w:val="13E23345"/>
    <w:rsid w:val="13FE2086"/>
    <w:rsid w:val="14307D5E"/>
    <w:rsid w:val="143E1595"/>
    <w:rsid w:val="14A800EA"/>
    <w:rsid w:val="157D5ACE"/>
    <w:rsid w:val="157E1EF2"/>
    <w:rsid w:val="15CB6F31"/>
    <w:rsid w:val="16302145"/>
    <w:rsid w:val="164E43BB"/>
    <w:rsid w:val="16626077"/>
    <w:rsid w:val="16665CBB"/>
    <w:rsid w:val="16791831"/>
    <w:rsid w:val="17271DF9"/>
    <w:rsid w:val="17443F1A"/>
    <w:rsid w:val="174B04D5"/>
    <w:rsid w:val="1763586C"/>
    <w:rsid w:val="1771193C"/>
    <w:rsid w:val="17887D5F"/>
    <w:rsid w:val="17EF3F46"/>
    <w:rsid w:val="18057602"/>
    <w:rsid w:val="18756BA8"/>
    <w:rsid w:val="18824CEE"/>
    <w:rsid w:val="189A2BFA"/>
    <w:rsid w:val="189A34D5"/>
    <w:rsid w:val="18D41224"/>
    <w:rsid w:val="18EA4FC5"/>
    <w:rsid w:val="18F97D87"/>
    <w:rsid w:val="19252D8F"/>
    <w:rsid w:val="193B413F"/>
    <w:rsid w:val="19933997"/>
    <w:rsid w:val="19B10934"/>
    <w:rsid w:val="1A4D521D"/>
    <w:rsid w:val="1A506DCE"/>
    <w:rsid w:val="1AEB69E4"/>
    <w:rsid w:val="1B0D155D"/>
    <w:rsid w:val="1B2C2344"/>
    <w:rsid w:val="1B3D709A"/>
    <w:rsid w:val="1BB71CD0"/>
    <w:rsid w:val="1BE2740F"/>
    <w:rsid w:val="1C0702B5"/>
    <w:rsid w:val="1C0A2C53"/>
    <w:rsid w:val="1C142B6E"/>
    <w:rsid w:val="1C164930"/>
    <w:rsid w:val="1C385050"/>
    <w:rsid w:val="1C3927D6"/>
    <w:rsid w:val="1C8F11FD"/>
    <w:rsid w:val="1CA05B4B"/>
    <w:rsid w:val="1CDE5159"/>
    <w:rsid w:val="1CE45B0D"/>
    <w:rsid w:val="1CEF5573"/>
    <w:rsid w:val="1D100F23"/>
    <w:rsid w:val="1D232A04"/>
    <w:rsid w:val="1D4B6CB9"/>
    <w:rsid w:val="1D6C418B"/>
    <w:rsid w:val="1DAE510B"/>
    <w:rsid w:val="1DBD4D7F"/>
    <w:rsid w:val="1E102EF7"/>
    <w:rsid w:val="1E5438BD"/>
    <w:rsid w:val="1E5953A7"/>
    <w:rsid w:val="1E7E4D14"/>
    <w:rsid w:val="1EBC5191"/>
    <w:rsid w:val="1F1F369F"/>
    <w:rsid w:val="1F690F58"/>
    <w:rsid w:val="20272301"/>
    <w:rsid w:val="20382140"/>
    <w:rsid w:val="20452672"/>
    <w:rsid w:val="20653548"/>
    <w:rsid w:val="207842BC"/>
    <w:rsid w:val="20A35799"/>
    <w:rsid w:val="20A8063A"/>
    <w:rsid w:val="21135143"/>
    <w:rsid w:val="21245CDD"/>
    <w:rsid w:val="213B6D8D"/>
    <w:rsid w:val="21464F13"/>
    <w:rsid w:val="216E7866"/>
    <w:rsid w:val="22170A70"/>
    <w:rsid w:val="221C5C74"/>
    <w:rsid w:val="222D5297"/>
    <w:rsid w:val="225A2C43"/>
    <w:rsid w:val="2279283A"/>
    <w:rsid w:val="227D0076"/>
    <w:rsid w:val="22993768"/>
    <w:rsid w:val="22C8294E"/>
    <w:rsid w:val="22DA54E7"/>
    <w:rsid w:val="22DE6CDF"/>
    <w:rsid w:val="23163A8F"/>
    <w:rsid w:val="231B23CF"/>
    <w:rsid w:val="2322550C"/>
    <w:rsid w:val="23242738"/>
    <w:rsid w:val="23357B35"/>
    <w:rsid w:val="233D19B4"/>
    <w:rsid w:val="235B35D0"/>
    <w:rsid w:val="23A324C0"/>
    <w:rsid w:val="24101808"/>
    <w:rsid w:val="2458710C"/>
    <w:rsid w:val="24605395"/>
    <w:rsid w:val="2462649A"/>
    <w:rsid w:val="24D05488"/>
    <w:rsid w:val="251807D0"/>
    <w:rsid w:val="253D070B"/>
    <w:rsid w:val="255363D8"/>
    <w:rsid w:val="259B1AA7"/>
    <w:rsid w:val="259B44F8"/>
    <w:rsid w:val="259E5319"/>
    <w:rsid w:val="26924584"/>
    <w:rsid w:val="26A42BA9"/>
    <w:rsid w:val="27210CB1"/>
    <w:rsid w:val="276A122F"/>
    <w:rsid w:val="27714256"/>
    <w:rsid w:val="277574DF"/>
    <w:rsid w:val="27C96CC8"/>
    <w:rsid w:val="27D259A3"/>
    <w:rsid w:val="27E9286C"/>
    <w:rsid w:val="285A7228"/>
    <w:rsid w:val="289E62C6"/>
    <w:rsid w:val="28BB5582"/>
    <w:rsid w:val="28D61962"/>
    <w:rsid w:val="29B50E26"/>
    <w:rsid w:val="29E3139F"/>
    <w:rsid w:val="2A3B763C"/>
    <w:rsid w:val="2A6F1301"/>
    <w:rsid w:val="2A99107E"/>
    <w:rsid w:val="2AA1140C"/>
    <w:rsid w:val="2AC428D0"/>
    <w:rsid w:val="2ACB2C0E"/>
    <w:rsid w:val="2AD029CD"/>
    <w:rsid w:val="2AE11247"/>
    <w:rsid w:val="2AE4326A"/>
    <w:rsid w:val="2B74156D"/>
    <w:rsid w:val="2BB459BA"/>
    <w:rsid w:val="2C0E531F"/>
    <w:rsid w:val="2C4E7372"/>
    <w:rsid w:val="2CA27CCF"/>
    <w:rsid w:val="2CEF2903"/>
    <w:rsid w:val="2CF63EA5"/>
    <w:rsid w:val="2D412918"/>
    <w:rsid w:val="2D61440C"/>
    <w:rsid w:val="2D6F0515"/>
    <w:rsid w:val="2DCE2070"/>
    <w:rsid w:val="2DE80973"/>
    <w:rsid w:val="2DE92F75"/>
    <w:rsid w:val="2DEF266F"/>
    <w:rsid w:val="2E0E4369"/>
    <w:rsid w:val="2E53443E"/>
    <w:rsid w:val="2E617528"/>
    <w:rsid w:val="2E805365"/>
    <w:rsid w:val="2E913E63"/>
    <w:rsid w:val="2EC01514"/>
    <w:rsid w:val="2F125AA3"/>
    <w:rsid w:val="2F302D5E"/>
    <w:rsid w:val="2F4900A4"/>
    <w:rsid w:val="2F623869"/>
    <w:rsid w:val="2F837401"/>
    <w:rsid w:val="2F857D67"/>
    <w:rsid w:val="2FE2647C"/>
    <w:rsid w:val="3024536D"/>
    <w:rsid w:val="30385986"/>
    <w:rsid w:val="304C7546"/>
    <w:rsid w:val="306D0A4D"/>
    <w:rsid w:val="30BE5A67"/>
    <w:rsid w:val="30C955DC"/>
    <w:rsid w:val="30DE58EA"/>
    <w:rsid w:val="3115045E"/>
    <w:rsid w:val="31200E47"/>
    <w:rsid w:val="314B2DA7"/>
    <w:rsid w:val="31B77767"/>
    <w:rsid w:val="31CB61DD"/>
    <w:rsid w:val="31D86852"/>
    <w:rsid w:val="322375EB"/>
    <w:rsid w:val="325A1988"/>
    <w:rsid w:val="325B4961"/>
    <w:rsid w:val="32843012"/>
    <w:rsid w:val="328E5F80"/>
    <w:rsid w:val="32AA07AD"/>
    <w:rsid w:val="32AB26B5"/>
    <w:rsid w:val="32B7761C"/>
    <w:rsid w:val="32D63C1D"/>
    <w:rsid w:val="32F347CF"/>
    <w:rsid w:val="33015C82"/>
    <w:rsid w:val="337D071D"/>
    <w:rsid w:val="337D72C7"/>
    <w:rsid w:val="33F97BC3"/>
    <w:rsid w:val="342D2050"/>
    <w:rsid w:val="349B1368"/>
    <w:rsid w:val="34A05977"/>
    <w:rsid w:val="34D32B0A"/>
    <w:rsid w:val="350543B6"/>
    <w:rsid w:val="354107BC"/>
    <w:rsid w:val="35501E23"/>
    <w:rsid w:val="35672E55"/>
    <w:rsid w:val="35675E3D"/>
    <w:rsid w:val="35934A0F"/>
    <w:rsid w:val="35AD18B2"/>
    <w:rsid w:val="35D07322"/>
    <w:rsid w:val="36071C0F"/>
    <w:rsid w:val="361A78AC"/>
    <w:rsid w:val="36366780"/>
    <w:rsid w:val="36A52284"/>
    <w:rsid w:val="36C53729"/>
    <w:rsid w:val="370E17C2"/>
    <w:rsid w:val="372806CC"/>
    <w:rsid w:val="37392E30"/>
    <w:rsid w:val="376D444E"/>
    <w:rsid w:val="37751BCC"/>
    <w:rsid w:val="37B620E2"/>
    <w:rsid w:val="37CA5DC3"/>
    <w:rsid w:val="37FA6FA7"/>
    <w:rsid w:val="380E7807"/>
    <w:rsid w:val="3811361D"/>
    <w:rsid w:val="38336ACB"/>
    <w:rsid w:val="385C3FDB"/>
    <w:rsid w:val="388F0AF6"/>
    <w:rsid w:val="38AE0D00"/>
    <w:rsid w:val="38AE38A9"/>
    <w:rsid w:val="38AF62FB"/>
    <w:rsid w:val="38BC1488"/>
    <w:rsid w:val="39333B77"/>
    <w:rsid w:val="398E0301"/>
    <w:rsid w:val="39AC6D2C"/>
    <w:rsid w:val="39BE02CB"/>
    <w:rsid w:val="39D82F9C"/>
    <w:rsid w:val="3A3F2259"/>
    <w:rsid w:val="3A4C28FB"/>
    <w:rsid w:val="3A7B6A9F"/>
    <w:rsid w:val="3AA30888"/>
    <w:rsid w:val="3B133C60"/>
    <w:rsid w:val="3B235B76"/>
    <w:rsid w:val="3B275D45"/>
    <w:rsid w:val="3B331C0C"/>
    <w:rsid w:val="3B653F56"/>
    <w:rsid w:val="3B961557"/>
    <w:rsid w:val="3B9A1C8B"/>
    <w:rsid w:val="3BFF3EE8"/>
    <w:rsid w:val="3C487939"/>
    <w:rsid w:val="3C506111"/>
    <w:rsid w:val="3CA04076"/>
    <w:rsid w:val="3CDE390D"/>
    <w:rsid w:val="3CDE58E9"/>
    <w:rsid w:val="3CE5188C"/>
    <w:rsid w:val="3CF63A53"/>
    <w:rsid w:val="3D171075"/>
    <w:rsid w:val="3D6C377B"/>
    <w:rsid w:val="3D6D6452"/>
    <w:rsid w:val="3D724579"/>
    <w:rsid w:val="3DB42DAD"/>
    <w:rsid w:val="3DE607E1"/>
    <w:rsid w:val="3DE9412E"/>
    <w:rsid w:val="3DF169B0"/>
    <w:rsid w:val="3DFD2205"/>
    <w:rsid w:val="3E170F3B"/>
    <w:rsid w:val="3E1D6BA4"/>
    <w:rsid w:val="3E4A58E8"/>
    <w:rsid w:val="3E83372B"/>
    <w:rsid w:val="3E8E421E"/>
    <w:rsid w:val="3E9660B6"/>
    <w:rsid w:val="3EAE2E24"/>
    <w:rsid w:val="3EB27BA5"/>
    <w:rsid w:val="3EE52729"/>
    <w:rsid w:val="3F141D55"/>
    <w:rsid w:val="3F244CC1"/>
    <w:rsid w:val="3F530871"/>
    <w:rsid w:val="3F5C46E6"/>
    <w:rsid w:val="3F6708E2"/>
    <w:rsid w:val="3FA253C9"/>
    <w:rsid w:val="3FC227CD"/>
    <w:rsid w:val="40403448"/>
    <w:rsid w:val="40E35ECB"/>
    <w:rsid w:val="41105DF3"/>
    <w:rsid w:val="411E4B7E"/>
    <w:rsid w:val="41486274"/>
    <w:rsid w:val="41D62EBD"/>
    <w:rsid w:val="4272634B"/>
    <w:rsid w:val="427E51A4"/>
    <w:rsid w:val="427F3FDA"/>
    <w:rsid w:val="42BC2416"/>
    <w:rsid w:val="42E42BC9"/>
    <w:rsid w:val="431762B8"/>
    <w:rsid w:val="435C0B63"/>
    <w:rsid w:val="438049FB"/>
    <w:rsid w:val="438F11EC"/>
    <w:rsid w:val="43C628AC"/>
    <w:rsid w:val="43EE4CC7"/>
    <w:rsid w:val="449129B0"/>
    <w:rsid w:val="449A6D4F"/>
    <w:rsid w:val="44A1445C"/>
    <w:rsid w:val="44B65017"/>
    <w:rsid w:val="44CA3141"/>
    <w:rsid w:val="44CB61A9"/>
    <w:rsid w:val="44D00A48"/>
    <w:rsid w:val="44DA7E8F"/>
    <w:rsid w:val="44DE5295"/>
    <w:rsid w:val="450F48DF"/>
    <w:rsid w:val="4527524F"/>
    <w:rsid w:val="454F3AE7"/>
    <w:rsid w:val="456D3C36"/>
    <w:rsid w:val="457101E2"/>
    <w:rsid w:val="458B74A6"/>
    <w:rsid w:val="45ED7D4D"/>
    <w:rsid w:val="461B65AA"/>
    <w:rsid w:val="462705C0"/>
    <w:rsid w:val="46393B5F"/>
    <w:rsid w:val="46655F66"/>
    <w:rsid w:val="46820218"/>
    <w:rsid w:val="46DB13AA"/>
    <w:rsid w:val="477F3EB0"/>
    <w:rsid w:val="47D013F3"/>
    <w:rsid w:val="47D33A8B"/>
    <w:rsid w:val="47DE6C76"/>
    <w:rsid w:val="47E17BFB"/>
    <w:rsid w:val="47F42887"/>
    <w:rsid w:val="48140987"/>
    <w:rsid w:val="48512FD1"/>
    <w:rsid w:val="488E4926"/>
    <w:rsid w:val="489A7C6C"/>
    <w:rsid w:val="4929619B"/>
    <w:rsid w:val="492D57AE"/>
    <w:rsid w:val="492E4EFC"/>
    <w:rsid w:val="49604B38"/>
    <w:rsid w:val="49A64064"/>
    <w:rsid w:val="49BB3561"/>
    <w:rsid w:val="49BC3603"/>
    <w:rsid w:val="49C600F0"/>
    <w:rsid w:val="49CC7895"/>
    <w:rsid w:val="4A0E0038"/>
    <w:rsid w:val="4A147191"/>
    <w:rsid w:val="4A6F2AC4"/>
    <w:rsid w:val="4ACB30BA"/>
    <w:rsid w:val="4AEB6431"/>
    <w:rsid w:val="4B021694"/>
    <w:rsid w:val="4B1D4687"/>
    <w:rsid w:val="4B553E21"/>
    <w:rsid w:val="4B6E7038"/>
    <w:rsid w:val="4B7F5B7B"/>
    <w:rsid w:val="4BB96A04"/>
    <w:rsid w:val="4BC41C91"/>
    <w:rsid w:val="4C3C26CF"/>
    <w:rsid w:val="4C4A7997"/>
    <w:rsid w:val="4C4F2E23"/>
    <w:rsid w:val="4D072F6F"/>
    <w:rsid w:val="4D0E77BC"/>
    <w:rsid w:val="4D2A4B20"/>
    <w:rsid w:val="4D4001B9"/>
    <w:rsid w:val="4D774051"/>
    <w:rsid w:val="4D8D73BE"/>
    <w:rsid w:val="4DA11701"/>
    <w:rsid w:val="4DA51E86"/>
    <w:rsid w:val="4DAC62CE"/>
    <w:rsid w:val="4DD40B5B"/>
    <w:rsid w:val="4E0261A4"/>
    <w:rsid w:val="4E5715CC"/>
    <w:rsid w:val="4E676345"/>
    <w:rsid w:val="4ED478D5"/>
    <w:rsid w:val="4EE96D5A"/>
    <w:rsid w:val="4F6A0636"/>
    <w:rsid w:val="4FAF178A"/>
    <w:rsid w:val="4FBB08C5"/>
    <w:rsid w:val="4FDD5DBB"/>
    <w:rsid w:val="50157CD3"/>
    <w:rsid w:val="509831AF"/>
    <w:rsid w:val="50A21DBF"/>
    <w:rsid w:val="50AC0E6C"/>
    <w:rsid w:val="5154665E"/>
    <w:rsid w:val="515A6091"/>
    <w:rsid w:val="51B57115"/>
    <w:rsid w:val="51E14A36"/>
    <w:rsid w:val="52126329"/>
    <w:rsid w:val="521640C9"/>
    <w:rsid w:val="52470583"/>
    <w:rsid w:val="52E3448B"/>
    <w:rsid w:val="52E602D1"/>
    <w:rsid w:val="533453A9"/>
    <w:rsid w:val="5347254F"/>
    <w:rsid w:val="539A209A"/>
    <w:rsid w:val="53B3096B"/>
    <w:rsid w:val="53D505E2"/>
    <w:rsid w:val="53EE6EF4"/>
    <w:rsid w:val="5432079C"/>
    <w:rsid w:val="54777864"/>
    <w:rsid w:val="548F745F"/>
    <w:rsid w:val="54B17FBE"/>
    <w:rsid w:val="54B87904"/>
    <w:rsid w:val="54FF0C91"/>
    <w:rsid w:val="552807EF"/>
    <w:rsid w:val="55772575"/>
    <w:rsid w:val="557D4CE3"/>
    <w:rsid w:val="55985C34"/>
    <w:rsid w:val="55D21A3E"/>
    <w:rsid w:val="562A186C"/>
    <w:rsid w:val="563313AB"/>
    <w:rsid w:val="56D1536B"/>
    <w:rsid w:val="571A1A7B"/>
    <w:rsid w:val="572B6A8E"/>
    <w:rsid w:val="574D22F3"/>
    <w:rsid w:val="57723FD4"/>
    <w:rsid w:val="57B57EBE"/>
    <w:rsid w:val="57B92425"/>
    <w:rsid w:val="57BB500C"/>
    <w:rsid w:val="57CE581F"/>
    <w:rsid w:val="57D66975"/>
    <w:rsid w:val="57DC2701"/>
    <w:rsid w:val="58134E48"/>
    <w:rsid w:val="58A843C6"/>
    <w:rsid w:val="592301E1"/>
    <w:rsid w:val="59554E3B"/>
    <w:rsid w:val="596D1838"/>
    <w:rsid w:val="597C4D04"/>
    <w:rsid w:val="59917A86"/>
    <w:rsid w:val="59A10231"/>
    <w:rsid w:val="5A1E7263"/>
    <w:rsid w:val="5A4F7C8D"/>
    <w:rsid w:val="5A561049"/>
    <w:rsid w:val="5A7F55EC"/>
    <w:rsid w:val="5ADD3AB9"/>
    <w:rsid w:val="5B1C014C"/>
    <w:rsid w:val="5B673C31"/>
    <w:rsid w:val="5B765CFE"/>
    <w:rsid w:val="5C2D2CA7"/>
    <w:rsid w:val="5C472799"/>
    <w:rsid w:val="5C7A734A"/>
    <w:rsid w:val="5CA87D85"/>
    <w:rsid w:val="5CCC76A3"/>
    <w:rsid w:val="5CD61BD7"/>
    <w:rsid w:val="5CD858CE"/>
    <w:rsid w:val="5CDD1CAA"/>
    <w:rsid w:val="5CFF1C77"/>
    <w:rsid w:val="5D156F6C"/>
    <w:rsid w:val="5D2A4E86"/>
    <w:rsid w:val="5D2C2FFF"/>
    <w:rsid w:val="5D5C2BD8"/>
    <w:rsid w:val="5DB161AF"/>
    <w:rsid w:val="5E1E4AD4"/>
    <w:rsid w:val="5E46704E"/>
    <w:rsid w:val="5E467271"/>
    <w:rsid w:val="5E745CD6"/>
    <w:rsid w:val="5E754F3D"/>
    <w:rsid w:val="5EA17BBA"/>
    <w:rsid w:val="5EC30CE3"/>
    <w:rsid w:val="5EFA3382"/>
    <w:rsid w:val="5EFE4B3A"/>
    <w:rsid w:val="5F237F75"/>
    <w:rsid w:val="5F8B0BDC"/>
    <w:rsid w:val="5F9D130A"/>
    <w:rsid w:val="5FF55C85"/>
    <w:rsid w:val="603E5D79"/>
    <w:rsid w:val="606C06C2"/>
    <w:rsid w:val="60EC5EF2"/>
    <w:rsid w:val="60F5274C"/>
    <w:rsid w:val="614D033F"/>
    <w:rsid w:val="622938BA"/>
    <w:rsid w:val="622946BC"/>
    <w:rsid w:val="624928CA"/>
    <w:rsid w:val="629D2A1F"/>
    <w:rsid w:val="62EC33B2"/>
    <w:rsid w:val="62ED08B8"/>
    <w:rsid w:val="62ED61DB"/>
    <w:rsid w:val="62F13719"/>
    <w:rsid w:val="62FD6687"/>
    <w:rsid w:val="63076D99"/>
    <w:rsid w:val="6360392C"/>
    <w:rsid w:val="63860BC4"/>
    <w:rsid w:val="63A64A02"/>
    <w:rsid w:val="63A92E44"/>
    <w:rsid w:val="63CA23DA"/>
    <w:rsid w:val="63FE402F"/>
    <w:rsid w:val="643636A3"/>
    <w:rsid w:val="64442C0B"/>
    <w:rsid w:val="64587300"/>
    <w:rsid w:val="646D40E8"/>
    <w:rsid w:val="64757877"/>
    <w:rsid w:val="648512ED"/>
    <w:rsid w:val="64D40EFE"/>
    <w:rsid w:val="64E66515"/>
    <w:rsid w:val="659A151F"/>
    <w:rsid w:val="65C11893"/>
    <w:rsid w:val="65D442A0"/>
    <w:rsid w:val="65FF3F09"/>
    <w:rsid w:val="660D737A"/>
    <w:rsid w:val="660F6630"/>
    <w:rsid w:val="66E77804"/>
    <w:rsid w:val="66EC0AF7"/>
    <w:rsid w:val="66F03B9D"/>
    <w:rsid w:val="67873875"/>
    <w:rsid w:val="67FF4F72"/>
    <w:rsid w:val="680D6EB2"/>
    <w:rsid w:val="68353326"/>
    <w:rsid w:val="687E75D9"/>
    <w:rsid w:val="68D53F0D"/>
    <w:rsid w:val="68D5791B"/>
    <w:rsid w:val="68DA4C11"/>
    <w:rsid w:val="68E90A30"/>
    <w:rsid w:val="691F0A55"/>
    <w:rsid w:val="69232A11"/>
    <w:rsid w:val="69304D10"/>
    <w:rsid w:val="69677714"/>
    <w:rsid w:val="69855FE9"/>
    <w:rsid w:val="69877951"/>
    <w:rsid w:val="69F22D5A"/>
    <w:rsid w:val="69F83958"/>
    <w:rsid w:val="6A1A08A5"/>
    <w:rsid w:val="6A1B0A0D"/>
    <w:rsid w:val="6A2626FA"/>
    <w:rsid w:val="6A462E5B"/>
    <w:rsid w:val="6A870E0F"/>
    <w:rsid w:val="6A9B2674"/>
    <w:rsid w:val="6AAC573D"/>
    <w:rsid w:val="6AAE3893"/>
    <w:rsid w:val="6AF77660"/>
    <w:rsid w:val="6B51584D"/>
    <w:rsid w:val="6B832956"/>
    <w:rsid w:val="6B8754D9"/>
    <w:rsid w:val="6C0F7FD7"/>
    <w:rsid w:val="6C1F46EB"/>
    <w:rsid w:val="6C242858"/>
    <w:rsid w:val="6C5E0429"/>
    <w:rsid w:val="6C8E1655"/>
    <w:rsid w:val="6C90660F"/>
    <w:rsid w:val="6CCB19FA"/>
    <w:rsid w:val="6CF773AB"/>
    <w:rsid w:val="6D9F0B20"/>
    <w:rsid w:val="6DCF6E1E"/>
    <w:rsid w:val="6E0B7382"/>
    <w:rsid w:val="6E950837"/>
    <w:rsid w:val="6F2F2727"/>
    <w:rsid w:val="6F6A3147"/>
    <w:rsid w:val="6F7D7EAF"/>
    <w:rsid w:val="6F83464F"/>
    <w:rsid w:val="6FC40824"/>
    <w:rsid w:val="6FE52CEE"/>
    <w:rsid w:val="6FF66AA9"/>
    <w:rsid w:val="703B4EA9"/>
    <w:rsid w:val="70493ED8"/>
    <w:rsid w:val="70C920F0"/>
    <w:rsid w:val="70DE6F6B"/>
    <w:rsid w:val="70E51CD3"/>
    <w:rsid w:val="71655E64"/>
    <w:rsid w:val="71B457F4"/>
    <w:rsid w:val="71CA4040"/>
    <w:rsid w:val="72D679F5"/>
    <w:rsid w:val="72EA55A2"/>
    <w:rsid w:val="72F55AC2"/>
    <w:rsid w:val="732140CC"/>
    <w:rsid w:val="735B629C"/>
    <w:rsid w:val="736A607B"/>
    <w:rsid w:val="736D3206"/>
    <w:rsid w:val="73951FDA"/>
    <w:rsid w:val="743364C0"/>
    <w:rsid w:val="744B4FD8"/>
    <w:rsid w:val="74545612"/>
    <w:rsid w:val="74675EA7"/>
    <w:rsid w:val="74AD26CC"/>
    <w:rsid w:val="74F87B4C"/>
    <w:rsid w:val="75006204"/>
    <w:rsid w:val="751F7C70"/>
    <w:rsid w:val="75207934"/>
    <w:rsid w:val="75FB50F5"/>
    <w:rsid w:val="76147DED"/>
    <w:rsid w:val="7618410B"/>
    <w:rsid w:val="763921B6"/>
    <w:rsid w:val="765D6201"/>
    <w:rsid w:val="76BE285E"/>
    <w:rsid w:val="76E111B2"/>
    <w:rsid w:val="770370DE"/>
    <w:rsid w:val="771E1BA7"/>
    <w:rsid w:val="7744501C"/>
    <w:rsid w:val="776C4A2B"/>
    <w:rsid w:val="77752FD1"/>
    <w:rsid w:val="77A80CB1"/>
    <w:rsid w:val="77C1619A"/>
    <w:rsid w:val="77C31E96"/>
    <w:rsid w:val="78273E7E"/>
    <w:rsid w:val="78793C5B"/>
    <w:rsid w:val="78CC2A74"/>
    <w:rsid w:val="78E006B5"/>
    <w:rsid w:val="78F60B5A"/>
    <w:rsid w:val="790330FE"/>
    <w:rsid w:val="79554276"/>
    <w:rsid w:val="796C5D0E"/>
    <w:rsid w:val="79715375"/>
    <w:rsid w:val="799F35DD"/>
    <w:rsid w:val="79A25B8B"/>
    <w:rsid w:val="7A0F3269"/>
    <w:rsid w:val="7A1C5541"/>
    <w:rsid w:val="7A401BAE"/>
    <w:rsid w:val="7A7A220B"/>
    <w:rsid w:val="7AAB7433"/>
    <w:rsid w:val="7BE37F78"/>
    <w:rsid w:val="7BF46C63"/>
    <w:rsid w:val="7BFA1CF7"/>
    <w:rsid w:val="7C38637B"/>
    <w:rsid w:val="7CD460A4"/>
    <w:rsid w:val="7CE1144E"/>
    <w:rsid w:val="7CF36E72"/>
    <w:rsid w:val="7D7D2D75"/>
    <w:rsid w:val="7D935417"/>
    <w:rsid w:val="7D9B2CDA"/>
    <w:rsid w:val="7DE12EA3"/>
    <w:rsid w:val="7E041932"/>
    <w:rsid w:val="7E0603C0"/>
    <w:rsid w:val="7E1C06D7"/>
    <w:rsid w:val="7E9706B7"/>
    <w:rsid w:val="7EFB200E"/>
    <w:rsid w:val="7F64612E"/>
    <w:rsid w:val="7F7C724C"/>
    <w:rsid w:val="7FC72C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4"/>
    <w:basedOn w:val="1"/>
    <w:next w:val="4"/>
    <w:unhideWhenUsed/>
    <w:qFormat/>
    <w:uiPriority w:val="9"/>
    <w:pPr>
      <w:keepNext/>
      <w:keepLines/>
      <w:spacing w:before="200"/>
      <w:outlineLvl w:val="3"/>
    </w:pPr>
    <w:rPr>
      <w:rFonts w:asciiTheme="majorHAnsi" w:hAnsiTheme="majorHAnsi" w:eastAsiaTheme="majorEastAsia" w:cstheme="majorBidi"/>
      <w:b/>
      <w:bCs/>
      <w:color w:val="5B9BD5" w:themeColor="accent1"/>
      <w14:textFill>
        <w14:solidFill>
          <w14:schemeClr w14:val="accent1"/>
        </w14:solidFill>
      </w14:textFill>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before="180" w:after="180"/>
    </w:pPr>
  </w:style>
  <w:style w:type="paragraph" w:styleId="5">
    <w:name w:val="annotation text"/>
    <w:basedOn w:val="1"/>
    <w:link w:val="19"/>
    <w:qFormat/>
    <w:uiPriority w:val="0"/>
    <w:pPr>
      <w:jc w:val="left"/>
    </w:pPr>
  </w:style>
  <w:style w:type="paragraph" w:styleId="6">
    <w:name w:val="Body Text Indent 2"/>
    <w:basedOn w:val="1"/>
    <w:unhideWhenUsed/>
    <w:qFormat/>
    <w:uiPriority w:val="99"/>
    <w:pPr>
      <w:spacing w:after="120" w:line="480" w:lineRule="auto"/>
      <w:ind w:left="420" w:leftChars="200"/>
    </w:pPr>
    <w:rPr>
      <w:rFonts w:ascii="Times New Roman" w:hAnsi="Times New Roman" w:cs="Times New Roman"/>
    </w:rPr>
  </w:style>
  <w:style w:type="paragraph" w:styleId="7">
    <w:name w:val="Balloon Text"/>
    <w:basedOn w:val="1"/>
    <w:link w:val="21"/>
    <w:qFormat/>
    <w:uiPriority w:val="0"/>
    <w:rPr>
      <w:sz w:val="18"/>
      <w:szCs w:val="18"/>
    </w:rPr>
  </w:style>
  <w:style w:type="paragraph" w:styleId="8">
    <w:name w:val="footer"/>
    <w:basedOn w:val="1"/>
    <w:link w:val="18"/>
    <w:qFormat/>
    <w:uiPriority w:val="0"/>
    <w:pPr>
      <w:tabs>
        <w:tab w:val="center" w:pos="4153"/>
        <w:tab w:val="right" w:pos="8306"/>
      </w:tabs>
      <w:snapToGrid w:val="0"/>
      <w:jc w:val="left"/>
    </w:pPr>
    <w:rPr>
      <w:sz w:val="18"/>
      <w:szCs w:val="18"/>
    </w:rPr>
  </w:style>
  <w:style w:type="paragraph" w:styleId="9">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annotation subject"/>
    <w:basedOn w:val="5"/>
    <w:next w:val="5"/>
    <w:link w:val="20"/>
    <w:qFormat/>
    <w:uiPriority w:val="0"/>
    <w:rPr>
      <w:b/>
      <w:bCs/>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annotation reference"/>
    <w:basedOn w:val="14"/>
    <w:qFormat/>
    <w:uiPriority w:val="0"/>
    <w:rPr>
      <w:sz w:val="21"/>
      <w:szCs w:val="21"/>
    </w:rPr>
  </w:style>
  <w:style w:type="paragraph" w:styleId="16">
    <w:name w:val="List Paragraph"/>
    <w:basedOn w:val="1"/>
    <w:qFormat/>
    <w:uiPriority w:val="34"/>
    <w:pPr>
      <w:ind w:firstLine="420" w:firstLineChars="200"/>
    </w:pPr>
  </w:style>
  <w:style w:type="character" w:customStyle="1" w:styleId="17">
    <w:name w:val="页眉 字符"/>
    <w:basedOn w:val="14"/>
    <w:link w:val="9"/>
    <w:qFormat/>
    <w:uiPriority w:val="0"/>
    <w:rPr>
      <w:kern w:val="2"/>
      <w:sz w:val="18"/>
      <w:szCs w:val="18"/>
    </w:rPr>
  </w:style>
  <w:style w:type="character" w:customStyle="1" w:styleId="18">
    <w:name w:val="页脚 字符"/>
    <w:basedOn w:val="14"/>
    <w:link w:val="8"/>
    <w:qFormat/>
    <w:uiPriority w:val="0"/>
    <w:rPr>
      <w:kern w:val="2"/>
      <w:sz w:val="18"/>
      <w:szCs w:val="18"/>
    </w:rPr>
  </w:style>
  <w:style w:type="character" w:customStyle="1" w:styleId="19">
    <w:name w:val="批注文字 字符"/>
    <w:basedOn w:val="14"/>
    <w:link w:val="5"/>
    <w:qFormat/>
    <w:uiPriority w:val="0"/>
    <w:rPr>
      <w:kern w:val="2"/>
      <w:sz w:val="21"/>
      <w:szCs w:val="24"/>
    </w:rPr>
  </w:style>
  <w:style w:type="character" w:customStyle="1" w:styleId="20">
    <w:name w:val="批注主题 字符"/>
    <w:basedOn w:val="19"/>
    <w:link w:val="11"/>
    <w:qFormat/>
    <w:uiPriority w:val="0"/>
    <w:rPr>
      <w:b/>
      <w:bCs/>
      <w:kern w:val="2"/>
      <w:sz w:val="21"/>
      <w:szCs w:val="24"/>
    </w:rPr>
  </w:style>
  <w:style w:type="character" w:customStyle="1" w:styleId="21">
    <w:name w:val="批注框文本 字符"/>
    <w:basedOn w:val="14"/>
    <w:link w:val="7"/>
    <w:qFormat/>
    <w:uiPriority w:val="0"/>
    <w:rPr>
      <w:kern w:val="2"/>
      <w:sz w:val="18"/>
      <w:szCs w:val="18"/>
    </w:rPr>
  </w:style>
  <w:style w:type="paragraph" w:customStyle="1" w:styleId="22">
    <w:name w:val="修订1"/>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23">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24">
    <w:name w:val="年报正文"/>
    <w:basedOn w:val="1"/>
    <w:qFormat/>
    <w:uiPriority w:val="0"/>
    <w:pPr>
      <w:spacing w:before="120" w:beforeLines="50" w:line="360" w:lineRule="auto"/>
      <w:ind w:firstLine="480" w:firstLineChars="200"/>
    </w:pPr>
  </w:style>
  <w:style w:type="paragraph" w:customStyle="1" w:styleId="25">
    <w:name w:val="First Paragraph"/>
    <w:basedOn w:val="4"/>
    <w:next w:val="4"/>
    <w:qFormat/>
    <w:uiPriority w:val="0"/>
  </w:style>
  <w:style w:type="paragraph" w:customStyle="1" w:styleId="26">
    <w:name w:val="_Style 75"/>
    <w:basedOn w:val="27"/>
    <w:qFormat/>
    <w:uiPriority w:val="34"/>
    <w:pPr>
      <w:widowControl w:val="0"/>
      <w:ind w:firstLine="420" w:firstLineChars="200"/>
      <w:jc w:val="both"/>
    </w:pPr>
    <w:rPr>
      <w:rFonts w:ascii="Calibri" w:hAnsi="Calibri" w:cs="Times New Roman"/>
      <w:kern w:val="2"/>
      <w:szCs w:val="22"/>
    </w:rPr>
  </w:style>
  <w:style w:type="paragraph" w:customStyle="1" w:styleId="27">
    <w:name w:val="_Style 46"/>
    <w:qFormat/>
    <w:uiPriority w:val="0"/>
    <w:rPr>
      <w:rFonts w:ascii="宋体" w:hAnsi="宋体" w:eastAsia="宋体" w:cs="宋体"/>
      <w:szCs w:val="24"/>
      <w:lang w:val="en-US" w:eastAsia="zh-CN" w:bidi="ar-SA"/>
    </w:rPr>
  </w:style>
  <w:style w:type="paragraph" w:customStyle="1" w:styleId="28">
    <w:name w:val="_Style 6"/>
    <w:basedOn w:val="1"/>
    <w:qFormat/>
    <w:uiPriority w:val="34"/>
    <w:pPr>
      <w:ind w:firstLine="420" w:firstLineChars="200"/>
    </w:pPr>
    <w:rPr>
      <w:rFonts w:ascii="Calibri" w:hAnsi="Calibri" w:eastAsia="宋体" w:cs="Times New Roman"/>
      <w:szCs w:val="22"/>
    </w:rPr>
  </w:style>
  <w:style w:type="paragraph" w:customStyle="1" w:styleId="29">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30">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8</Pages>
  <Words>3186</Words>
  <Characters>3260</Characters>
  <Lines>24</Lines>
  <Paragraphs>6</Paragraphs>
  <TotalTime>179</TotalTime>
  <ScaleCrop>false</ScaleCrop>
  <LinksUpToDate>false</LinksUpToDate>
  <CharactersWithSpaces>3266</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2023-02-03T05:11:00Z</dcterms:created>
  <dc:creator>zyx✨</dc:creator>
  <cp:lastModifiedBy>雯亦</cp:lastModifiedBy>
  <cp:lastPrinted>2022-07-08T01:10:00Z</cp:lastPrinted>
  <dcterms:modified xsi:type="dcterms:W3CDTF">2026-09-29T08:17:16Z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540AC0B5C24F4945831675D5BB3CC361</vt:lpwstr>
  </property>
  <property fmtid="{D5CDD505-2E9C-101B-9397-08002B2CF9AE}" pid="4" name="KSOTemplateDocerSaveRecord">
    <vt:lpwstr>eyJoZGlkIjoiZDRhMTYxOGNmYWZhOTM4MWYxOTE1YTNhODg4NmU5ODUiLCJ1c2VySWQiOiI1ODE3NjQyMDYifQ==</vt:lpwstr>
  </property>
</Properties>
</file>