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9B3CB3">
      <w:pPr>
        <w:spacing w:before="156" w:beforeLines="50" w:after="156" w:afterLines="50" w:line="400" w:lineRule="exact"/>
        <w:jc w:val="center"/>
        <w:rPr>
          <w:rFonts w:ascii="宋体" w:hAnsi="宋体"/>
          <w:iCs/>
          <w:color w:val="000000"/>
          <w:sz w:val="24"/>
        </w:rPr>
      </w:pPr>
      <w:r>
        <w:rPr>
          <w:rFonts w:hint="eastAsia" w:ascii="宋体" w:hAnsi="宋体"/>
          <w:iCs/>
          <w:color w:val="000000"/>
          <w:sz w:val="24"/>
        </w:rPr>
        <w:t>证券代码：601058                                         证券简称：赛轮轮胎</w:t>
      </w:r>
    </w:p>
    <w:p w14:paraId="29A345F0">
      <w:pPr>
        <w:spacing w:before="156" w:beforeLines="50" w:after="156" w:afterLines="50" w:line="400" w:lineRule="exact"/>
        <w:jc w:val="center"/>
        <w:rPr>
          <w:rFonts w:ascii="宋体" w:hAnsi="宋体"/>
          <w:b/>
          <w:bCs/>
          <w:iCs/>
          <w:color w:val="000000"/>
          <w:sz w:val="32"/>
          <w:szCs w:val="32"/>
        </w:rPr>
      </w:pPr>
      <w:r>
        <w:rPr>
          <w:rFonts w:hint="eastAsia" w:ascii="宋体" w:hAnsi="宋体"/>
          <w:b/>
          <w:bCs/>
          <w:iCs/>
          <w:color w:val="000000"/>
          <w:sz w:val="32"/>
          <w:szCs w:val="32"/>
        </w:rPr>
        <w:t>赛轮集团</w:t>
      </w:r>
      <w:r>
        <w:rPr>
          <w:rFonts w:ascii="宋体" w:hAnsi="宋体"/>
          <w:b/>
          <w:bCs/>
          <w:iCs/>
          <w:color w:val="000000"/>
          <w:sz w:val="32"/>
          <w:szCs w:val="32"/>
        </w:rPr>
        <w:t>股份有限公司</w:t>
      </w:r>
    </w:p>
    <w:p w14:paraId="5FE4DB01">
      <w:pPr>
        <w:spacing w:before="156" w:beforeLines="50" w:after="156" w:afterLines="50" w:line="400" w:lineRule="exact"/>
        <w:jc w:val="center"/>
        <w:rPr>
          <w:rFonts w:ascii="宋体" w:hAnsi="宋体"/>
          <w:b/>
          <w:bCs/>
          <w:iCs/>
          <w:color w:val="000000"/>
          <w:sz w:val="32"/>
          <w:szCs w:val="32"/>
        </w:rPr>
      </w:pPr>
      <w:r>
        <w:rPr>
          <w:rFonts w:hint="eastAsia" w:ascii="宋体" w:hAnsi="宋体"/>
          <w:b/>
          <w:bCs/>
          <w:iCs/>
          <w:color w:val="000000"/>
          <w:sz w:val="32"/>
          <w:szCs w:val="32"/>
        </w:rPr>
        <w:t>投资者关系活动记录表</w:t>
      </w:r>
    </w:p>
    <w:tbl>
      <w:tblPr>
        <w:tblStyle w:val="9"/>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8"/>
        <w:gridCol w:w="7159"/>
      </w:tblGrid>
      <w:tr w14:paraId="56DD7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trPr>
        <w:tc>
          <w:tcPr>
            <w:tcW w:w="1908" w:type="dxa"/>
            <w:tcBorders>
              <w:top w:val="single" w:color="auto" w:sz="4" w:space="0"/>
              <w:left w:val="single" w:color="auto" w:sz="4" w:space="0"/>
              <w:bottom w:val="single" w:color="auto" w:sz="4" w:space="0"/>
              <w:right w:val="single" w:color="auto" w:sz="4" w:space="0"/>
            </w:tcBorders>
            <w:vAlign w:val="center"/>
          </w:tcPr>
          <w:p w14:paraId="132E5126">
            <w:pPr>
              <w:rPr>
                <w:bCs/>
                <w:iCs/>
                <w:color w:val="000000"/>
                <w:sz w:val="24"/>
              </w:rPr>
            </w:pPr>
            <w:r>
              <w:rPr>
                <w:rFonts w:hint="eastAsia" w:ascii="宋体" w:hAnsi="宋体" w:cs="宋体"/>
                <w:sz w:val="24"/>
              </w:rPr>
              <w:t>投资者关系活动类别</w:t>
            </w:r>
          </w:p>
        </w:tc>
        <w:tc>
          <w:tcPr>
            <w:tcW w:w="7159" w:type="dxa"/>
            <w:tcBorders>
              <w:top w:val="single" w:color="auto" w:sz="4" w:space="0"/>
              <w:left w:val="single" w:color="auto" w:sz="4" w:space="0"/>
              <w:bottom w:val="single" w:color="auto" w:sz="4" w:space="0"/>
              <w:right w:val="single" w:color="auto" w:sz="4" w:space="0"/>
            </w:tcBorders>
          </w:tcPr>
          <w:p w14:paraId="7CA43EC9">
            <w:pPr>
              <w:rPr>
                <w:rFonts w:ascii="宋体" w:hAnsi="宋体" w:cs="宋体"/>
                <w:color w:val="auto"/>
                <w:sz w:val="24"/>
                <w:shd w:val="clear" w:color="auto" w:fill="auto"/>
              </w:rPr>
            </w:pPr>
            <w:r>
              <w:rPr>
                <w:rFonts w:hint="eastAsia" w:ascii="宋体" w:hAnsi="宋体" w:cs="宋体"/>
                <w:color w:val="auto"/>
                <w:sz w:val="24"/>
                <w:shd w:val="clear" w:color="auto" w:fill="auto"/>
              </w:rPr>
              <w:sym w:font="Wingdings 2" w:char="0052"/>
            </w:r>
            <w:r>
              <w:rPr>
                <w:rFonts w:hint="eastAsia" w:ascii="宋体" w:hAnsi="宋体" w:cs="宋体"/>
                <w:color w:val="auto"/>
                <w:sz w:val="24"/>
                <w:shd w:val="clear" w:color="auto" w:fill="auto"/>
              </w:rPr>
              <w:t xml:space="preserve"> 特定对象调研        </w:t>
            </w:r>
            <w:r>
              <w:rPr>
                <w:rFonts w:hint="eastAsia" w:ascii="宋体" w:hAnsi="宋体" w:cs="宋体"/>
                <w:color w:val="auto"/>
                <w:sz w:val="24"/>
                <w:shd w:val="clear" w:color="auto" w:fill="auto"/>
              </w:rPr>
              <w:sym w:font="Wingdings 2" w:char="0052"/>
            </w:r>
            <w:r>
              <w:rPr>
                <w:rFonts w:hint="eastAsia" w:ascii="宋体" w:hAnsi="宋体" w:cs="宋体"/>
                <w:color w:val="auto"/>
                <w:sz w:val="24"/>
                <w:shd w:val="clear" w:color="auto" w:fill="auto"/>
              </w:rPr>
              <w:t xml:space="preserve"> 分析师会议</w:t>
            </w:r>
          </w:p>
          <w:p w14:paraId="2F0BA265">
            <w:pPr>
              <w:rPr>
                <w:rFonts w:ascii="宋体" w:hAnsi="宋体" w:cs="宋体"/>
                <w:color w:val="auto"/>
                <w:sz w:val="24"/>
                <w:shd w:val="clear" w:color="auto" w:fill="auto"/>
              </w:rPr>
            </w:pPr>
            <w:r>
              <w:rPr>
                <w:rFonts w:hint="eastAsia" w:ascii="宋体" w:hAnsi="宋体" w:cs="宋体"/>
                <w:color w:val="auto"/>
                <w:sz w:val="24"/>
                <w:shd w:val="clear" w:color="auto" w:fill="auto"/>
              </w:rPr>
              <w:sym w:font="Wingdings 2" w:char="00A3"/>
            </w:r>
            <w:r>
              <w:rPr>
                <w:rFonts w:hint="eastAsia" w:ascii="宋体" w:hAnsi="宋体" w:cs="宋体"/>
                <w:color w:val="auto"/>
                <w:sz w:val="24"/>
                <w:shd w:val="clear" w:color="auto" w:fill="auto"/>
              </w:rPr>
              <w:t xml:space="preserve"> 媒体采访            </w:t>
            </w:r>
            <w:r>
              <w:rPr>
                <w:rFonts w:hint="eastAsia" w:ascii="宋体" w:hAnsi="宋体" w:cs="宋体"/>
                <w:color w:val="auto"/>
                <w:sz w:val="24"/>
                <w:shd w:val="clear" w:color="auto" w:fill="auto"/>
              </w:rPr>
              <w:sym w:font="Wingdings 2" w:char="00A3"/>
            </w:r>
            <w:r>
              <w:rPr>
                <w:rFonts w:hint="eastAsia" w:ascii="宋体" w:hAnsi="宋体" w:cs="宋体"/>
                <w:color w:val="auto"/>
                <w:sz w:val="24"/>
                <w:shd w:val="clear" w:color="auto" w:fill="auto"/>
              </w:rPr>
              <w:t xml:space="preserve"> 业绩说明会</w:t>
            </w:r>
          </w:p>
          <w:p w14:paraId="4437F22C">
            <w:pPr>
              <w:rPr>
                <w:rFonts w:ascii="宋体" w:hAnsi="宋体" w:cs="宋体"/>
                <w:color w:val="auto"/>
                <w:sz w:val="24"/>
                <w:shd w:val="clear" w:color="auto" w:fill="auto"/>
              </w:rPr>
            </w:pPr>
            <w:r>
              <w:rPr>
                <w:rFonts w:hint="eastAsia" w:ascii="宋体" w:hAnsi="宋体" w:cs="宋体"/>
                <w:color w:val="auto"/>
                <w:sz w:val="24"/>
                <w:shd w:val="clear" w:color="auto" w:fill="auto"/>
              </w:rPr>
              <w:sym w:font="Wingdings 2" w:char="00A3"/>
            </w:r>
            <w:r>
              <w:rPr>
                <w:rFonts w:hint="eastAsia" w:ascii="宋体" w:hAnsi="宋体" w:cs="宋体"/>
                <w:color w:val="auto"/>
                <w:sz w:val="24"/>
                <w:shd w:val="clear" w:color="auto" w:fill="auto"/>
              </w:rPr>
              <w:t xml:space="preserve"> 新闻发布会          </w:t>
            </w:r>
            <w:r>
              <w:rPr>
                <w:rFonts w:hint="eastAsia" w:ascii="宋体" w:hAnsi="宋体" w:cs="宋体"/>
                <w:color w:val="auto"/>
                <w:sz w:val="24"/>
                <w:shd w:val="clear" w:color="auto" w:fill="auto"/>
              </w:rPr>
              <w:sym w:font="Wingdings 2" w:char="00A3"/>
            </w:r>
            <w:r>
              <w:rPr>
                <w:rFonts w:hint="eastAsia" w:ascii="宋体" w:hAnsi="宋体" w:cs="宋体"/>
                <w:color w:val="auto"/>
                <w:sz w:val="24"/>
                <w:shd w:val="clear" w:color="auto" w:fill="auto"/>
              </w:rPr>
              <w:t xml:space="preserve"> 路演活动</w:t>
            </w:r>
          </w:p>
          <w:p w14:paraId="0C3A22D3">
            <w:pPr>
              <w:rPr>
                <w:rFonts w:ascii="宋体" w:hAnsi="宋体" w:cs="宋体"/>
                <w:color w:val="auto"/>
                <w:sz w:val="24"/>
                <w:shd w:val="clear" w:color="auto" w:fill="auto"/>
              </w:rPr>
            </w:pPr>
            <w:r>
              <w:rPr>
                <w:rFonts w:hint="eastAsia" w:ascii="宋体" w:hAnsi="宋体" w:cs="宋体"/>
                <w:color w:val="auto"/>
                <w:sz w:val="24"/>
                <w:shd w:val="clear" w:color="auto" w:fill="auto"/>
              </w:rPr>
              <w:sym w:font="Wingdings 2" w:char="0052"/>
            </w:r>
            <w:r>
              <w:rPr>
                <w:rFonts w:hint="eastAsia" w:ascii="宋体" w:hAnsi="宋体" w:cs="宋体"/>
                <w:color w:val="auto"/>
                <w:sz w:val="24"/>
                <w:shd w:val="clear" w:color="auto" w:fill="auto"/>
              </w:rPr>
              <w:t xml:space="preserve"> 现场参观</w:t>
            </w:r>
            <w:r>
              <w:rPr>
                <w:rFonts w:hint="eastAsia" w:ascii="宋体" w:hAnsi="宋体" w:cs="宋体"/>
                <w:color w:val="auto"/>
                <w:sz w:val="24"/>
                <w:shd w:val="clear" w:color="auto" w:fill="auto"/>
              </w:rPr>
              <w:tab/>
            </w:r>
          </w:p>
          <w:p w14:paraId="2939C492">
            <w:pPr>
              <w:rPr>
                <w:bCs/>
                <w:iCs/>
                <w:color w:val="auto"/>
                <w:sz w:val="24"/>
                <w:shd w:val="clear" w:color="auto" w:fill="auto"/>
              </w:rPr>
            </w:pPr>
            <w:r>
              <w:rPr>
                <w:rFonts w:hint="eastAsia" w:ascii="宋体" w:hAnsi="宋体" w:cs="宋体"/>
                <w:color w:val="auto"/>
                <w:sz w:val="24"/>
                <w:shd w:val="clear" w:color="auto" w:fill="auto"/>
              </w:rPr>
              <w:sym w:font="Wingdings 2" w:char="0052"/>
            </w:r>
            <w:r>
              <w:rPr>
                <w:rFonts w:hint="eastAsia" w:ascii="宋体" w:hAnsi="宋体" w:cs="宋体"/>
                <w:color w:val="auto"/>
                <w:sz w:val="24"/>
                <w:shd w:val="clear" w:color="auto" w:fill="auto"/>
              </w:rPr>
              <w:t xml:space="preserve"> 其他：</w:t>
            </w:r>
            <w:r>
              <w:rPr>
                <w:rFonts w:ascii="宋体" w:hAnsi="宋体" w:cs="宋体"/>
                <w:color w:val="auto"/>
                <w:sz w:val="24"/>
                <w:u w:val="single"/>
                <w:shd w:val="clear" w:color="auto" w:fill="auto"/>
              </w:rPr>
              <w:t xml:space="preserve"> </w:t>
            </w:r>
            <w:r>
              <w:rPr>
                <w:rFonts w:hint="eastAsia" w:ascii="宋体" w:hAnsi="宋体" w:cs="宋体"/>
                <w:color w:val="auto"/>
                <w:sz w:val="24"/>
                <w:u w:val="single"/>
                <w:shd w:val="clear" w:color="auto" w:fill="auto"/>
              </w:rPr>
              <w:t xml:space="preserve"> 线上交流     </w:t>
            </w:r>
          </w:p>
        </w:tc>
      </w:tr>
      <w:tr w14:paraId="66AAF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vAlign w:val="center"/>
          </w:tcPr>
          <w:p w14:paraId="77762320">
            <w:pPr>
              <w:rPr>
                <w:bCs/>
                <w:iCs/>
                <w:color w:val="000000"/>
                <w:kern w:val="0"/>
                <w:sz w:val="24"/>
                <w:highlight w:val="none"/>
              </w:rPr>
            </w:pPr>
            <w:r>
              <w:rPr>
                <w:rFonts w:hint="eastAsia" w:ascii="宋体" w:hAnsi="宋体" w:cs="宋体"/>
                <w:sz w:val="24"/>
                <w:highlight w:val="none"/>
              </w:rPr>
              <w:t>参与单位名称</w:t>
            </w:r>
          </w:p>
        </w:tc>
        <w:tc>
          <w:tcPr>
            <w:tcW w:w="7159" w:type="dxa"/>
            <w:tcBorders>
              <w:top w:val="single" w:color="auto" w:sz="4" w:space="0"/>
              <w:left w:val="single" w:color="auto" w:sz="4" w:space="0"/>
              <w:bottom w:val="single" w:color="auto" w:sz="4" w:space="0"/>
              <w:right w:val="single" w:color="auto" w:sz="4" w:space="0"/>
            </w:tcBorders>
            <w:vAlign w:val="center"/>
          </w:tcPr>
          <w:p w14:paraId="224FC9B8">
            <w:pPr>
              <w:rPr>
                <w:rFonts w:hint="eastAsia" w:ascii="宋体" w:hAnsi="宋体" w:cs="宋体"/>
                <w:sz w:val="24"/>
                <w:highlight w:val="none"/>
              </w:rPr>
            </w:pPr>
            <w:r>
              <w:rPr>
                <w:rFonts w:hint="eastAsia" w:ascii="宋体" w:hAnsi="宋体" w:cs="宋体"/>
                <w:sz w:val="24"/>
                <w:highlight w:val="none"/>
                <w:lang w:val="en-US" w:eastAsia="zh-CN"/>
              </w:rPr>
              <w:t>易方达基金、中欧基金、天弘基金、大朴资产、人保财险、诺安基金、Pzena Investment Management、人保资产、旌安投资、工银瑞信基金、禾其投资、华夏基金、大和证券、中泰证券、国海证券等</w:t>
            </w:r>
          </w:p>
        </w:tc>
      </w:tr>
      <w:tr w14:paraId="7C2F7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1908" w:type="dxa"/>
            <w:tcBorders>
              <w:top w:val="single" w:color="auto" w:sz="4" w:space="0"/>
              <w:left w:val="single" w:color="auto" w:sz="4" w:space="0"/>
              <w:bottom w:val="single" w:color="auto" w:sz="4" w:space="0"/>
              <w:right w:val="single" w:color="auto" w:sz="4" w:space="0"/>
            </w:tcBorders>
            <w:vAlign w:val="center"/>
          </w:tcPr>
          <w:p w14:paraId="4DE39CED">
            <w:pPr>
              <w:rPr>
                <w:bCs/>
                <w:iCs/>
                <w:color w:val="000000"/>
                <w:kern w:val="0"/>
                <w:sz w:val="24"/>
              </w:rPr>
            </w:pPr>
            <w:r>
              <w:rPr>
                <w:rFonts w:hint="eastAsia" w:ascii="宋体" w:hAnsi="宋体" w:cs="宋体"/>
                <w:sz w:val="24"/>
              </w:rPr>
              <w:t>时间</w:t>
            </w:r>
          </w:p>
        </w:tc>
        <w:tc>
          <w:tcPr>
            <w:tcW w:w="7159" w:type="dxa"/>
            <w:tcBorders>
              <w:top w:val="single" w:color="auto" w:sz="4" w:space="0"/>
              <w:left w:val="single" w:color="auto" w:sz="4" w:space="0"/>
              <w:bottom w:val="single" w:color="auto" w:sz="4" w:space="0"/>
              <w:right w:val="single" w:color="auto" w:sz="4" w:space="0"/>
            </w:tcBorders>
            <w:vAlign w:val="center"/>
          </w:tcPr>
          <w:p w14:paraId="67E72CAE">
            <w:pPr>
              <w:rPr>
                <w:rFonts w:hint="eastAsia" w:ascii="宋体" w:hAnsi="宋体" w:cs="宋体"/>
                <w:sz w:val="24"/>
                <w:highlight w:val="none"/>
              </w:rPr>
            </w:pPr>
            <w:r>
              <w:rPr>
                <w:rFonts w:hint="eastAsia" w:ascii="宋体" w:hAnsi="宋体" w:cs="宋体"/>
                <w:sz w:val="24"/>
                <w:highlight w:val="none"/>
              </w:rPr>
              <w:t>2026年</w:t>
            </w:r>
            <w:r>
              <w:rPr>
                <w:rFonts w:hint="eastAsia" w:ascii="宋体" w:hAnsi="宋体" w:cs="宋体"/>
                <w:sz w:val="24"/>
                <w:highlight w:val="none"/>
                <w:lang w:val="en-US" w:eastAsia="zh-CN"/>
              </w:rPr>
              <w:t>9</w:t>
            </w:r>
            <w:r>
              <w:rPr>
                <w:rFonts w:hint="eastAsia" w:ascii="宋体" w:hAnsi="宋体" w:cs="宋体"/>
                <w:sz w:val="24"/>
                <w:highlight w:val="none"/>
              </w:rPr>
              <w:t>月</w:t>
            </w:r>
          </w:p>
        </w:tc>
      </w:tr>
      <w:tr w14:paraId="14663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vAlign w:val="center"/>
          </w:tcPr>
          <w:p w14:paraId="12D230CB">
            <w:pPr>
              <w:wordWrap w:val="0"/>
              <w:rPr>
                <w:bCs/>
                <w:iCs/>
                <w:color w:val="000000"/>
                <w:kern w:val="0"/>
                <w:sz w:val="24"/>
                <w:highlight w:val="none"/>
              </w:rPr>
            </w:pPr>
            <w:r>
              <w:rPr>
                <w:rFonts w:hint="eastAsia" w:ascii="宋体" w:hAnsi="宋体" w:cs="宋体"/>
                <w:sz w:val="24"/>
                <w:highlight w:val="none"/>
              </w:rPr>
              <w:t>地点</w:t>
            </w:r>
          </w:p>
        </w:tc>
        <w:tc>
          <w:tcPr>
            <w:tcW w:w="7159" w:type="dxa"/>
            <w:tcBorders>
              <w:top w:val="single" w:color="auto" w:sz="4" w:space="0"/>
              <w:left w:val="single" w:color="auto" w:sz="4" w:space="0"/>
              <w:bottom w:val="single" w:color="auto" w:sz="4" w:space="0"/>
              <w:right w:val="single" w:color="auto" w:sz="4" w:space="0"/>
            </w:tcBorders>
          </w:tcPr>
          <w:p w14:paraId="0A506A44">
            <w:pPr>
              <w:rPr>
                <w:rFonts w:hint="eastAsia" w:ascii="宋体" w:hAnsi="宋体" w:cs="宋体"/>
                <w:sz w:val="24"/>
                <w:highlight w:val="none"/>
              </w:rPr>
            </w:pPr>
            <w:r>
              <w:rPr>
                <w:rFonts w:hint="eastAsia" w:ascii="宋体" w:hAnsi="宋体" w:cs="宋体"/>
                <w:sz w:val="24"/>
                <w:highlight w:val="none"/>
              </w:rPr>
              <w:t>现场：青岛市市北区郑州路43号橡</w:t>
            </w:r>
            <w:r>
              <w:rPr>
                <w:rFonts w:hint="eastAsia" w:ascii="宋体" w:hAnsi="宋体" w:cs="宋体"/>
                <w:sz w:val="24"/>
                <w:highlight w:val="none"/>
                <w:lang w:val="en-US" w:eastAsia="zh-CN"/>
              </w:rPr>
              <w:t>塑</w:t>
            </w:r>
            <w:r>
              <w:rPr>
                <w:rFonts w:hint="eastAsia" w:ascii="宋体" w:hAnsi="宋体" w:cs="宋体"/>
                <w:sz w:val="24"/>
                <w:highlight w:val="none"/>
              </w:rPr>
              <w:t>新材料大楼会议室</w:t>
            </w:r>
          </w:p>
          <w:p w14:paraId="7FE8F9AB">
            <w:pPr>
              <w:rPr>
                <w:rFonts w:hint="default" w:ascii="宋体" w:hAnsi="宋体" w:cs="宋体"/>
                <w:sz w:val="24"/>
                <w:highlight w:val="none"/>
                <w:lang w:val="en-US" w:eastAsia="zh-CN"/>
              </w:rPr>
            </w:pPr>
            <w:r>
              <w:rPr>
                <w:rFonts w:hint="eastAsia" w:ascii="宋体" w:hAnsi="宋体" w:cs="宋体"/>
                <w:sz w:val="24"/>
                <w:highlight w:val="none"/>
                <w:lang w:val="en-US" w:eastAsia="zh-CN"/>
              </w:rPr>
              <w:t>线上：分析师会议</w:t>
            </w:r>
          </w:p>
        </w:tc>
      </w:tr>
      <w:tr w14:paraId="6EE2F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trPr>
        <w:tc>
          <w:tcPr>
            <w:tcW w:w="1908" w:type="dxa"/>
            <w:tcBorders>
              <w:top w:val="single" w:color="auto" w:sz="4" w:space="0"/>
              <w:left w:val="single" w:color="auto" w:sz="4" w:space="0"/>
              <w:bottom w:val="single" w:color="auto" w:sz="4" w:space="0"/>
              <w:right w:val="single" w:color="auto" w:sz="4" w:space="0"/>
            </w:tcBorders>
            <w:vAlign w:val="center"/>
          </w:tcPr>
          <w:p w14:paraId="543211A2">
            <w:pPr>
              <w:rPr>
                <w:bCs/>
                <w:iCs/>
                <w:color w:val="000000"/>
                <w:kern w:val="0"/>
                <w:sz w:val="24"/>
              </w:rPr>
            </w:pPr>
            <w:r>
              <w:rPr>
                <w:rFonts w:hint="eastAsia" w:ascii="宋体" w:hAnsi="宋体" w:cs="宋体"/>
                <w:sz w:val="24"/>
              </w:rPr>
              <w:t>上市公司接待人员姓名</w:t>
            </w:r>
          </w:p>
        </w:tc>
        <w:tc>
          <w:tcPr>
            <w:tcW w:w="7159" w:type="dxa"/>
            <w:tcBorders>
              <w:top w:val="single" w:color="auto" w:sz="4" w:space="0"/>
              <w:left w:val="single" w:color="auto" w:sz="4" w:space="0"/>
              <w:bottom w:val="single" w:color="auto" w:sz="4" w:space="0"/>
              <w:right w:val="single" w:color="auto" w:sz="4" w:space="0"/>
            </w:tcBorders>
            <w:vAlign w:val="center"/>
          </w:tcPr>
          <w:p w14:paraId="2C283DB1">
            <w:pPr>
              <w:rPr>
                <w:rFonts w:ascii="宋体" w:hAnsi="宋体" w:cs="宋体"/>
                <w:sz w:val="24"/>
              </w:rPr>
            </w:pPr>
            <w:r>
              <w:rPr>
                <w:rFonts w:hint="eastAsia" w:ascii="宋体" w:hAnsi="宋体" w:cs="宋体"/>
                <w:sz w:val="24"/>
              </w:rPr>
              <w:t>董事、董事会秘书：李吉庆</w:t>
            </w:r>
          </w:p>
          <w:p w14:paraId="04326B94">
            <w:pPr>
              <w:rPr>
                <w:rFonts w:ascii="宋体" w:hAnsi="宋体" w:cs="宋体"/>
                <w:sz w:val="24"/>
              </w:rPr>
            </w:pPr>
            <w:r>
              <w:rPr>
                <w:rFonts w:hint="eastAsia" w:ascii="宋体" w:hAnsi="宋体" w:cs="宋体"/>
                <w:sz w:val="24"/>
              </w:rPr>
              <w:t>投资者关系主管：曲蕾</w:t>
            </w:r>
          </w:p>
          <w:p w14:paraId="11B94414">
            <w:pPr>
              <w:rPr>
                <w:rFonts w:ascii="宋体" w:hAnsi="宋体" w:cs="宋体"/>
                <w:sz w:val="24"/>
              </w:rPr>
            </w:pPr>
            <w:r>
              <w:rPr>
                <w:rFonts w:hint="eastAsia" w:ascii="宋体" w:hAnsi="宋体" w:cs="宋体"/>
                <w:sz w:val="24"/>
              </w:rPr>
              <w:t>信息披露经理：闫凯</w:t>
            </w:r>
          </w:p>
        </w:tc>
      </w:tr>
      <w:tr w14:paraId="40F1F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vAlign w:val="center"/>
          </w:tcPr>
          <w:p w14:paraId="6CDA2C92">
            <w:pPr>
              <w:spacing w:line="420" w:lineRule="exact"/>
              <w:rPr>
                <w:bCs/>
                <w:iCs/>
                <w:color w:val="000000"/>
                <w:sz w:val="24"/>
              </w:rPr>
            </w:pPr>
            <w:r>
              <w:rPr>
                <w:rFonts w:hAnsi="宋体"/>
                <w:bCs/>
                <w:iCs/>
                <w:color w:val="000000"/>
                <w:kern w:val="0"/>
                <w:sz w:val="24"/>
              </w:rPr>
              <w:t>投资者关系活动主要内容介绍</w:t>
            </w:r>
          </w:p>
        </w:tc>
        <w:tc>
          <w:tcPr>
            <w:tcW w:w="7159" w:type="dxa"/>
            <w:tcBorders>
              <w:top w:val="single" w:color="auto" w:sz="4" w:space="0"/>
              <w:left w:val="single" w:color="auto" w:sz="4" w:space="0"/>
              <w:bottom w:val="single" w:color="auto" w:sz="4" w:space="0"/>
              <w:right w:val="single" w:color="auto" w:sz="4" w:space="0"/>
            </w:tcBorders>
          </w:tcPr>
          <w:p w14:paraId="3A057DDC">
            <w:pPr>
              <w:pStyle w:val="14"/>
              <w:spacing w:line="460" w:lineRule="exact"/>
              <w:ind w:left="-2" w:leftChars="-1" w:firstLine="480" w:firstLineChars="0"/>
              <w:rPr>
                <w:rFonts w:ascii="宋体" w:hAnsi="宋体"/>
                <w:b/>
                <w:bCs/>
                <w:sz w:val="24"/>
                <w:szCs w:val="24"/>
              </w:rPr>
            </w:pPr>
            <w:r>
              <w:rPr>
                <w:rFonts w:hint="eastAsia" w:ascii="宋体" w:hAnsi="宋体"/>
                <w:b/>
                <w:bCs/>
                <w:sz w:val="24"/>
                <w:szCs w:val="24"/>
              </w:rPr>
              <w:t>一、公司简介：</w:t>
            </w:r>
          </w:p>
          <w:p w14:paraId="5C50C10F">
            <w:pPr>
              <w:pStyle w:val="14"/>
              <w:spacing w:line="460" w:lineRule="exact"/>
              <w:ind w:left="-2" w:leftChars="-1" w:firstLine="480" w:firstLineChars="0"/>
              <w:rPr>
                <w:rFonts w:ascii="宋体" w:hAnsi="宋体"/>
                <w:sz w:val="24"/>
                <w:szCs w:val="24"/>
              </w:rPr>
            </w:pPr>
            <w:r>
              <w:rPr>
                <w:rFonts w:hint="eastAsia" w:ascii="宋体" w:hAnsi="宋体"/>
                <w:sz w:val="24"/>
                <w:szCs w:val="24"/>
              </w:rPr>
              <w:t>公司创建于2002年，是中国第一家A股上市民营轮胎企业，也是中国第一家“走出去”在海外建厂的轮胎企业。</w:t>
            </w:r>
          </w:p>
          <w:p w14:paraId="210B3D8F">
            <w:pPr>
              <w:pStyle w:val="14"/>
              <w:spacing w:line="460" w:lineRule="exact"/>
              <w:ind w:left="-2" w:leftChars="-1" w:firstLine="480" w:firstLineChars="0"/>
              <w:rPr>
                <w:rFonts w:ascii="宋体" w:hAnsi="宋体"/>
                <w:sz w:val="24"/>
                <w:szCs w:val="24"/>
              </w:rPr>
            </w:pPr>
            <w:r>
              <w:rPr>
                <w:rFonts w:hint="eastAsia" w:ascii="宋体" w:hAnsi="宋体"/>
                <w:sz w:val="24"/>
                <w:szCs w:val="24"/>
              </w:rPr>
              <w:t>根据Brand Finance品牌价值评估机构发布的“</w:t>
            </w:r>
            <w:r>
              <w:rPr>
                <w:rFonts w:hint="eastAsia" w:ascii="宋体" w:hAnsi="宋体"/>
                <w:sz w:val="24"/>
                <w:szCs w:val="24"/>
                <w:lang w:val="en-US" w:eastAsia="zh-CN"/>
              </w:rPr>
              <w:t>2026全球轮胎品牌价值25强</w:t>
            </w:r>
            <w:r>
              <w:rPr>
                <w:rFonts w:hint="eastAsia" w:ascii="宋体" w:hAnsi="宋体"/>
                <w:sz w:val="24"/>
                <w:szCs w:val="24"/>
              </w:rPr>
              <w:t>”，公司位列轮胎行业第10位，截至目前，赛轮已连续四年位居中国轮胎品牌首位，也是唯一跻身全球榜单十强的中国轮胎品牌；在世界品牌实验室发布的</w:t>
            </w:r>
            <w:r>
              <w:rPr>
                <w:rFonts w:hint="eastAsia" w:ascii="宋体" w:hAnsi="宋体"/>
                <w:sz w:val="24"/>
                <w:szCs w:val="24"/>
                <w:lang w:val="en-US" w:eastAsia="zh-CN"/>
              </w:rPr>
              <w:t>2026</w:t>
            </w:r>
            <w:r>
              <w:rPr>
                <w:rFonts w:hint="eastAsia" w:ascii="宋体" w:hAnsi="宋体"/>
                <w:sz w:val="24"/>
                <w:szCs w:val="24"/>
              </w:rPr>
              <w:t>年度“中国500最具价值品牌”榜单中，公司品牌价值位居榜单第</w:t>
            </w:r>
            <w:r>
              <w:rPr>
                <w:rFonts w:hint="eastAsia" w:ascii="宋体" w:hAnsi="宋体"/>
                <w:sz w:val="24"/>
                <w:szCs w:val="24"/>
                <w:lang w:val="en-US" w:eastAsia="zh-CN"/>
              </w:rPr>
              <w:t>97</w:t>
            </w:r>
            <w:r>
              <w:rPr>
                <w:rFonts w:hint="eastAsia" w:ascii="宋体" w:hAnsi="宋体"/>
                <w:sz w:val="24"/>
                <w:szCs w:val="24"/>
              </w:rPr>
              <w:t>位，且品牌价值连续</w:t>
            </w:r>
            <w:r>
              <w:rPr>
                <w:rFonts w:hint="eastAsia" w:ascii="宋体" w:hAnsi="宋体"/>
                <w:sz w:val="24"/>
                <w:szCs w:val="24"/>
                <w:lang w:val="en-US" w:eastAsia="zh-CN"/>
              </w:rPr>
              <w:t>九</w:t>
            </w:r>
            <w:r>
              <w:rPr>
                <w:rFonts w:hint="eastAsia" w:ascii="宋体" w:hAnsi="宋体"/>
                <w:sz w:val="24"/>
                <w:szCs w:val="24"/>
              </w:rPr>
              <w:t>年实现跃升。</w:t>
            </w:r>
          </w:p>
          <w:p w14:paraId="34294B34">
            <w:pPr>
              <w:pStyle w:val="14"/>
              <w:spacing w:line="460" w:lineRule="exact"/>
              <w:ind w:left="-2" w:leftChars="-1" w:firstLine="480"/>
              <w:rPr>
                <w:rFonts w:hint="eastAsia" w:ascii="宋体" w:hAnsi="宋体" w:cs="宋体"/>
                <w:sz w:val="24"/>
                <w:szCs w:val="32"/>
              </w:rPr>
            </w:pPr>
            <w:r>
              <w:rPr>
                <w:rFonts w:hint="eastAsia" w:ascii="宋体" w:hAnsi="宋体" w:cs="宋体"/>
                <w:sz w:val="24"/>
                <w:szCs w:val="32"/>
              </w:rPr>
              <w:t>202</w:t>
            </w:r>
            <w:r>
              <w:rPr>
                <w:rFonts w:hint="eastAsia" w:ascii="宋体" w:hAnsi="宋体" w:cs="宋体"/>
                <w:sz w:val="24"/>
                <w:szCs w:val="32"/>
                <w:lang w:val="en-US" w:eastAsia="zh-CN"/>
              </w:rPr>
              <w:t>6</w:t>
            </w:r>
            <w:r>
              <w:rPr>
                <w:rFonts w:hint="eastAsia" w:ascii="宋体" w:hAnsi="宋体" w:cs="宋体"/>
                <w:sz w:val="24"/>
                <w:szCs w:val="32"/>
              </w:rPr>
              <w:t>年</w:t>
            </w:r>
            <w:r>
              <w:rPr>
                <w:rFonts w:hint="eastAsia" w:ascii="宋体" w:hAnsi="宋体" w:cs="宋体"/>
                <w:sz w:val="24"/>
                <w:szCs w:val="32"/>
                <w:lang w:val="en-US" w:eastAsia="zh-CN"/>
              </w:rPr>
              <w:t>半年度</w:t>
            </w:r>
            <w:r>
              <w:rPr>
                <w:rFonts w:hint="eastAsia" w:ascii="宋体" w:hAnsi="宋体"/>
                <w:sz w:val="24"/>
                <w:szCs w:val="24"/>
                <w:lang w:val="en-US" w:eastAsia="zh-CN"/>
              </w:rPr>
              <w:t>，</w:t>
            </w:r>
            <w:r>
              <w:rPr>
                <w:rFonts w:hint="eastAsia" w:ascii="宋体" w:hAnsi="宋体"/>
                <w:sz w:val="24"/>
                <w:szCs w:val="24"/>
              </w:rPr>
              <w:t>公司</w:t>
            </w:r>
            <w:r>
              <w:rPr>
                <w:rFonts w:hint="eastAsia" w:ascii="宋体" w:hAnsi="宋体"/>
                <w:sz w:val="24"/>
                <w:szCs w:val="24"/>
                <w:lang w:val="en-US" w:eastAsia="zh-CN"/>
              </w:rPr>
              <w:t>实现营业收入</w:t>
            </w:r>
            <w:r>
              <w:rPr>
                <w:rFonts w:hint="eastAsia" w:ascii="宋体" w:hAnsi="宋体"/>
                <w:sz w:val="24"/>
                <w:szCs w:val="24"/>
              </w:rPr>
              <w:t>200.27亿元，同比增长13.88%；实现归属于上市公</w:t>
            </w:r>
            <w:r>
              <w:rPr>
                <w:rFonts w:hint="eastAsia" w:ascii="宋体" w:hAnsi="宋体"/>
                <w:sz w:val="24"/>
                <w:szCs w:val="24"/>
                <w:highlight w:val="none"/>
              </w:rPr>
              <w:t>司股东的净利润21.60亿元，同比增长17.97%；轮胎产量和销量分别为</w:t>
            </w:r>
            <w:r>
              <w:rPr>
                <w:rFonts w:hint="eastAsia" w:ascii="宋体" w:hAnsi="宋体"/>
                <w:sz w:val="24"/>
                <w:szCs w:val="24"/>
                <w:highlight w:val="none"/>
                <w:lang w:val="en-US" w:eastAsia="zh-CN"/>
              </w:rPr>
              <w:t>4,697.48</w:t>
            </w:r>
            <w:r>
              <w:rPr>
                <w:rFonts w:hint="eastAsia" w:ascii="宋体" w:hAnsi="宋体"/>
                <w:sz w:val="24"/>
                <w:szCs w:val="24"/>
                <w:highlight w:val="none"/>
              </w:rPr>
              <w:t>万条</w:t>
            </w:r>
            <w:r>
              <w:rPr>
                <w:rFonts w:hint="eastAsia" w:ascii="宋体" w:hAnsi="宋体"/>
                <w:sz w:val="24"/>
                <w:szCs w:val="24"/>
                <w:highlight w:val="none"/>
                <w:lang w:eastAsia="zh-CN"/>
              </w:rPr>
              <w:t>、</w:t>
            </w:r>
            <w:r>
              <w:rPr>
                <w:rFonts w:hint="eastAsia" w:ascii="宋体" w:hAnsi="宋体"/>
                <w:sz w:val="24"/>
                <w:szCs w:val="24"/>
                <w:highlight w:val="none"/>
                <w:lang w:val="en-US" w:eastAsia="zh-CN"/>
              </w:rPr>
              <w:t>4,501.35</w:t>
            </w:r>
            <w:r>
              <w:rPr>
                <w:rFonts w:hint="eastAsia" w:ascii="宋体" w:hAnsi="宋体"/>
                <w:sz w:val="24"/>
                <w:szCs w:val="24"/>
                <w:highlight w:val="none"/>
              </w:rPr>
              <w:t>万条，分别</w:t>
            </w:r>
            <w:r>
              <w:rPr>
                <w:rFonts w:hint="eastAsia" w:ascii="宋体" w:hAnsi="宋体" w:cs="宋体"/>
                <w:sz w:val="24"/>
                <w:szCs w:val="32"/>
                <w:highlight w:val="none"/>
              </w:rPr>
              <w:t>同比增长</w:t>
            </w:r>
            <w:r>
              <w:rPr>
                <w:rFonts w:hint="eastAsia" w:ascii="宋体" w:hAnsi="宋体" w:cs="宋体"/>
                <w:sz w:val="24"/>
                <w:szCs w:val="32"/>
                <w:highlight w:val="none"/>
                <w:lang w:val="en-US" w:eastAsia="zh-CN"/>
              </w:rPr>
              <w:t>15.70</w:t>
            </w:r>
            <w:r>
              <w:rPr>
                <w:rFonts w:hint="eastAsia" w:ascii="宋体" w:hAnsi="宋体" w:cs="宋体"/>
                <w:sz w:val="24"/>
                <w:szCs w:val="32"/>
                <w:highlight w:val="none"/>
              </w:rPr>
              <w:t>%</w:t>
            </w:r>
            <w:r>
              <w:rPr>
                <w:rFonts w:hint="eastAsia" w:ascii="宋体" w:hAnsi="宋体" w:cs="宋体"/>
                <w:sz w:val="24"/>
                <w:szCs w:val="32"/>
                <w:highlight w:val="none"/>
                <w:lang w:eastAsia="zh-CN"/>
              </w:rPr>
              <w:t>、</w:t>
            </w:r>
            <w:r>
              <w:rPr>
                <w:rFonts w:hint="eastAsia" w:ascii="宋体" w:hAnsi="宋体" w:cs="宋体"/>
                <w:sz w:val="24"/>
                <w:szCs w:val="32"/>
                <w:highlight w:val="none"/>
                <w:lang w:val="en-US" w:eastAsia="zh-CN"/>
              </w:rPr>
              <w:t>14.99</w:t>
            </w:r>
            <w:r>
              <w:rPr>
                <w:rFonts w:hint="eastAsia" w:ascii="宋体" w:hAnsi="宋体" w:cs="宋体"/>
                <w:sz w:val="24"/>
                <w:szCs w:val="32"/>
                <w:highlight w:val="none"/>
              </w:rPr>
              <w:t>%。202</w:t>
            </w:r>
            <w:r>
              <w:rPr>
                <w:rFonts w:hint="eastAsia" w:ascii="宋体" w:hAnsi="宋体" w:cs="宋体"/>
                <w:sz w:val="24"/>
                <w:szCs w:val="32"/>
              </w:rPr>
              <w:t>6年第二季度实现营业收入105.66亿元，同比增长15.16%；实现归属于上市公司股东的净利润11.03亿元，同比增长39.26%。</w:t>
            </w:r>
          </w:p>
          <w:p w14:paraId="2244BC6D">
            <w:pPr>
              <w:pStyle w:val="14"/>
              <w:spacing w:line="460" w:lineRule="exact"/>
              <w:ind w:left="-2" w:leftChars="-1" w:firstLine="480"/>
              <w:rPr>
                <w:rFonts w:hint="eastAsia" w:ascii="宋体" w:hAnsi="宋体" w:cs="宋体"/>
                <w:sz w:val="24"/>
              </w:rPr>
            </w:pPr>
            <w:r>
              <w:rPr>
                <w:rFonts w:hint="eastAsia" w:ascii="宋体" w:hAnsi="宋体" w:cs="宋体"/>
                <w:sz w:val="24"/>
              </w:rPr>
              <w:t>目前，公司已在国内青岛、东营、沈阳、潍坊及海外越南、柬埔寨、墨西哥、印尼布局多个轮胎生产基地，埃及与青岛董家口生产基地建设正稳步推进。</w:t>
            </w:r>
          </w:p>
          <w:p w14:paraId="4A9AEE5F">
            <w:pPr>
              <w:pStyle w:val="14"/>
              <w:spacing w:line="460" w:lineRule="exact"/>
              <w:ind w:left="-2" w:leftChars="-1" w:firstLine="480"/>
              <w:rPr>
                <w:highlight w:val="yellow"/>
              </w:rPr>
            </w:pPr>
            <w:r>
              <w:rPr>
                <w:rFonts w:hint="eastAsia" w:ascii="宋体" w:hAnsi="宋体"/>
                <w:sz w:val="24"/>
              </w:rPr>
              <w:t>公司</w:t>
            </w:r>
            <w:r>
              <w:rPr>
                <w:rFonts w:hint="eastAsia" w:ascii="宋体" w:hAnsi="宋体"/>
                <w:sz w:val="24"/>
                <w:lang w:val="en-US" w:eastAsia="zh-CN"/>
              </w:rPr>
              <w:t>在全球</w:t>
            </w:r>
            <w:r>
              <w:rPr>
                <w:rFonts w:hint="eastAsia" w:ascii="宋体" w:hAnsi="宋体"/>
                <w:sz w:val="24"/>
              </w:rPr>
              <w:t>建有四大研发中心，在各地工厂也建立了属地化的技术研究部门，搭建起了全球技术研发与试验体系。公司产品销售已涵盖中国、北美、欧洲、亚洲、非洲等全球180多个国家和地区。</w:t>
            </w:r>
          </w:p>
          <w:p w14:paraId="04B587F0">
            <w:pPr>
              <w:pStyle w:val="14"/>
              <w:spacing w:line="460" w:lineRule="exact"/>
              <w:ind w:left="-2" w:leftChars="-1" w:firstLine="480" w:firstLineChars="0"/>
              <w:rPr>
                <w:rFonts w:hint="eastAsia" w:ascii="宋体" w:hAnsi="宋体" w:eastAsia="宋体"/>
                <w:sz w:val="24"/>
                <w:szCs w:val="24"/>
                <w:lang w:val="en-US" w:eastAsia="zh-CN"/>
              </w:rPr>
            </w:pPr>
            <w:r>
              <w:rPr>
                <w:rFonts w:hint="eastAsia" w:ascii="宋体" w:hAnsi="宋体"/>
                <w:b/>
                <w:bCs/>
                <w:sz w:val="24"/>
                <w:szCs w:val="24"/>
              </w:rPr>
              <w:t>二、投资者提出的主要问题及公司回复情况:</w:t>
            </w:r>
          </w:p>
          <w:p w14:paraId="3C0075BD">
            <w:pPr>
              <w:pStyle w:val="14"/>
              <w:spacing w:line="460" w:lineRule="exact"/>
              <w:ind w:left="-2" w:leftChars="-1" w:firstLine="480" w:firstLineChars="0"/>
              <w:rPr>
                <w:rFonts w:ascii="宋体" w:hAnsi="宋体"/>
                <w:b/>
                <w:bCs/>
                <w:sz w:val="24"/>
                <w:szCs w:val="24"/>
              </w:rPr>
            </w:pPr>
            <w:r>
              <w:rPr>
                <w:rFonts w:hint="eastAsia" w:ascii="宋体" w:hAnsi="宋体"/>
                <w:b/>
                <w:bCs/>
                <w:sz w:val="24"/>
                <w:szCs w:val="24"/>
                <w:lang w:val="en-US" w:eastAsia="zh-CN"/>
              </w:rPr>
              <w:t>1、公司原材料供应是否稳定</w:t>
            </w:r>
            <w:r>
              <w:rPr>
                <w:rFonts w:hint="eastAsia" w:ascii="宋体" w:hAnsi="宋体"/>
                <w:b/>
                <w:bCs/>
                <w:sz w:val="24"/>
                <w:szCs w:val="24"/>
              </w:rPr>
              <w:t>？</w:t>
            </w:r>
          </w:p>
          <w:p w14:paraId="3922B95B">
            <w:pPr>
              <w:pStyle w:val="14"/>
              <w:spacing w:line="460" w:lineRule="exact"/>
              <w:ind w:left="-2" w:leftChars="-1" w:firstLine="480" w:firstLineChars="0"/>
              <w:rPr>
                <w:rFonts w:hint="default" w:ascii="宋体" w:hAnsi="宋体" w:eastAsia="宋体"/>
                <w:b/>
                <w:bCs/>
                <w:sz w:val="24"/>
                <w:szCs w:val="24"/>
                <w:lang w:val="en-US" w:eastAsia="zh-CN"/>
              </w:rPr>
            </w:pPr>
            <w:r>
              <w:rPr>
                <w:rFonts w:hint="eastAsia" w:ascii="宋体" w:hAnsi="宋体"/>
                <w:sz w:val="24"/>
                <w:szCs w:val="24"/>
              </w:rPr>
              <w:t>答:</w:t>
            </w:r>
            <w:r>
              <w:rPr>
                <w:rFonts w:ascii="宋体" w:hAnsi="宋体"/>
                <w:sz w:val="24"/>
                <w:szCs w:val="24"/>
              </w:rPr>
              <w:t>公司日常会根据各类原材料的市场情况以及需求计划灵活制定采购策略，</w:t>
            </w:r>
            <w:r>
              <w:rPr>
                <w:rFonts w:hint="eastAsia" w:ascii="宋体" w:hAnsi="宋体"/>
                <w:sz w:val="24"/>
                <w:szCs w:val="24"/>
                <w:lang w:val="en-US" w:eastAsia="zh-CN"/>
              </w:rPr>
              <w:t>平抑</w:t>
            </w:r>
            <w:r>
              <w:rPr>
                <w:rFonts w:ascii="宋体" w:hAnsi="宋体"/>
                <w:sz w:val="24"/>
                <w:szCs w:val="24"/>
              </w:rPr>
              <w:t>原材料价格波动对公司带来的不利影响。</w:t>
            </w:r>
            <w:r>
              <w:rPr>
                <w:rFonts w:hint="eastAsia" w:ascii="宋体" w:hAnsi="宋体"/>
                <w:sz w:val="24"/>
                <w:szCs w:val="24"/>
                <w:lang w:val="en-US" w:eastAsia="zh-CN"/>
              </w:rPr>
              <w:t>目前各项原材料供应稳定。</w:t>
            </w:r>
          </w:p>
          <w:p w14:paraId="6C2AF1BA">
            <w:pPr>
              <w:pStyle w:val="14"/>
              <w:numPr>
                <w:ilvl w:val="-1"/>
                <w:numId w:val="0"/>
              </w:numPr>
              <w:spacing w:line="460" w:lineRule="exact"/>
              <w:ind w:left="-2" w:leftChars="-1" w:firstLine="480" w:firstLineChars="0"/>
              <w:rPr>
                <w:rFonts w:ascii="宋体" w:hAnsi="宋体"/>
                <w:b/>
                <w:bCs/>
                <w:sz w:val="24"/>
                <w:szCs w:val="24"/>
              </w:rPr>
            </w:pPr>
            <w:r>
              <w:rPr>
                <w:rFonts w:hint="eastAsia" w:ascii="宋体" w:hAnsi="宋体" w:cs="宋体"/>
                <w:b/>
                <w:bCs/>
                <w:sz w:val="24"/>
                <w:szCs w:val="24"/>
                <w:lang w:val="en-US" w:eastAsia="zh-CN"/>
              </w:rPr>
              <w:t>2、</w:t>
            </w:r>
            <w:r>
              <w:rPr>
                <w:rFonts w:hint="eastAsia" w:ascii="宋体" w:hAnsi="宋体"/>
                <w:b/>
                <w:bCs/>
                <w:sz w:val="24"/>
                <w:szCs w:val="24"/>
                <w:lang w:val="en-US" w:eastAsia="zh-CN"/>
              </w:rPr>
              <w:t>公司品牌力建设情况</w:t>
            </w:r>
            <w:r>
              <w:rPr>
                <w:rFonts w:ascii="宋体" w:hAnsi="宋体"/>
                <w:b/>
                <w:bCs/>
                <w:sz w:val="24"/>
                <w:szCs w:val="24"/>
              </w:rPr>
              <w:t>？</w:t>
            </w:r>
          </w:p>
          <w:p w14:paraId="713EEC0F">
            <w:pPr>
              <w:pStyle w:val="14"/>
              <w:numPr>
                <w:ilvl w:val="-1"/>
                <w:numId w:val="0"/>
              </w:numPr>
              <w:spacing w:line="460" w:lineRule="exact"/>
              <w:ind w:left="-2" w:leftChars="-1" w:firstLine="480" w:firstLineChars="0"/>
              <w:rPr>
                <w:rFonts w:hint="default" w:ascii="宋体" w:hAnsi="宋体"/>
                <w:b/>
                <w:bCs/>
                <w:sz w:val="24"/>
                <w:szCs w:val="24"/>
                <w:lang w:val="en-US" w:eastAsia="zh-CN"/>
              </w:rPr>
            </w:pPr>
            <w:r>
              <w:rPr>
                <w:rFonts w:hint="eastAsia" w:ascii="宋体" w:hAnsi="宋体"/>
                <w:sz w:val="24"/>
                <w:szCs w:val="24"/>
              </w:rPr>
              <w:t>答:</w:t>
            </w:r>
            <w:r>
              <w:rPr>
                <w:rFonts w:hint="eastAsia" w:ascii="宋体" w:hAnsi="宋体"/>
                <w:sz w:val="24"/>
                <w:szCs w:val="24"/>
                <w:lang w:val="en-US" w:eastAsia="zh-CN"/>
              </w:rPr>
              <w:t>根据</w:t>
            </w:r>
            <w:r>
              <w:rPr>
                <w:rFonts w:hint="eastAsia" w:ascii="宋体" w:hAnsi="宋体"/>
                <w:sz w:val="24"/>
                <w:szCs w:val="24"/>
              </w:rPr>
              <w:t>全球知名品牌价值评估机构世界品牌实验室（World Brand Lab）发布</w:t>
            </w:r>
            <w:r>
              <w:rPr>
                <w:rFonts w:hint="eastAsia" w:ascii="宋体" w:hAnsi="宋体"/>
                <w:sz w:val="24"/>
                <w:szCs w:val="24"/>
                <w:lang w:val="en-US" w:eastAsia="zh-CN"/>
              </w:rPr>
              <w:t>的</w:t>
            </w:r>
            <w:r>
              <w:rPr>
                <w:rFonts w:hint="eastAsia" w:ascii="宋体" w:hAnsi="宋体"/>
                <w:sz w:val="24"/>
                <w:szCs w:val="24"/>
              </w:rPr>
              <w:t>2026年《中国500最具价值品牌》分析报告。</w:t>
            </w:r>
            <w:r>
              <w:rPr>
                <w:rFonts w:hint="eastAsia" w:ascii="宋体" w:hAnsi="宋体"/>
                <w:sz w:val="24"/>
                <w:szCs w:val="24"/>
                <w:lang w:val="en-US" w:eastAsia="zh-CN"/>
              </w:rPr>
              <w:t>公司</w:t>
            </w:r>
            <w:r>
              <w:rPr>
                <w:rFonts w:hint="eastAsia" w:ascii="宋体" w:hAnsi="宋体"/>
                <w:sz w:val="24"/>
                <w:szCs w:val="24"/>
              </w:rPr>
              <w:t>以1</w:t>
            </w:r>
            <w:r>
              <w:rPr>
                <w:rFonts w:hint="eastAsia" w:ascii="宋体" w:hAnsi="宋体"/>
                <w:sz w:val="24"/>
                <w:szCs w:val="24"/>
                <w:lang w:val="en-US" w:eastAsia="zh-CN"/>
              </w:rPr>
              <w:t>,</w:t>
            </w:r>
            <w:r>
              <w:rPr>
                <w:rFonts w:hint="eastAsia" w:ascii="宋体" w:hAnsi="宋体"/>
                <w:sz w:val="24"/>
                <w:szCs w:val="24"/>
              </w:rPr>
              <w:t>251.89亿元品牌价值位列榜单第97位，较去年提升122.93亿元，首次跻身</w:t>
            </w:r>
            <w:r>
              <w:rPr>
                <w:rFonts w:hint="eastAsia" w:ascii="宋体" w:hAnsi="宋体"/>
                <w:sz w:val="24"/>
                <w:szCs w:val="24"/>
                <w:lang w:val="en-US" w:eastAsia="zh-CN"/>
              </w:rPr>
              <w:t>该榜单</w:t>
            </w:r>
            <w:r>
              <w:rPr>
                <w:rFonts w:hint="eastAsia" w:ascii="宋体" w:hAnsi="宋体"/>
                <w:sz w:val="24"/>
                <w:szCs w:val="24"/>
              </w:rPr>
              <w:t>百强。</w:t>
            </w:r>
            <w:r>
              <w:rPr>
                <w:rFonts w:hint="eastAsia" w:ascii="宋体" w:hAnsi="宋体" w:eastAsia="宋体" w:cs="Times New Roman"/>
                <w:kern w:val="2"/>
                <w:sz w:val="24"/>
                <w:szCs w:val="24"/>
                <w:lang w:val="en-US" w:eastAsia="zh-CN" w:bidi="ar-SA"/>
              </w:rPr>
              <w:t>9月20日，第二十一届亚洲品牌大会</w:t>
            </w:r>
            <w:r>
              <w:rPr>
                <w:rFonts w:hint="eastAsia" w:ascii="宋体" w:hAnsi="宋体" w:cs="Times New Roman"/>
                <w:kern w:val="2"/>
                <w:sz w:val="24"/>
                <w:szCs w:val="24"/>
                <w:lang w:val="en-US" w:eastAsia="zh-CN" w:bidi="ar-SA"/>
              </w:rPr>
              <w:t>，公司</w:t>
            </w:r>
            <w:r>
              <w:rPr>
                <w:rFonts w:hint="eastAsia" w:ascii="宋体" w:hAnsi="宋体" w:eastAsia="宋体" w:cs="Times New Roman"/>
                <w:kern w:val="2"/>
                <w:sz w:val="24"/>
                <w:szCs w:val="24"/>
                <w:lang w:val="en-US" w:eastAsia="zh-CN" w:bidi="ar-SA"/>
              </w:rPr>
              <w:t>凭借稳健的品牌成长力与全球市场表现位列2026年《亚洲品牌500强》榜单第313位。</w:t>
            </w:r>
            <w:r>
              <w:rPr>
                <w:rFonts w:hint="eastAsia" w:ascii="宋体" w:hAnsi="宋体" w:cs="Times New Roman"/>
                <w:kern w:val="2"/>
                <w:sz w:val="24"/>
                <w:szCs w:val="24"/>
                <w:lang w:val="en-US" w:eastAsia="zh-CN" w:bidi="ar-SA"/>
              </w:rPr>
              <w:t>根据</w:t>
            </w:r>
            <w:r>
              <w:rPr>
                <w:rFonts w:hint="eastAsia" w:ascii="宋体" w:hAnsi="宋体"/>
                <w:sz w:val="24"/>
                <w:szCs w:val="24"/>
              </w:rPr>
              <w:t>Brand Finance发布的《2026全球轮胎品牌价值25强》</w:t>
            </w:r>
            <w:r>
              <w:rPr>
                <w:rFonts w:hint="eastAsia" w:ascii="宋体" w:hAnsi="宋体"/>
                <w:sz w:val="24"/>
                <w:szCs w:val="24"/>
                <w:lang w:val="en-US" w:eastAsia="zh-CN"/>
              </w:rPr>
              <w:t>榜单</w:t>
            </w:r>
            <w:r>
              <w:rPr>
                <w:rFonts w:hint="eastAsia" w:ascii="宋体" w:hAnsi="宋体"/>
                <w:sz w:val="24"/>
                <w:szCs w:val="24"/>
              </w:rPr>
              <w:t>，</w:t>
            </w:r>
            <w:r>
              <w:rPr>
                <w:rFonts w:hint="eastAsia" w:ascii="宋体" w:hAnsi="宋体"/>
                <w:sz w:val="24"/>
                <w:szCs w:val="24"/>
                <w:lang w:val="en-US" w:eastAsia="zh-CN"/>
              </w:rPr>
              <w:t>公司</w:t>
            </w:r>
            <w:r>
              <w:rPr>
                <w:rFonts w:hint="eastAsia" w:ascii="宋体" w:hAnsi="宋体"/>
                <w:sz w:val="24"/>
                <w:szCs w:val="24"/>
              </w:rPr>
              <w:t>已连续四年位居中国轮胎品牌首位，也是唯一跻身全球榜单十强的中国轮胎品牌。</w:t>
            </w:r>
          </w:p>
          <w:p w14:paraId="11DF7924">
            <w:pPr>
              <w:pStyle w:val="14"/>
              <w:numPr>
                <w:ilvl w:val="-1"/>
                <w:numId w:val="0"/>
              </w:numPr>
              <w:spacing w:line="460" w:lineRule="exact"/>
              <w:ind w:left="-2" w:leftChars="-1" w:firstLine="480" w:firstLineChars="0"/>
              <w:rPr>
                <w:rFonts w:ascii="宋体" w:hAnsi="宋体" w:cs="宋体"/>
                <w:b/>
                <w:bCs/>
                <w:sz w:val="24"/>
                <w:szCs w:val="24"/>
              </w:rPr>
            </w:pPr>
            <w:r>
              <w:rPr>
                <w:rFonts w:hint="eastAsia" w:ascii="宋体" w:hAnsi="宋体" w:cs="宋体"/>
                <w:b/>
                <w:bCs/>
                <w:sz w:val="24"/>
                <w:szCs w:val="24"/>
                <w:lang w:val="en-US" w:eastAsia="zh-CN"/>
              </w:rPr>
              <w:t>3</w:t>
            </w:r>
            <w:r>
              <w:rPr>
                <w:rFonts w:hint="eastAsia" w:ascii="宋体" w:hAnsi="宋体" w:cs="宋体"/>
                <w:b/>
                <w:bCs/>
                <w:sz w:val="24"/>
                <w:szCs w:val="24"/>
              </w:rPr>
              <w:t>、公司</w:t>
            </w:r>
            <w:r>
              <w:rPr>
                <w:rFonts w:hint="eastAsia" w:ascii="宋体" w:hAnsi="宋体" w:cs="宋体"/>
                <w:b/>
                <w:bCs/>
                <w:sz w:val="24"/>
                <w:szCs w:val="24"/>
                <w:lang w:val="en-US" w:eastAsia="zh-CN"/>
              </w:rPr>
              <w:t>产销情况</w:t>
            </w:r>
            <w:r>
              <w:rPr>
                <w:rFonts w:hint="eastAsia" w:ascii="宋体" w:hAnsi="宋体" w:cs="宋体"/>
                <w:b/>
                <w:bCs/>
                <w:sz w:val="24"/>
                <w:szCs w:val="24"/>
              </w:rPr>
              <w:t>？</w:t>
            </w:r>
          </w:p>
          <w:p w14:paraId="4477C8A0">
            <w:pPr>
              <w:pStyle w:val="14"/>
              <w:spacing w:line="460" w:lineRule="exact"/>
              <w:ind w:left="-2" w:leftChars="-1" w:firstLine="480" w:firstLineChars="0"/>
              <w:rPr>
                <w:rFonts w:ascii="宋体" w:hAnsi="宋体" w:cs="宋体"/>
                <w:sz w:val="24"/>
                <w:szCs w:val="24"/>
              </w:rPr>
            </w:pPr>
            <w:r>
              <w:rPr>
                <w:rFonts w:hint="eastAsia" w:ascii="宋体" w:hAnsi="宋体"/>
                <w:sz w:val="24"/>
                <w:szCs w:val="24"/>
              </w:rPr>
              <w:t>答：</w:t>
            </w:r>
            <w:r>
              <w:rPr>
                <w:rFonts w:hint="eastAsia" w:ascii="宋体" w:hAnsi="宋体" w:cs="宋体"/>
                <w:sz w:val="24"/>
                <w:szCs w:val="24"/>
              </w:rPr>
              <w:t>伴随</w:t>
            </w:r>
            <w:r>
              <w:rPr>
                <w:rFonts w:hint="eastAsia" w:ascii="宋体" w:hAnsi="宋体" w:cs="宋体"/>
                <w:sz w:val="24"/>
                <w:szCs w:val="24"/>
                <w:lang w:val="en-US" w:eastAsia="zh-CN"/>
              </w:rPr>
              <w:t>公司</w:t>
            </w:r>
            <w:r>
              <w:rPr>
                <w:rFonts w:hint="eastAsia" w:ascii="宋体" w:hAnsi="宋体" w:cs="宋体"/>
                <w:sz w:val="24"/>
                <w:szCs w:val="24"/>
              </w:rPr>
              <w:t>全球产能逐步释放，</w:t>
            </w:r>
            <w:r>
              <w:rPr>
                <w:rFonts w:hint="eastAsia" w:ascii="宋体" w:hAnsi="宋体" w:cs="宋体"/>
                <w:sz w:val="24"/>
                <w:szCs w:val="24"/>
                <w:lang w:val="en-US" w:eastAsia="zh-CN"/>
              </w:rPr>
              <w:t>公司</w:t>
            </w:r>
            <w:r>
              <w:rPr>
                <w:rFonts w:hint="eastAsia" w:ascii="宋体" w:hAnsi="宋体" w:cs="宋体"/>
                <w:sz w:val="24"/>
                <w:szCs w:val="24"/>
              </w:rPr>
              <w:t>上半年</w:t>
            </w:r>
            <w:r>
              <w:rPr>
                <w:rFonts w:hint="eastAsia" w:ascii="宋体" w:hAnsi="宋体" w:cs="宋体"/>
                <w:sz w:val="24"/>
                <w:szCs w:val="24"/>
                <w:lang w:val="en-US" w:eastAsia="zh-CN"/>
              </w:rPr>
              <w:t>轮胎</w:t>
            </w:r>
            <w:r>
              <w:rPr>
                <w:rFonts w:hint="eastAsia" w:ascii="宋体" w:hAnsi="宋体" w:cs="宋体"/>
                <w:sz w:val="24"/>
                <w:szCs w:val="24"/>
              </w:rPr>
              <w:t>产销量同步</w:t>
            </w:r>
            <w:r>
              <w:rPr>
                <w:rFonts w:hint="eastAsia" w:ascii="宋体" w:hAnsi="宋体" w:cs="宋体"/>
                <w:sz w:val="24"/>
                <w:szCs w:val="24"/>
                <w:lang w:val="en-US" w:eastAsia="zh-CN"/>
              </w:rPr>
              <w:t>增长</w:t>
            </w:r>
            <w:r>
              <w:rPr>
                <w:rFonts w:hint="eastAsia" w:ascii="宋体" w:hAnsi="宋体" w:cs="宋体"/>
                <w:sz w:val="24"/>
                <w:szCs w:val="24"/>
              </w:rPr>
              <w:t>，均刷新历史同期水平：产量4,697.4</w:t>
            </w:r>
            <w:r>
              <w:rPr>
                <w:rFonts w:hint="eastAsia" w:ascii="宋体" w:hAnsi="宋体" w:cs="宋体"/>
                <w:sz w:val="24"/>
                <w:szCs w:val="24"/>
                <w:lang w:val="en-US" w:eastAsia="zh-CN"/>
              </w:rPr>
              <w:t>8</w:t>
            </w:r>
            <w:r>
              <w:rPr>
                <w:rFonts w:hint="eastAsia" w:ascii="宋体" w:hAnsi="宋体" w:cs="宋体"/>
                <w:sz w:val="24"/>
                <w:szCs w:val="24"/>
              </w:rPr>
              <w:t>万条，同比增长15.70%；销量4,501.35万条，同比增长14.99%</w:t>
            </w:r>
            <w:r>
              <w:rPr>
                <w:rFonts w:ascii="宋体" w:hAnsi="宋体" w:cs="宋体"/>
                <w:sz w:val="24"/>
                <w:szCs w:val="24"/>
              </w:rPr>
              <w:t>。</w:t>
            </w:r>
          </w:p>
          <w:p w14:paraId="4F464831">
            <w:pPr>
              <w:pStyle w:val="14"/>
              <w:spacing w:line="460" w:lineRule="exact"/>
              <w:ind w:left="-2" w:leftChars="-1" w:firstLine="480" w:firstLineChars="0"/>
              <w:rPr>
                <w:rFonts w:ascii="宋体" w:hAnsi="宋体"/>
                <w:b/>
                <w:bCs/>
                <w:sz w:val="24"/>
                <w:szCs w:val="24"/>
              </w:rPr>
            </w:pPr>
            <w:r>
              <w:rPr>
                <w:rFonts w:hint="eastAsia" w:ascii="宋体" w:hAnsi="宋体"/>
                <w:b/>
                <w:bCs/>
                <w:sz w:val="24"/>
                <w:szCs w:val="24"/>
                <w:lang w:val="en-US" w:eastAsia="zh-CN"/>
              </w:rPr>
              <w:t>4</w:t>
            </w:r>
            <w:r>
              <w:rPr>
                <w:rFonts w:hint="eastAsia" w:ascii="宋体" w:hAnsi="宋体"/>
                <w:b/>
                <w:bCs/>
                <w:sz w:val="24"/>
                <w:szCs w:val="24"/>
              </w:rPr>
              <w:t>、</w:t>
            </w:r>
            <w:r>
              <w:rPr>
                <w:rFonts w:hint="eastAsia" w:ascii="宋体" w:hAnsi="宋体"/>
                <w:b/>
                <w:bCs/>
                <w:sz w:val="24"/>
                <w:szCs w:val="24"/>
                <w:lang w:val="en-US" w:eastAsia="zh-CN"/>
              </w:rPr>
              <w:t>公司海外工厂开工情况</w:t>
            </w:r>
            <w:r>
              <w:rPr>
                <w:rFonts w:hint="eastAsia" w:ascii="宋体" w:hAnsi="宋体"/>
                <w:b/>
                <w:bCs/>
                <w:sz w:val="24"/>
                <w:szCs w:val="24"/>
              </w:rPr>
              <w:t>？</w:t>
            </w:r>
          </w:p>
          <w:p w14:paraId="0522E27B">
            <w:pPr>
              <w:pStyle w:val="14"/>
              <w:numPr>
                <w:ilvl w:val="-1"/>
                <w:numId w:val="0"/>
              </w:numPr>
              <w:spacing w:line="460" w:lineRule="exact"/>
              <w:ind w:left="-2" w:leftChars="-1" w:firstLine="480" w:firstLineChars="0"/>
              <w:rPr>
                <w:rFonts w:hint="eastAsia" w:ascii="宋体" w:hAnsi="宋体"/>
                <w:b/>
                <w:bCs/>
                <w:sz w:val="24"/>
                <w:szCs w:val="24"/>
                <w:lang w:val="en-US" w:eastAsia="zh-CN"/>
              </w:rPr>
            </w:pPr>
            <w:r>
              <w:rPr>
                <w:rFonts w:hint="eastAsia" w:ascii="宋体" w:hAnsi="宋体"/>
                <w:sz w:val="24"/>
                <w:szCs w:val="24"/>
              </w:rPr>
              <w:t>答:</w:t>
            </w:r>
            <w:r>
              <w:rPr>
                <w:rFonts w:hint="eastAsia" w:ascii="宋体" w:hAnsi="宋体"/>
                <w:sz w:val="24"/>
                <w:szCs w:val="24"/>
                <w:lang w:val="en-US" w:eastAsia="zh-CN"/>
              </w:rPr>
              <w:t>目前公司越南、柬埔寨工厂</w:t>
            </w:r>
            <w:r>
              <w:rPr>
                <w:rFonts w:ascii="宋体" w:hAnsi="宋体" w:eastAsia="宋体" w:cs="宋体"/>
                <w:sz w:val="24"/>
                <w:szCs w:val="24"/>
              </w:rPr>
              <w:t>产能已实现稳定释放</w:t>
            </w:r>
            <w:r>
              <w:rPr>
                <w:rFonts w:hint="eastAsia" w:ascii="宋体" w:hAnsi="宋体"/>
                <w:sz w:val="24"/>
                <w:szCs w:val="24"/>
                <w:lang w:val="en-US" w:eastAsia="zh-CN"/>
              </w:rPr>
              <w:t>，印尼、墨西哥工厂产能持续爬坡，埃及项目建设有序推进。公司海外基地规划合计具备1,275万条全钢子午胎、8,900万条半钢子午胎及13万吨非公路轮胎年产能。公司是目前海外规划产能规模最大的中国轮胎企业。2025年度及2026上半年，公司出口子午胎交货量、海外工厂产销量均位居中国轮胎行业首位</w:t>
            </w:r>
            <w:r>
              <w:rPr>
                <w:rFonts w:hint="eastAsia" w:ascii="宋体" w:hAnsi="宋体"/>
                <w:sz w:val="24"/>
                <w:szCs w:val="24"/>
              </w:rPr>
              <w:t>。</w:t>
            </w:r>
          </w:p>
          <w:p w14:paraId="51564487">
            <w:pPr>
              <w:pStyle w:val="14"/>
              <w:spacing w:line="460" w:lineRule="exact"/>
              <w:ind w:left="-2" w:leftChars="-1" w:firstLine="480" w:firstLineChars="0"/>
              <w:rPr>
                <w:rFonts w:ascii="宋体" w:hAnsi="宋体"/>
                <w:b/>
                <w:bCs/>
                <w:sz w:val="24"/>
                <w:szCs w:val="24"/>
              </w:rPr>
            </w:pPr>
            <w:r>
              <w:rPr>
                <w:rFonts w:hint="eastAsia" w:ascii="宋体" w:hAnsi="宋体"/>
                <w:b/>
                <w:bCs/>
                <w:sz w:val="24"/>
                <w:szCs w:val="24"/>
                <w:lang w:val="en-US" w:eastAsia="zh-CN"/>
              </w:rPr>
              <w:t>5</w:t>
            </w:r>
            <w:r>
              <w:rPr>
                <w:rFonts w:hint="eastAsia" w:ascii="宋体" w:hAnsi="宋体"/>
                <w:b/>
                <w:bCs/>
                <w:sz w:val="24"/>
                <w:szCs w:val="24"/>
              </w:rPr>
              <w:t>、</w:t>
            </w:r>
            <w:r>
              <w:rPr>
                <w:rFonts w:hint="eastAsia" w:ascii="宋体" w:hAnsi="宋体"/>
                <w:b/>
                <w:bCs/>
                <w:sz w:val="24"/>
                <w:szCs w:val="24"/>
                <w:lang w:val="en-US" w:eastAsia="zh-CN"/>
              </w:rPr>
              <w:t>公司上半年在新品研发上有产出吗</w:t>
            </w:r>
            <w:r>
              <w:rPr>
                <w:rFonts w:ascii="宋体" w:hAnsi="宋体"/>
                <w:b/>
                <w:bCs/>
                <w:sz w:val="24"/>
                <w:szCs w:val="24"/>
              </w:rPr>
              <w:t>？</w:t>
            </w:r>
          </w:p>
          <w:p w14:paraId="6D98C06A">
            <w:pPr>
              <w:pStyle w:val="14"/>
              <w:spacing w:line="460" w:lineRule="exact"/>
              <w:ind w:left="-2" w:leftChars="-1" w:firstLine="480" w:firstLineChars="0"/>
              <w:rPr>
                <w:rFonts w:hint="eastAsia" w:ascii="宋体" w:hAnsi="宋体"/>
                <w:sz w:val="24"/>
                <w:szCs w:val="24"/>
                <w:lang w:val="en-US" w:eastAsia="zh-CN"/>
              </w:rPr>
            </w:pPr>
            <w:r>
              <w:rPr>
                <w:rFonts w:ascii="宋体" w:hAnsi="宋体"/>
                <w:sz w:val="24"/>
                <w:szCs w:val="24"/>
              </w:rPr>
              <w:t>答:</w:t>
            </w:r>
            <w:r>
              <w:rPr>
                <w:rFonts w:hint="eastAsia" w:ascii="宋体" w:hAnsi="宋体"/>
                <w:sz w:val="24"/>
                <w:szCs w:val="24"/>
                <w:lang w:val="en-US" w:eastAsia="zh-CN"/>
              </w:rPr>
              <w:t>集团坚持全球研发布局与产学研深度融合，在全球建立了4个研发中心，形成覆盖基础研究、应用开发与成果转化的完整创新体系。</w:t>
            </w:r>
          </w:p>
          <w:p w14:paraId="64D01BBC">
            <w:pPr>
              <w:pStyle w:val="14"/>
              <w:spacing w:line="460" w:lineRule="exact"/>
              <w:ind w:left="-2" w:leftChars="-1" w:firstLine="480" w:firstLineChars="0"/>
              <w:rPr>
                <w:rFonts w:hint="eastAsia" w:ascii="宋体" w:hAnsi="宋体"/>
                <w:sz w:val="24"/>
                <w:szCs w:val="24"/>
              </w:rPr>
            </w:pPr>
            <w:r>
              <w:rPr>
                <w:rFonts w:hint="eastAsia" w:ascii="宋体" w:hAnsi="宋体"/>
                <w:sz w:val="24"/>
                <w:szCs w:val="24"/>
                <w:lang w:val="en-US" w:eastAsia="zh-CN"/>
              </w:rPr>
              <w:t>全钢轮胎领域，公司面向海内外市场推出新能源专用、重载、长途干线、矿区工况等多款新品。半钢轮胎领域，高端夏季运动型UHP产品US61顺利投产，兼顾新能源车型对续航与安全性的双重要求；多款冬季轮胎通过欧洲TÜV Mark认证；越野轮胎助力合作车队拿下环塔国际拉力赛多项组别冠军。非公路轮胎业务持续深耕，完成巨型工程子午胎新工艺、耐磨抗切割技术升级</w:t>
            </w:r>
            <w:r>
              <w:rPr>
                <w:rFonts w:hint="eastAsia" w:ascii="宋体" w:hAnsi="宋体"/>
                <w:sz w:val="24"/>
                <w:szCs w:val="24"/>
              </w:rPr>
              <w:t>。</w:t>
            </w:r>
          </w:p>
          <w:p w14:paraId="5E884C2F">
            <w:pPr>
              <w:pStyle w:val="14"/>
              <w:spacing w:line="460" w:lineRule="exact"/>
              <w:ind w:left="-2" w:leftChars="-1" w:firstLine="480" w:firstLineChars="0"/>
              <w:rPr>
                <w:rFonts w:ascii="宋体" w:hAnsi="宋体"/>
                <w:b/>
                <w:bCs/>
                <w:sz w:val="24"/>
                <w:szCs w:val="24"/>
              </w:rPr>
            </w:pPr>
            <w:r>
              <w:rPr>
                <w:rFonts w:hint="eastAsia" w:ascii="宋体" w:hAnsi="宋体"/>
                <w:sz w:val="24"/>
                <w:szCs w:val="24"/>
                <w:lang w:val="en-US" w:eastAsia="zh-CN"/>
              </w:rPr>
              <w:t>此外，2026</w:t>
            </w:r>
            <w:r>
              <w:rPr>
                <w:rFonts w:hint="eastAsia" w:ascii="宋体" w:hAnsi="宋体"/>
                <w:sz w:val="24"/>
                <w:szCs w:val="24"/>
                <w:highlight w:val="none"/>
                <w:lang w:val="en-US" w:eastAsia="zh-CN"/>
              </w:rPr>
              <w:t>年8月，公司联合其他单位攻关的“高端轮胎无人成型智能制造装备研发及</w:t>
            </w:r>
            <w:r>
              <w:rPr>
                <w:rFonts w:hint="eastAsia" w:ascii="宋体" w:hAnsi="宋体"/>
                <w:sz w:val="24"/>
                <w:szCs w:val="24"/>
                <w:lang w:val="en-US" w:eastAsia="zh-CN"/>
              </w:rPr>
              <w:t>应用”项目，荣获2025年度山东省科技进步一等奖。</w:t>
            </w:r>
          </w:p>
          <w:p w14:paraId="29CFA23E">
            <w:pPr>
              <w:pStyle w:val="14"/>
              <w:spacing w:line="460" w:lineRule="exact"/>
              <w:ind w:left="-2" w:leftChars="-1" w:firstLine="480" w:firstLineChars="0"/>
              <w:rPr>
                <w:rFonts w:ascii="宋体" w:hAnsi="宋体"/>
                <w:b/>
                <w:bCs/>
                <w:sz w:val="24"/>
                <w:szCs w:val="24"/>
              </w:rPr>
            </w:pPr>
            <w:r>
              <w:rPr>
                <w:rFonts w:hint="eastAsia" w:ascii="宋体" w:hAnsi="宋体"/>
                <w:b/>
                <w:bCs/>
                <w:sz w:val="24"/>
                <w:szCs w:val="24"/>
                <w:highlight w:val="none"/>
                <w:lang w:val="en-US" w:eastAsia="zh-CN"/>
              </w:rPr>
              <w:t>6、公司半钢配套客户主要有哪些</w:t>
            </w:r>
            <w:r>
              <w:rPr>
                <w:rFonts w:hint="eastAsia" w:ascii="宋体" w:hAnsi="宋体"/>
                <w:b/>
                <w:bCs/>
                <w:sz w:val="24"/>
                <w:szCs w:val="24"/>
                <w:highlight w:val="none"/>
              </w:rPr>
              <w:t>？</w:t>
            </w:r>
          </w:p>
          <w:p w14:paraId="5BC61601">
            <w:pPr>
              <w:pStyle w:val="14"/>
              <w:numPr>
                <w:ilvl w:val="-1"/>
                <w:numId w:val="0"/>
              </w:numPr>
              <w:spacing w:line="460" w:lineRule="exact"/>
              <w:ind w:left="-2" w:leftChars="-1" w:firstLine="480" w:firstLineChars="0"/>
              <w:rPr>
                <w:rFonts w:hint="eastAsia" w:ascii="宋体" w:hAnsi="宋体"/>
                <w:b/>
                <w:bCs/>
                <w:sz w:val="24"/>
                <w:szCs w:val="24"/>
              </w:rPr>
            </w:pPr>
            <w:r>
              <w:rPr>
                <w:rFonts w:hint="eastAsia" w:ascii="宋体" w:hAnsi="宋体"/>
                <w:sz w:val="24"/>
                <w:szCs w:val="24"/>
              </w:rPr>
              <w:t>答:</w:t>
            </w:r>
            <w:r>
              <w:rPr>
                <w:rFonts w:hint="eastAsia" w:ascii="宋体" w:hAnsi="宋体"/>
                <w:sz w:val="24"/>
                <w:szCs w:val="24"/>
                <w:lang w:val="en-US" w:eastAsia="zh-CN"/>
              </w:rPr>
              <w:t>公司已实现向比亚迪、吉利、奇瑞、长安、红旗、一汽-大众、北汽、蔚来、南京依维柯、越南VinFast、马来西亚宝腾等国内外车企的供货。公司对东南亚区域持续深耕，实现对相关中资车企在越南、泰国生产基地的稳定供货与数量提升，同时取得多个印尼项目定点；在巴西已实现对车企的配套轮胎供货，并取得其他车企的项目定点，全球化配套体系持续完善</w:t>
            </w:r>
            <w:r>
              <w:rPr>
                <w:rFonts w:hint="eastAsia" w:ascii="宋体" w:hAnsi="宋体"/>
                <w:sz w:val="24"/>
                <w:szCs w:val="24"/>
              </w:rPr>
              <w:t>。</w:t>
            </w:r>
          </w:p>
          <w:p w14:paraId="57102298">
            <w:pPr>
              <w:pStyle w:val="14"/>
              <w:spacing w:line="460" w:lineRule="exact"/>
              <w:ind w:left="-2" w:leftChars="-1" w:firstLine="480" w:firstLineChars="0"/>
              <w:rPr>
                <w:rFonts w:ascii="宋体" w:hAnsi="宋体"/>
                <w:b/>
                <w:bCs/>
                <w:sz w:val="24"/>
                <w:szCs w:val="24"/>
              </w:rPr>
            </w:pPr>
            <w:r>
              <w:rPr>
                <w:rFonts w:hint="eastAsia" w:ascii="宋体" w:hAnsi="宋体"/>
                <w:b/>
                <w:bCs/>
                <w:sz w:val="24"/>
                <w:szCs w:val="24"/>
                <w:lang w:val="en-US" w:eastAsia="zh-CN"/>
              </w:rPr>
              <w:t>7</w:t>
            </w:r>
            <w:r>
              <w:rPr>
                <w:rFonts w:hint="eastAsia" w:ascii="宋体" w:hAnsi="宋体"/>
                <w:b/>
                <w:bCs/>
                <w:sz w:val="24"/>
                <w:szCs w:val="24"/>
              </w:rPr>
              <w:t>、</w:t>
            </w:r>
            <w:r>
              <w:rPr>
                <w:rFonts w:hint="eastAsia" w:ascii="宋体" w:hAnsi="宋体"/>
                <w:b/>
                <w:bCs/>
                <w:sz w:val="24"/>
                <w:szCs w:val="24"/>
                <w:lang w:val="en-US" w:eastAsia="zh-CN"/>
              </w:rPr>
              <w:t>公司可持续发展情况</w:t>
            </w:r>
            <w:r>
              <w:rPr>
                <w:rFonts w:hint="eastAsia" w:ascii="宋体" w:hAnsi="宋体"/>
                <w:b/>
                <w:bCs/>
                <w:sz w:val="24"/>
                <w:szCs w:val="24"/>
              </w:rPr>
              <w:t>？</w:t>
            </w:r>
          </w:p>
          <w:p w14:paraId="74B44094">
            <w:pPr>
              <w:pStyle w:val="14"/>
              <w:spacing w:line="460" w:lineRule="exact"/>
              <w:ind w:left="-2" w:leftChars="-1" w:firstLine="480" w:firstLineChars="0"/>
              <w:rPr>
                <w:rFonts w:hint="eastAsia" w:ascii="宋体" w:hAnsi="宋体" w:cs="宋体"/>
                <w:sz w:val="24"/>
                <w:szCs w:val="24"/>
                <w:lang w:val="en-US" w:eastAsia="zh-CN"/>
              </w:rPr>
            </w:pPr>
            <w:r>
              <w:rPr>
                <w:rFonts w:hint="eastAsia" w:ascii="宋体" w:hAnsi="宋体" w:cs="宋体"/>
                <w:sz w:val="24"/>
                <w:szCs w:val="24"/>
                <w:lang w:val="en-US" w:eastAsia="zh-CN"/>
              </w:rPr>
              <w:t>公司深入贯彻可持续发展理念，以“eco+”可持续发展战略为指引，围绕“生态卓越、人文共生、价值驱动、精益治理”四大支柱，聚焦核心行动领域，系统性将可持续发展理念嵌入公司治理顶层架构与全流程生产经营活动。公司凭借创新实践与成效，以及与巴西淡水河谷的ESG协同实践，荣获“上海浦东新区中外企业可持续发展（ESG）产业生态创新大赛”的“创新样本”奖，成为唯一获此殊荣的轮胎企业，同时，公司的短期与长期科学减碳目标通过科学碳目标倡议（SBTi）官方验证，成为中国轮胎行业首家通过SBTi验证的企业。此外，公司凭借液体黄金轮胎全生命周期气候行动实践入选“碳路未来—2025 气候行动典型案例”，系本次唯一入选的轮胎企业。公司MSCI ESG评级升至AA级，位居中国轮胎行业榜首，根据国际权威机构Brand Finance发布的轮胎行业《2025年全球可持续发展报告》，公司位列全球轮胎行业可持续发展排名第8位，位居中国轮胎行业首位。</w:t>
            </w:r>
          </w:p>
        </w:tc>
      </w:tr>
      <w:tr w14:paraId="76708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vAlign w:val="center"/>
          </w:tcPr>
          <w:p w14:paraId="37AFD816">
            <w:pPr>
              <w:spacing w:line="420" w:lineRule="exact"/>
              <w:rPr>
                <w:rFonts w:hAnsi="宋体"/>
                <w:bCs/>
                <w:iCs/>
                <w:color w:val="000000"/>
                <w:kern w:val="0"/>
                <w:sz w:val="24"/>
              </w:rPr>
            </w:pPr>
            <w:r>
              <w:rPr>
                <w:rFonts w:hint="eastAsia" w:hAnsi="宋体"/>
                <w:bCs/>
                <w:iCs/>
                <w:color w:val="000000"/>
                <w:kern w:val="0"/>
                <w:sz w:val="24"/>
              </w:rPr>
              <w:t>关于本次活动是否涉及应披露重大信息的说明</w:t>
            </w:r>
          </w:p>
        </w:tc>
        <w:tc>
          <w:tcPr>
            <w:tcW w:w="7159" w:type="dxa"/>
            <w:tcBorders>
              <w:top w:val="single" w:color="auto" w:sz="4" w:space="0"/>
              <w:left w:val="single" w:color="auto" w:sz="4" w:space="0"/>
              <w:bottom w:val="single" w:color="auto" w:sz="4" w:space="0"/>
              <w:right w:val="single" w:color="auto" w:sz="4" w:space="0"/>
            </w:tcBorders>
          </w:tcPr>
          <w:p w14:paraId="586CC537">
            <w:pPr>
              <w:pStyle w:val="14"/>
              <w:spacing w:line="460" w:lineRule="exact"/>
              <w:ind w:firstLine="0" w:firstLineChars="0"/>
              <w:rPr>
                <w:rFonts w:ascii="宋体" w:hAnsi="宋体"/>
                <w:sz w:val="24"/>
                <w:szCs w:val="24"/>
              </w:rPr>
            </w:pPr>
            <w:r>
              <w:rPr>
                <w:rFonts w:hint="eastAsia" w:ascii="宋体" w:hAnsi="宋体"/>
                <w:sz w:val="24"/>
                <w:szCs w:val="24"/>
              </w:rPr>
              <w:t>无</w:t>
            </w:r>
          </w:p>
        </w:tc>
      </w:tr>
      <w:tr w14:paraId="745C2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vAlign w:val="center"/>
          </w:tcPr>
          <w:p w14:paraId="23FBB159">
            <w:pPr>
              <w:spacing w:line="420" w:lineRule="exact"/>
              <w:rPr>
                <w:bCs/>
                <w:iCs/>
                <w:color w:val="000000"/>
                <w:kern w:val="0"/>
                <w:sz w:val="24"/>
              </w:rPr>
            </w:pPr>
            <w:r>
              <w:rPr>
                <w:rFonts w:hAnsi="宋体"/>
                <w:bCs/>
                <w:iCs/>
                <w:color w:val="000000"/>
                <w:kern w:val="0"/>
                <w:sz w:val="24"/>
              </w:rPr>
              <w:t>附件清单（如有）</w:t>
            </w:r>
          </w:p>
        </w:tc>
        <w:tc>
          <w:tcPr>
            <w:tcW w:w="7159" w:type="dxa"/>
            <w:tcBorders>
              <w:top w:val="single" w:color="auto" w:sz="4" w:space="0"/>
              <w:left w:val="single" w:color="auto" w:sz="4" w:space="0"/>
              <w:bottom w:val="single" w:color="auto" w:sz="4" w:space="0"/>
              <w:right w:val="single" w:color="auto" w:sz="4" w:space="0"/>
            </w:tcBorders>
          </w:tcPr>
          <w:p w14:paraId="6AED7C54">
            <w:pPr>
              <w:spacing w:line="420" w:lineRule="exact"/>
              <w:rPr>
                <w:bCs/>
                <w:iCs/>
                <w:color w:val="000000"/>
                <w:sz w:val="24"/>
              </w:rPr>
            </w:pPr>
            <w:r>
              <w:rPr>
                <w:rFonts w:hint="eastAsia"/>
                <w:bCs/>
                <w:iCs/>
                <w:color w:val="000000"/>
                <w:sz w:val="24"/>
              </w:rPr>
              <w:t>无</w:t>
            </w:r>
          </w:p>
        </w:tc>
      </w:tr>
    </w:tbl>
    <w:p w14:paraId="55C34ED7"/>
    <w:sectPr>
      <w:headerReference r:id="rId3" w:type="default"/>
      <w:footerReference r:id="rId4" w:type="default"/>
      <w:pgSz w:w="11906" w:h="16838"/>
      <w:pgMar w:top="1418" w:right="1418" w:bottom="1418"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F20F7">
    <w:pPr>
      <w:pStyle w:val="5"/>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6F6E1">
    <w:pPr>
      <w:pStyle w:val="6"/>
      <w:pBdr>
        <w:bottom w:val="none" w:color="auto" w:sz="0" w:space="0"/>
      </w:pBdr>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1C7"/>
    <w:rsid w:val="000268C0"/>
    <w:rsid w:val="000363B5"/>
    <w:rsid w:val="000375D7"/>
    <w:rsid w:val="00043015"/>
    <w:rsid w:val="00046DDE"/>
    <w:rsid w:val="00047EB9"/>
    <w:rsid w:val="00060A74"/>
    <w:rsid w:val="00067110"/>
    <w:rsid w:val="000759BE"/>
    <w:rsid w:val="00090A08"/>
    <w:rsid w:val="0009298A"/>
    <w:rsid w:val="000A06FF"/>
    <w:rsid w:val="000A2808"/>
    <w:rsid w:val="000A3BAC"/>
    <w:rsid w:val="000B6E1C"/>
    <w:rsid w:val="000C26FD"/>
    <w:rsid w:val="000C2D85"/>
    <w:rsid w:val="000E5700"/>
    <w:rsid w:val="000F0C4B"/>
    <w:rsid w:val="000F0E22"/>
    <w:rsid w:val="00105A04"/>
    <w:rsid w:val="001169A9"/>
    <w:rsid w:val="00125EB2"/>
    <w:rsid w:val="00142A4C"/>
    <w:rsid w:val="00144279"/>
    <w:rsid w:val="001452FF"/>
    <w:rsid w:val="001514AB"/>
    <w:rsid w:val="00164F36"/>
    <w:rsid w:val="0016617A"/>
    <w:rsid w:val="00167E99"/>
    <w:rsid w:val="0017500C"/>
    <w:rsid w:val="001943FE"/>
    <w:rsid w:val="001975AB"/>
    <w:rsid w:val="001A00F5"/>
    <w:rsid w:val="001A1F65"/>
    <w:rsid w:val="001A5CE9"/>
    <w:rsid w:val="001C50AD"/>
    <w:rsid w:val="001C53CF"/>
    <w:rsid w:val="001D22EE"/>
    <w:rsid w:val="001D4C89"/>
    <w:rsid w:val="001E1838"/>
    <w:rsid w:val="001E3145"/>
    <w:rsid w:val="001E6509"/>
    <w:rsid w:val="001E7968"/>
    <w:rsid w:val="001F34CD"/>
    <w:rsid w:val="0021223F"/>
    <w:rsid w:val="0022180A"/>
    <w:rsid w:val="00223ABC"/>
    <w:rsid w:val="002241B9"/>
    <w:rsid w:val="002274D9"/>
    <w:rsid w:val="0023455A"/>
    <w:rsid w:val="00237994"/>
    <w:rsid w:val="00250810"/>
    <w:rsid w:val="00251D58"/>
    <w:rsid w:val="00252824"/>
    <w:rsid w:val="002530EE"/>
    <w:rsid w:val="002549E6"/>
    <w:rsid w:val="00256602"/>
    <w:rsid w:val="0026685A"/>
    <w:rsid w:val="00271C8D"/>
    <w:rsid w:val="00273B53"/>
    <w:rsid w:val="002774F7"/>
    <w:rsid w:val="0028080C"/>
    <w:rsid w:val="00281089"/>
    <w:rsid w:val="00284D8E"/>
    <w:rsid w:val="00295257"/>
    <w:rsid w:val="00297703"/>
    <w:rsid w:val="002A0826"/>
    <w:rsid w:val="002A0984"/>
    <w:rsid w:val="002A0F7E"/>
    <w:rsid w:val="002A589B"/>
    <w:rsid w:val="002A5CE1"/>
    <w:rsid w:val="002B1184"/>
    <w:rsid w:val="002B71B8"/>
    <w:rsid w:val="002B7469"/>
    <w:rsid w:val="002C22C6"/>
    <w:rsid w:val="002C23FC"/>
    <w:rsid w:val="002C6568"/>
    <w:rsid w:val="002C723B"/>
    <w:rsid w:val="002D2151"/>
    <w:rsid w:val="002D39BC"/>
    <w:rsid w:val="002D4E50"/>
    <w:rsid w:val="002D5E38"/>
    <w:rsid w:val="002D6611"/>
    <w:rsid w:val="002E1B15"/>
    <w:rsid w:val="002E1D3A"/>
    <w:rsid w:val="002F556B"/>
    <w:rsid w:val="003005F0"/>
    <w:rsid w:val="00300E73"/>
    <w:rsid w:val="003030BF"/>
    <w:rsid w:val="00304F89"/>
    <w:rsid w:val="00306023"/>
    <w:rsid w:val="00324953"/>
    <w:rsid w:val="00327D5D"/>
    <w:rsid w:val="00344914"/>
    <w:rsid w:val="00346917"/>
    <w:rsid w:val="00354A7B"/>
    <w:rsid w:val="00360FDA"/>
    <w:rsid w:val="00363075"/>
    <w:rsid w:val="00367D18"/>
    <w:rsid w:val="00372A1C"/>
    <w:rsid w:val="0037435A"/>
    <w:rsid w:val="00377D8F"/>
    <w:rsid w:val="00383679"/>
    <w:rsid w:val="003A1E68"/>
    <w:rsid w:val="003B0122"/>
    <w:rsid w:val="003B0BE5"/>
    <w:rsid w:val="003B424A"/>
    <w:rsid w:val="003D18F1"/>
    <w:rsid w:val="003E001E"/>
    <w:rsid w:val="003F7C4D"/>
    <w:rsid w:val="0040075F"/>
    <w:rsid w:val="00403300"/>
    <w:rsid w:val="004118C0"/>
    <w:rsid w:val="00417A31"/>
    <w:rsid w:val="0042004B"/>
    <w:rsid w:val="00421A4F"/>
    <w:rsid w:val="00433384"/>
    <w:rsid w:val="0043777D"/>
    <w:rsid w:val="00456810"/>
    <w:rsid w:val="0045767F"/>
    <w:rsid w:val="00463E9B"/>
    <w:rsid w:val="00467414"/>
    <w:rsid w:val="004713D3"/>
    <w:rsid w:val="00473F30"/>
    <w:rsid w:val="0048591A"/>
    <w:rsid w:val="00486D86"/>
    <w:rsid w:val="0048721A"/>
    <w:rsid w:val="004A0BD5"/>
    <w:rsid w:val="004A1BBF"/>
    <w:rsid w:val="004A73E5"/>
    <w:rsid w:val="004C19BF"/>
    <w:rsid w:val="004D7640"/>
    <w:rsid w:val="004E1A9B"/>
    <w:rsid w:val="004E76B6"/>
    <w:rsid w:val="00500AB6"/>
    <w:rsid w:val="005155FB"/>
    <w:rsid w:val="00523907"/>
    <w:rsid w:val="00533D7F"/>
    <w:rsid w:val="00537C53"/>
    <w:rsid w:val="005438F5"/>
    <w:rsid w:val="00544901"/>
    <w:rsid w:val="00545A2E"/>
    <w:rsid w:val="005474D3"/>
    <w:rsid w:val="00550737"/>
    <w:rsid w:val="00551B41"/>
    <w:rsid w:val="00555DD2"/>
    <w:rsid w:val="00565819"/>
    <w:rsid w:val="00565ED9"/>
    <w:rsid w:val="0057339F"/>
    <w:rsid w:val="005760C6"/>
    <w:rsid w:val="00585A1B"/>
    <w:rsid w:val="00591260"/>
    <w:rsid w:val="00591314"/>
    <w:rsid w:val="00593D40"/>
    <w:rsid w:val="00595F1B"/>
    <w:rsid w:val="005A3BE0"/>
    <w:rsid w:val="005B1026"/>
    <w:rsid w:val="005B642F"/>
    <w:rsid w:val="005C04C1"/>
    <w:rsid w:val="005C1785"/>
    <w:rsid w:val="005D2D87"/>
    <w:rsid w:val="005D6A09"/>
    <w:rsid w:val="005E2B4B"/>
    <w:rsid w:val="005E5F63"/>
    <w:rsid w:val="005E6BA1"/>
    <w:rsid w:val="00601B92"/>
    <w:rsid w:val="0060779A"/>
    <w:rsid w:val="00617A62"/>
    <w:rsid w:val="00622F13"/>
    <w:rsid w:val="00625503"/>
    <w:rsid w:val="0062662D"/>
    <w:rsid w:val="00632E78"/>
    <w:rsid w:val="006344F1"/>
    <w:rsid w:val="00637186"/>
    <w:rsid w:val="00641810"/>
    <w:rsid w:val="00645D80"/>
    <w:rsid w:val="00646DF4"/>
    <w:rsid w:val="00651DE6"/>
    <w:rsid w:val="006523BB"/>
    <w:rsid w:val="00652928"/>
    <w:rsid w:val="0065347E"/>
    <w:rsid w:val="00654B49"/>
    <w:rsid w:val="00662505"/>
    <w:rsid w:val="00664538"/>
    <w:rsid w:val="0066674C"/>
    <w:rsid w:val="006760F7"/>
    <w:rsid w:val="00682777"/>
    <w:rsid w:val="006861C7"/>
    <w:rsid w:val="00686DDF"/>
    <w:rsid w:val="00697B12"/>
    <w:rsid w:val="006A55BB"/>
    <w:rsid w:val="006A7613"/>
    <w:rsid w:val="006B661A"/>
    <w:rsid w:val="006B7D00"/>
    <w:rsid w:val="006B7EA0"/>
    <w:rsid w:val="006C6BC5"/>
    <w:rsid w:val="006D61A2"/>
    <w:rsid w:val="006E1DB4"/>
    <w:rsid w:val="00714059"/>
    <w:rsid w:val="00716833"/>
    <w:rsid w:val="00723BFA"/>
    <w:rsid w:val="00726DC9"/>
    <w:rsid w:val="00753DB6"/>
    <w:rsid w:val="007555E7"/>
    <w:rsid w:val="00763847"/>
    <w:rsid w:val="007702B4"/>
    <w:rsid w:val="00771FE3"/>
    <w:rsid w:val="00776BDE"/>
    <w:rsid w:val="007816EC"/>
    <w:rsid w:val="007845A3"/>
    <w:rsid w:val="00786870"/>
    <w:rsid w:val="00792237"/>
    <w:rsid w:val="0079272A"/>
    <w:rsid w:val="00794A1A"/>
    <w:rsid w:val="007A1DA9"/>
    <w:rsid w:val="007B2252"/>
    <w:rsid w:val="007B79D9"/>
    <w:rsid w:val="007C67B1"/>
    <w:rsid w:val="007D3272"/>
    <w:rsid w:val="007E354A"/>
    <w:rsid w:val="007E69C8"/>
    <w:rsid w:val="0080525B"/>
    <w:rsid w:val="008062C5"/>
    <w:rsid w:val="0080741A"/>
    <w:rsid w:val="00814B5B"/>
    <w:rsid w:val="00836F34"/>
    <w:rsid w:val="00843E73"/>
    <w:rsid w:val="00844EBF"/>
    <w:rsid w:val="00854F61"/>
    <w:rsid w:val="0086193F"/>
    <w:rsid w:val="00864202"/>
    <w:rsid w:val="00873B59"/>
    <w:rsid w:val="0087701F"/>
    <w:rsid w:val="0089283D"/>
    <w:rsid w:val="00893108"/>
    <w:rsid w:val="00896F6C"/>
    <w:rsid w:val="008A0ADC"/>
    <w:rsid w:val="008A1813"/>
    <w:rsid w:val="008A1BAB"/>
    <w:rsid w:val="008B38B7"/>
    <w:rsid w:val="008B458E"/>
    <w:rsid w:val="008C4D4A"/>
    <w:rsid w:val="008D14CC"/>
    <w:rsid w:val="008E11AE"/>
    <w:rsid w:val="008E1708"/>
    <w:rsid w:val="008E1E3A"/>
    <w:rsid w:val="008E25C7"/>
    <w:rsid w:val="008E4844"/>
    <w:rsid w:val="00904492"/>
    <w:rsid w:val="00904DFB"/>
    <w:rsid w:val="0091457B"/>
    <w:rsid w:val="00923763"/>
    <w:rsid w:val="00930C19"/>
    <w:rsid w:val="00930ED6"/>
    <w:rsid w:val="0093293F"/>
    <w:rsid w:val="00933105"/>
    <w:rsid w:val="0094408E"/>
    <w:rsid w:val="00944147"/>
    <w:rsid w:val="009474EF"/>
    <w:rsid w:val="00962626"/>
    <w:rsid w:val="00975657"/>
    <w:rsid w:val="009767DD"/>
    <w:rsid w:val="00977AF2"/>
    <w:rsid w:val="00985FC5"/>
    <w:rsid w:val="00991CFA"/>
    <w:rsid w:val="00993BDD"/>
    <w:rsid w:val="009A6DFB"/>
    <w:rsid w:val="009B6EC0"/>
    <w:rsid w:val="009C7FAF"/>
    <w:rsid w:val="009D4199"/>
    <w:rsid w:val="009E5E6A"/>
    <w:rsid w:val="009F0DD5"/>
    <w:rsid w:val="009F1B95"/>
    <w:rsid w:val="009F58E0"/>
    <w:rsid w:val="009F6C05"/>
    <w:rsid w:val="00A05FD7"/>
    <w:rsid w:val="00A12C73"/>
    <w:rsid w:val="00A13CB6"/>
    <w:rsid w:val="00A14A1A"/>
    <w:rsid w:val="00A22CDD"/>
    <w:rsid w:val="00A25AEE"/>
    <w:rsid w:val="00A31EB1"/>
    <w:rsid w:val="00A33AEA"/>
    <w:rsid w:val="00A3668F"/>
    <w:rsid w:val="00A43D62"/>
    <w:rsid w:val="00A461CD"/>
    <w:rsid w:val="00A469C5"/>
    <w:rsid w:val="00A5317D"/>
    <w:rsid w:val="00A6284E"/>
    <w:rsid w:val="00A63E81"/>
    <w:rsid w:val="00A8775A"/>
    <w:rsid w:val="00AA5998"/>
    <w:rsid w:val="00AB07E7"/>
    <w:rsid w:val="00AD1BA8"/>
    <w:rsid w:val="00AE49A4"/>
    <w:rsid w:val="00B02A29"/>
    <w:rsid w:val="00B03522"/>
    <w:rsid w:val="00B04AD6"/>
    <w:rsid w:val="00B14CAA"/>
    <w:rsid w:val="00B24C80"/>
    <w:rsid w:val="00B257CE"/>
    <w:rsid w:val="00B377C1"/>
    <w:rsid w:val="00B4746C"/>
    <w:rsid w:val="00B65354"/>
    <w:rsid w:val="00B71A0E"/>
    <w:rsid w:val="00B80C24"/>
    <w:rsid w:val="00B81765"/>
    <w:rsid w:val="00B832F5"/>
    <w:rsid w:val="00BA2FAB"/>
    <w:rsid w:val="00BB4BD0"/>
    <w:rsid w:val="00BB5E28"/>
    <w:rsid w:val="00BC7AD1"/>
    <w:rsid w:val="00BD15F3"/>
    <w:rsid w:val="00BD7986"/>
    <w:rsid w:val="00BD79D3"/>
    <w:rsid w:val="00C01D49"/>
    <w:rsid w:val="00C04F82"/>
    <w:rsid w:val="00C15AC0"/>
    <w:rsid w:val="00C26030"/>
    <w:rsid w:val="00C41091"/>
    <w:rsid w:val="00C45222"/>
    <w:rsid w:val="00C63056"/>
    <w:rsid w:val="00C661D1"/>
    <w:rsid w:val="00C735E6"/>
    <w:rsid w:val="00C73E0A"/>
    <w:rsid w:val="00C753D3"/>
    <w:rsid w:val="00C775BA"/>
    <w:rsid w:val="00C85331"/>
    <w:rsid w:val="00C85A50"/>
    <w:rsid w:val="00C94D46"/>
    <w:rsid w:val="00CA443A"/>
    <w:rsid w:val="00CB2461"/>
    <w:rsid w:val="00CB37FD"/>
    <w:rsid w:val="00CC4D65"/>
    <w:rsid w:val="00CC61E7"/>
    <w:rsid w:val="00CD25AD"/>
    <w:rsid w:val="00CD2FB8"/>
    <w:rsid w:val="00CD3FFC"/>
    <w:rsid w:val="00CE493F"/>
    <w:rsid w:val="00CF565C"/>
    <w:rsid w:val="00D016A3"/>
    <w:rsid w:val="00D10C83"/>
    <w:rsid w:val="00D31004"/>
    <w:rsid w:val="00D512E3"/>
    <w:rsid w:val="00D602C9"/>
    <w:rsid w:val="00D659D1"/>
    <w:rsid w:val="00D8372D"/>
    <w:rsid w:val="00D94E90"/>
    <w:rsid w:val="00D96EE2"/>
    <w:rsid w:val="00DA26A9"/>
    <w:rsid w:val="00DB01FF"/>
    <w:rsid w:val="00DC291C"/>
    <w:rsid w:val="00DC7778"/>
    <w:rsid w:val="00DD594E"/>
    <w:rsid w:val="00DE7391"/>
    <w:rsid w:val="00DF2DB5"/>
    <w:rsid w:val="00DF361E"/>
    <w:rsid w:val="00DF6560"/>
    <w:rsid w:val="00E03F1F"/>
    <w:rsid w:val="00E0422F"/>
    <w:rsid w:val="00E04CC0"/>
    <w:rsid w:val="00E136FF"/>
    <w:rsid w:val="00E32528"/>
    <w:rsid w:val="00E35F26"/>
    <w:rsid w:val="00E43DF6"/>
    <w:rsid w:val="00E51C50"/>
    <w:rsid w:val="00E53165"/>
    <w:rsid w:val="00E61EF7"/>
    <w:rsid w:val="00E663B4"/>
    <w:rsid w:val="00E80CEB"/>
    <w:rsid w:val="00E971F4"/>
    <w:rsid w:val="00EA5103"/>
    <w:rsid w:val="00EA6FB9"/>
    <w:rsid w:val="00EB5E6A"/>
    <w:rsid w:val="00EC2AD7"/>
    <w:rsid w:val="00ED7DE0"/>
    <w:rsid w:val="00EE3956"/>
    <w:rsid w:val="00EE7891"/>
    <w:rsid w:val="00EF2EC8"/>
    <w:rsid w:val="00EF3388"/>
    <w:rsid w:val="00EF49FE"/>
    <w:rsid w:val="00EF5341"/>
    <w:rsid w:val="00F00714"/>
    <w:rsid w:val="00F04908"/>
    <w:rsid w:val="00F07C21"/>
    <w:rsid w:val="00F12EF6"/>
    <w:rsid w:val="00F21065"/>
    <w:rsid w:val="00F24311"/>
    <w:rsid w:val="00F24CB4"/>
    <w:rsid w:val="00F43465"/>
    <w:rsid w:val="00F45475"/>
    <w:rsid w:val="00F64E72"/>
    <w:rsid w:val="00F70C7D"/>
    <w:rsid w:val="00F9272E"/>
    <w:rsid w:val="00F95565"/>
    <w:rsid w:val="00F96D8F"/>
    <w:rsid w:val="00F97743"/>
    <w:rsid w:val="00FA64EF"/>
    <w:rsid w:val="00FA6DAF"/>
    <w:rsid w:val="00FC6884"/>
    <w:rsid w:val="00FE62F3"/>
    <w:rsid w:val="00FF2D81"/>
    <w:rsid w:val="00FF71D2"/>
    <w:rsid w:val="010C0FBF"/>
    <w:rsid w:val="014E47A4"/>
    <w:rsid w:val="024B5C25"/>
    <w:rsid w:val="02A71995"/>
    <w:rsid w:val="02F43955"/>
    <w:rsid w:val="03872335"/>
    <w:rsid w:val="04074A2A"/>
    <w:rsid w:val="041148EE"/>
    <w:rsid w:val="045E6982"/>
    <w:rsid w:val="04CD4E0D"/>
    <w:rsid w:val="04E5152E"/>
    <w:rsid w:val="05207AA1"/>
    <w:rsid w:val="053F335C"/>
    <w:rsid w:val="05F30D52"/>
    <w:rsid w:val="06E17628"/>
    <w:rsid w:val="06F82B7E"/>
    <w:rsid w:val="07275CE5"/>
    <w:rsid w:val="07B20C20"/>
    <w:rsid w:val="07BA5E31"/>
    <w:rsid w:val="07BC033E"/>
    <w:rsid w:val="07E84685"/>
    <w:rsid w:val="07EA33B7"/>
    <w:rsid w:val="07F43921"/>
    <w:rsid w:val="0837350B"/>
    <w:rsid w:val="083F4D57"/>
    <w:rsid w:val="08582CB3"/>
    <w:rsid w:val="0888352F"/>
    <w:rsid w:val="08964C8B"/>
    <w:rsid w:val="08E5231F"/>
    <w:rsid w:val="090360D7"/>
    <w:rsid w:val="093D3C5E"/>
    <w:rsid w:val="09955729"/>
    <w:rsid w:val="099B29F9"/>
    <w:rsid w:val="0A312134"/>
    <w:rsid w:val="0A3250B5"/>
    <w:rsid w:val="0A63192C"/>
    <w:rsid w:val="0ACC5CE8"/>
    <w:rsid w:val="0AFA761E"/>
    <w:rsid w:val="0BC07254"/>
    <w:rsid w:val="0C493B9B"/>
    <w:rsid w:val="0C911330"/>
    <w:rsid w:val="0C93758E"/>
    <w:rsid w:val="0D1A3D9C"/>
    <w:rsid w:val="0D4D0B5F"/>
    <w:rsid w:val="0D4D2354"/>
    <w:rsid w:val="0D666523"/>
    <w:rsid w:val="0D966F17"/>
    <w:rsid w:val="0DC47F11"/>
    <w:rsid w:val="0DEB6B03"/>
    <w:rsid w:val="0E1D5BD4"/>
    <w:rsid w:val="0E207A31"/>
    <w:rsid w:val="0EDC54B6"/>
    <w:rsid w:val="0FA30C9F"/>
    <w:rsid w:val="0FD733BC"/>
    <w:rsid w:val="108D6EB8"/>
    <w:rsid w:val="10A61842"/>
    <w:rsid w:val="110F4875"/>
    <w:rsid w:val="11600FCF"/>
    <w:rsid w:val="12DF0C65"/>
    <w:rsid w:val="12E87AEB"/>
    <w:rsid w:val="13313537"/>
    <w:rsid w:val="13544387"/>
    <w:rsid w:val="13706BF0"/>
    <w:rsid w:val="137F11E8"/>
    <w:rsid w:val="13811984"/>
    <w:rsid w:val="13C26E64"/>
    <w:rsid w:val="13C4450D"/>
    <w:rsid w:val="141B6967"/>
    <w:rsid w:val="14304EC9"/>
    <w:rsid w:val="143F6870"/>
    <w:rsid w:val="147565DF"/>
    <w:rsid w:val="14CE5B5B"/>
    <w:rsid w:val="14D57ABB"/>
    <w:rsid w:val="14E70151"/>
    <w:rsid w:val="158B67E1"/>
    <w:rsid w:val="1628759E"/>
    <w:rsid w:val="165C02A1"/>
    <w:rsid w:val="16975FB0"/>
    <w:rsid w:val="16C01B54"/>
    <w:rsid w:val="16D2356A"/>
    <w:rsid w:val="172C1957"/>
    <w:rsid w:val="17363AA3"/>
    <w:rsid w:val="175C51BC"/>
    <w:rsid w:val="17B3729E"/>
    <w:rsid w:val="17E96DCA"/>
    <w:rsid w:val="17F95A0A"/>
    <w:rsid w:val="180F7009"/>
    <w:rsid w:val="18567E5D"/>
    <w:rsid w:val="18D93A98"/>
    <w:rsid w:val="19277BC7"/>
    <w:rsid w:val="19384E4C"/>
    <w:rsid w:val="195106E6"/>
    <w:rsid w:val="19BD3E5D"/>
    <w:rsid w:val="19E37083"/>
    <w:rsid w:val="1A442861"/>
    <w:rsid w:val="1A51497C"/>
    <w:rsid w:val="1A5F2288"/>
    <w:rsid w:val="1A816DFF"/>
    <w:rsid w:val="1AC35C7E"/>
    <w:rsid w:val="1B1D2492"/>
    <w:rsid w:val="1B2418A5"/>
    <w:rsid w:val="1B263D19"/>
    <w:rsid w:val="1B415A19"/>
    <w:rsid w:val="1C1B07AD"/>
    <w:rsid w:val="1CB15A1E"/>
    <w:rsid w:val="1D445E50"/>
    <w:rsid w:val="1D812873"/>
    <w:rsid w:val="1E016225"/>
    <w:rsid w:val="1E1A6F96"/>
    <w:rsid w:val="1E6D3A4C"/>
    <w:rsid w:val="1E8F5DA1"/>
    <w:rsid w:val="1FBFC074"/>
    <w:rsid w:val="203C5BD3"/>
    <w:rsid w:val="204B02F6"/>
    <w:rsid w:val="2052439D"/>
    <w:rsid w:val="206E768C"/>
    <w:rsid w:val="20A21C41"/>
    <w:rsid w:val="20AF57CA"/>
    <w:rsid w:val="211B6FA2"/>
    <w:rsid w:val="21AB744A"/>
    <w:rsid w:val="21DE12B6"/>
    <w:rsid w:val="21E26D9D"/>
    <w:rsid w:val="22050DDE"/>
    <w:rsid w:val="22531071"/>
    <w:rsid w:val="22B65ABC"/>
    <w:rsid w:val="23B83520"/>
    <w:rsid w:val="240F1744"/>
    <w:rsid w:val="241C2252"/>
    <w:rsid w:val="244A38CE"/>
    <w:rsid w:val="247456DF"/>
    <w:rsid w:val="2485597A"/>
    <w:rsid w:val="24A501A2"/>
    <w:rsid w:val="24E80350"/>
    <w:rsid w:val="2510555E"/>
    <w:rsid w:val="2518296A"/>
    <w:rsid w:val="25213F70"/>
    <w:rsid w:val="257B30A7"/>
    <w:rsid w:val="25AC38D5"/>
    <w:rsid w:val="261D2E7F"/>
    <w:rsid w:val="26372DC2"/>
    <w:rsid w:val="26492CDC"/>
    <w:rsid w:val="26AB47E5"/>
    <w:rsid w:val="26C339D5"/>
    <w:rsid w:val="27486743"/>
    <w:rsid w:val="27950D85"/>
    <w:rsid w:val="27E94D39"/>
    <w:rsid w:val="27FC492A"/>
    <w:rsid w:val="280645A5"/>
    <w:rsid w:val="28B03A1C"/>
    <w:rsid w:val="29167E25"/>
    <w:rsid w:val="29254846"/>
    <w:rsid w:val="293272A7"/>
    <w:rsid w:val="2936378C"/>
    <w:rsid w:val="298E08BA"/>
    <w:rsid w:val="29A71DB7"/>
    <w:rsid w:val="29AC03B5"/>
    <w:rsid w:val="29B52BCB"/>
    <w:rsid w:val="29FA2D3E"/>
    <w:rsid w:val="2A2003A2"/>
    <w:rsid w:val="2A2618A2"/>
    <w:rsid w:val="2A923B80"/>
    <w:rsid w:val="2A924D25"/>
    <w:rsid w:val="2A9422A9"/>
    <w:rsid w:val="2AED757D"/>
    <w:rsid w:val="2B285F9E"/>
    <w:rsid w:val="2B620922"/>
    <w:rsid w:val="2B734E9D"/>
    <w:rsid w:val="2BA7533C"/>
    <w:rsid w:val="2C177530"/>
    <w:rsid w:val="2C253D8E"/>
    <w:rsid w:val="2C4460A7"/>
    <w:rsid w:val="2CF14F20"/>
    <w:rsid w:val="2DBB077A"/>
    <w:rsid w:val="2DCB41D6"/>
    <w:rsid w:val="2E256BC7"/>
    <w:rsid w:val="2E592F1A"/>
    <w:rsid w:val="2E687965"/>
    <w:rsid w:val="2E8B1648"/>
    <w:rsid w:val="2EF06807"/>
    <w:rsid w:val="2F3A1C8E"/>
    <w:rsid w:val="2F8A1FFE"/>
    <w:rsid w:val="2F94550B"/>
    <w:rsid w:val="2FB34177"/>
    <w:rsid w:val="2FD315FB"/>
    <w:rsid w:val="2FF91C3F"/>
    <w:rsid w:val="30306B53"/>
    <w:rsid w:val="305B4C29"/>
    <w:rsid w:val="30700449"/>
    <w:rsid w:val="31105E66"/>
    <w:rsid w:val="31B85A3E"/>
    <w:rsid w:val="31F54A45"/>
    <w:rsid w:val="31FD161E"/>
    <w:rsid w:val="320E6A5D"/>
    <w:rsid w:val="32406492"/>
    <w:rsid w:val="327645E7"/>
    <w:rsid w:val="32CC663E"/>
    <w:rsid w:val="33645CC3"/>
    <w:rsid w:val="33A23960"/>
    <w:rsid w:val="33E21941"/>
    <w:rsid w:val="3488335F"/>
    <w:rsid w:val="349E052A"/>
    <w:rsid w:val="34A301D0"/>
    <w:rsid w:val="34D652B4"/>
    <w:rsid w:val="34FD33C1"/>
    <w:rsid w:val="35415B1D"/>
    <w:rsid w:val="35917824"/>
    <w:rsid w:val="359B46F3"/>
    <w:rsid w:val="35B61405"/>
    <w:rsid w:val="35DC7F6D"/>
    <w:rsid w:val="36160449"/>
    <w:rsid w:val="363E7508"/>
    <w:rsid w:val="3698771E"/>
    <w:rsid w:val="36BE50F4"/>
    <w:rsid w:val="36FB9E1F"/>
    <w:rsid w:val="36FC5627"/>
    <w:rsid w:val="3741073C"/>
    <w:rsid w:val="381D5949"/>
    <w:rsid w:val="387B2C93"/>
    <w:rsid w:val="38D32EB4"/>
    <w:rsid w:val="38DA69D3"/>
    <w:rsid w:val="393A6248"/>
    <w:rsid w:val="39590076"/>
    <w:rsid w:val="3961212F"/>
    <w:rsid w:val="39970D31"/>
    <w:rsid w:val="39C443D2"/>
    <w:rsid w:val="39FE388F"/>
    <w:rsid w:val="3A811618"/>
    <w:rsid w:val="3AE95412"/>
    <w:rsid w:val="3B517531"/>
    <w:rsid w:val="3BFA3B96"/>
    <w:rsid w:val="3C197A65"/>
    <w:rsid w:val="3C4A44EB"/>
    <w:rsid w:val="3CAF7E6D"/>
    <w:rsid w:val="3CE226B1"/>
    <w:rsid w:val="3CEF3472"/>
    <w:rsid w:val="3D834ACE"/>
    <w:rsid w:val="3E572604"/>
    <w:rsid w:val="3E6B460E"/>
    <w:rsid w:val="3E73157F"/>
    <w:rsid w:val="3E86281D"/>
    <w:rsid w:val="3EFF16E9"/>
    <w:rsid w:val="3F6825F3"/>
    <w:rsid w:val="3F7D54CC"/>
    <w:rsid w:val="3F9603D9"/>
    <w:rsid w:val="3FCD71CD"/>
    <w:rsid w:val="402C16C5"/>
    <w:rsid w:val="40952455"/>
    <w:rsid w:val="40CD3EC6"/>
    <w:rsid w:val="417D7544"/>
    <w:rsid w:val="419210A2"/>
    <w:rsid w:val="420E64EB"/>
    <w:rsid w:val="4213434C"/>
    <w:rsid w:val="428377AF"/>
    <w:rsid w:val="42C03D90"/>
    <w:rsid w:val="42DB23BC"/>
    <w:rsid w:val="42F76469"/>
    <w:rsid w:val="431F67B4"/>
    <w:rsid w:val="43EC12FF"/>
    <w:rsid w:val="43FB5176"/>
    <w:rsid w:val="445F30DB"/>
    <w:rsid w:val="448156A1"/>
    <w:rsid w:val="44A12290"/>
    <w:rsid w:val="44D218B8"/>
    <w:rsid w:val="450A4511"/>
    <w:rsid w:val="45321F95"/>
    <w:rsid w:val="45811178"/>
    <w:rsid w:val="46947ED0"/>
    <w:rsid w:val="472965B9"/>
    <w:rsid w:val="478712AE"/>
    <w:rsid w:val="47A24893"/>
    <w:rsid w:val="47C71D42"/>
    <w:rsid w:val="4823219D"/>
    <w:rsid w:val="484D40EA"/>
    <w:rsid w:val="485729AA"/>
    <w:rsid w:val="48B37F53"/>
    <w:rsid w:val="490B575C"/>
    <w:rsid w:val="49330481"/>
    <w:rsid w:val="499D3A9F"/>
    <w:rsid w:val="499D4576"/>
    <w:rsid w:val="49AB2B98"/>
    <w:rsid w:val="49CE5F56"/>
    <w:rsid w:val="49F02C87"/>
    <w:rsid w:val="49FA39A7"/>
    <w:rsid w:val="4A041E7F"/>
    <w:rsid w:val="4A59738B"/>
    <w:rsid w:val="4A6B702A"/>
    <w:rsid w:val="4AD9315C"/>
    <w:rsid w:val="4AFD441A"/>
    <w:rsid w:val="4B0D7215"/>
    <w:rsid w:val="4B0F5A0D"/>
    <w:rsid w:val="4B465D0E"/>
    <w:rsid w:val="4BA27FBC"/>
    <w:rsid w:val="4BC66F58"/>
    <w:rsid w:val="4C1C56C7"/>
    <w:rsid w:val="4C2F3402"/>
    <w:rsid w:val="4D2526C9"/>
    <w:rsid w:val="4D506E7B"/>
    <w:rsid w:val="4D864777"/>
    <w:rsid w:val="4DE91E71"/>
    <w:rsid w:val="4E1370FB"/>
    <w:rsid w:val="4E166300"/>
    <w:rsid w:val="4E291C1E"/>
    <w:rsid w:val="4E2F3499"/>
    <w:rsid w:val="4EBA27E3"/>
    <w:rsid w:val="4EC95731"/>
    <w:rsid w:val="4F8C651D"/>
    <w:rsid w:val="4F9323C9"/>
    <w:rsid w:val="4FEB4EA6"/>
    <w:rsid w:val="50B41C78"/>
    <w:rsid w:val="50B463F5"/>
    <w:rsid w:val="50B7737A"/>
    <w:rsid w:val="50E41142"/>
    <w:rsid w:val="513E42F5"/>
    <w:rsid w:val="515458B0"/>
    <w:rsid w:val="518537EA"/>
    <w:rsid w:val="51874D64"/>
    <w:rsid w:val="51F4195F"/>
    <w:rsid w:val="527111C9"/>
    <w:rsid w:val="52733715"/>
    <w:rsid w:val="52A56BA5"/>
    <w:rsid w:val="53634460"/>
    <w:rsid w:val="5388729E"/>
    <w:rsid w:val="53AB0651"/>
    <w:rsid w:val="53BF706C"/>
    <w:rsid w:val="549338FF"/>
    <w:rsid w:val="54994F4D"/>
    <w:rsid w:val="55286314"/>
    <w:rsid w:val="552E13E0"/>
    <w:rsid w:val="565B781E"/>
    <w:rsid w:val="56611B3C"/>
    <w:rsid w:val="56CB6786"/>
    <w:rsid w:val="56D604B0"/>
    <w:rsid w:val="56E76DAC"/>
    <w:rsid w:val="573A3ECB"/>
    <w:rsid w:val="57AA7B05"/>
    <w:rsid w:val="57E4165B"/>
    <w:rsid w:val="581157B6"/>
    <w:rsid w:val="58356479"/>
    <w:rsid w:val="58B0047A"/>
    <w:rsid w:val="58ED0274"/>
    <w:rsid w:val="590E07A8"/>
    <w:rsid w:val="592C42F5"/>
    <w:rsid w:val="59E542B1"/>
    <w:rsid w:val="5A196F18"/>
    <w:rsid w:val="5A604790"/>
    <w:rsid w:val="5A650D5A"/>
    <w:rsid w:val="5A686798"/>
    <w:rsid w:val="5B7A4104"/>
    <w:rsid w:val="5B7E2B2B"/>
    <w:rsid w:val="5BD62EE5"/>
    <w:rsid w:val="5C26156B"/>
    <w:rsid w:val="5C3C41E3"/>
    <w:rsid w:val="5CAA57DD"/>
    <w:rsid w:val="5CBC0AC3"/>
    <w:rsid w:val="5CD76845"/>
    <w:rsid w:val="5CF8569A"/>
    <w:rsid w:val="5D121B72"/>
    <w:rsid w:val="5D350B78"/>
    <w:rsid w:val="5D3A0B7D"/>
    <w:rsid w:val="5D464695"/>
    <w:rsid w:val="5DAE4E34"/>
    <w:rsid w:val="5DD82899"/>
    <w:rsid w:val="5E5D5DF2"/>
    <w:rsid w:val="5ECF671B"/>
    <w:rsid w:val="5EE4753E"/>
    <w:rsid w:val="5F2F72A4"/>
    <w:rsid w:val="5F314559"/>
    <w:rsid w:val="5FE72FC9"/>
    <w:rsid w:val="601257DB"/>
    <w:rsid w:val="60216979"/>
    <w:rsid w:val="603B10E3"/>
    <w:rsid w:val="60D46992"/>
    <w:rsid w:val="60E648BD"/>
    <w:rsid w:val="61001EB2"/>
    <w:rsid w:val="61146382"/>
    <w:rsid w:val="61CE3805"/>
    <w:rsid w:val="61D01DD2"/>
    <w:rsid w:val="61F0786B"/>
    <w:rsid w:val="62D83CB7"/>
    <w:rsid w:val="630D3729"/>
    <w:rsid w:val="631B780A"/>
    <w:rsid w:val="63340B4D"/>
    <w:rsid w:val="63C76407"/>
    <w:rsid w:val="63C7659C"/>
    <w:rsid w:val="63F4247E"/>
    <w:rsid w:val="6413431C"/>
    <w:rsid w:val="642671DC"/>
    <w:rsid w:val="64546DFC"/>
    <w:rsid w:val="64671F01"/>
    <w:rsid w:val="646C3068"/>
    <w:rsid w:val="64BA262A"/>
    <w:rsid w:val="64CC5BCB"/>
    <w:rsid w:val="653A410A"/>
    <w:rsid w:val="657E5B22"/>
    <w:rsid w:val="65FE7991"/>
    <w:rsid w:val="66AA5270"/>
    <w:rsid w:val="67001099"/>
    <w:rsid w:val="67587146"/>
    <w:rsid w:val="683A2C86"/>
    <w:rsid w:val="685C2C70"/>
    <w:rsid w:val="68751207"/>
    <w:rsid w:val="687D428F"/>
    <w:rsid w:val="68D56618"/>
    <w:rsid w:val="69775D94"/>
    <w:rsid w:val="69BD686D"/>
    <w:rsid w:val="69F814E0"/>
    <w:rsid w:val="69F91A4B"/>
    <w:rsid w:val="6A090B86"/>
    <w:rsid w:val="6AA129DF"/>
    <w:rsid w:val="6AAB4860"/>
    <w:rsid w:val="6ADE0725"/>
    <w:rsid w:val="6B106B72"/>
    <w:rsid w:val="6B527023"/>
    <w:rsid w:val="6B925083"/>
    <w:rsid w:val="6BFA733C"/>
    <w:rsid w:val="6C737CFB"/>
    <w:rsid w:val="6E072310"/>
    <w:rsid w:val="6E480B7B"/>
    <w:rsid w:val="6EA35B19"/>
    <w:rsid w:val="6EA665E1"/>
    <w:rsid w:val="6EDD17F3"/>
    <w:rsid w:val="6F247A8A"/>
    <w:rsid w:val="6F2871E3"/>
    <w:rsid w:val="6F4A74A4"/>
    <w:rsid w:val="6F734DE5"/>
    <w:rsid w:val="6F9817A2"/>
    <w:rsid w:val="6FE44502"/>
    <w:rsid w:val="70236471"/>
    <w:rsid w:val="70426DA6"/>
    <w:rsid w:val="705160B5"/>
    <w:rsid w:val="70766666"/>
    <w:rsid w:val="70A66632"/>
    <w:rsid w:val="70FA1D49"/>
    <w:rsid w:val="71333506"/>
    <w:rsid w:val="718D24AC"/>
    <w:rsid w:val="71905711"/>
    <w:rsid w:val="723306AF"/>
    <w:rsid w:val="724C61CB"/>
    <w:rsid w:val="72753AB5"/>
    <w:rsid w:val="728B6EC5"/>
    <w:rsid w:val="734E202F"/>
    <w:rsid w:val="7468238A"/>
    <w:rsid w:val="74E03D43"/>
    <w:rsid w:val="755F2B0A"/>
    <w:rsid w:val="75760AE5"/>
    <w:rsid w:val="75F436FE"/>
    <w:rsid w:val="76573DB4"/>
    <w:rsid w:val="76A72C39"/>
    <w:rsid w:val="76D67F05"/>
    <w:rsid w:val="779276DF"/>
    <w:rsid w:val="779C26DE"/>
    <w:rsid w:val="77CF73AC"/>
    <w:rsid w:val="780D45FF"/>
    <w:rsid w:val="781C344D"/>
    <w:rsid w:val="786B3053"/>
    <w:rsid w:val="78FF0116"/>
    <w:rsid w:val="79006EC8"/>
    <w:rsid w:val="79401402"/>
    <w:rsid w:val="796400B3"/>
    <w:rsid w:val="79B24925"/>
    <w:rsid w:val="79E47B44"/>
    <w:rsid w:val="7A3157EF"/>
    <w:rsid w:val="7A5E1EB6"/>
    <w:rsid w:val="7ADE2779"/>
    <w:rsid w:val="7AF44B85"/>
    <w:rsid w:val="7B1200DF"/>
    <w:rsid w:val="7B1E408D"/>
    <w:rsid w:val="7C656439"/>
    <w:rsid w:val="7C7B6547"/>
    <w:rsid w:val="7CA95199"/>
    <w:rsid w:val="7CD96954"/>
    <w:rsid w:val="7D253043"/>
    <w:rsid w:val="7D3B6687"/>
    <w:rsid w:val="7D5E7E3F"/>
    <w:rsid w:val="7D6C41BB"/>
    <w:rsid w:val="7DC115C4"/>
    <w:rsid w:val="7DD62F81"/>
    <w:rsid w:val="7DD84285"/>
    <w:rsid w:val="7DF0789D"/>
    <w:rsid w:val="7E14406C"/>
    <w:rsid w:val="7E1878B9"/>
    <w:rsid w:val="7E2471D6"/>
    <w:rsid w:val="7E737D25"/>
    <w:rsid w:val="7E857F9E"/>
    <w:rsid w:val="7E9E4F16"/>
    <w:rsid w:val="7EB01A8A"/>
    <w:rsid w:val="B7DDD54D"/>
    <w:rsid w:val="E3FFE6ED"/>
    <w:rsid w:val="F5DB8A63"/>
    <w:rsid w:val="F797912E"/>
    <w:rsid w:val="FE7B48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semiHidden="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1"/>
    <w:unhideWhenUsed/>
    <w:qFormat/>
    <w:uiPriority w:val="0"/>
    <w:pPr>
      <w:jc w:val="left"/>
    </w:pPr>
  </w:style>
  <w:style w:type="paragraph" w:styleId="4">
    <w:name w:val="Balloon Text"/>
    <w:basedOn w:val="1"/>
    <w:link w:val="20"/>
    <w:qFormat/>
    <w:uiPriority w:val="0"/>
    <w:rPr>
      <w:sz w:val="18"/>
      <w:szCs w:val="18"/>
    </w:rPr>
  </w:style>
  <w:style w:type="paragraph" w:styleId="5">
    <w:name w:val="footer"/>
    <w:basedOn w:val="1"/>
    <w:link w:val="18"/>
    <w:qFormat/>
    <w:uiPriority w:val="0"/>
    <w:pPr>
      <w:tabs>
        <w:tab w:val="center" w:pos="4153"/>
        <w:tab w:val="right" w:pos="8306"/>
      </w:tabs>
      <w:snapToGrid w:val="0"/>
      <w:jc w:val="left"/>
    </w:pPr>
    <w:rPr>
      <w:sz w:val="18"/>
      <w:szCs w:val="18"/>
    </w:rPr>
  </w:style>
  <w:style w:type="paragraph" w:styleId="6">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8">
    <w:name w:val="annotation subject"/>
    <w:basedOn w:val="3"/>
    <w:next w:val="3"/>
    <w:link w:val="22"/>
    <w:semiHidden/>
    <w:unhideWhenUsed/>
    <w:qFormat/>
    <w:uiPriority w:val="0"/>
    <w:rPr>
      <w:b/>
      <w:bCs/>
    </w:rPr>
  </w:style>
  <w:style w:type="character" w:styleId="11">
    <w:name w:val="FollowedHyperlink"/>
    <w:basedOn w:val="10"/>
    <w:semiHidden/>
    <w:unhideWhenUsed/>
    <w:qFormat/>
    <w:uiPriority w:val="0"/>
    <w:rPr>
      <w:color w:val="800080" w:themeColor="followedHyperlink"/>
      <w:u w:val="single"/>
      <w14:textFill>
        <w14:solidFill>
          <w14:schemeClr w14:val="folHlink"/>
        </w14:solidFill>
      </w14:textFill>
    </w:rPr>
  </w:style>
  <w:style w:type="character" w:styleId="12">
    <w:name w:val="Hyperlink"/>
    <w:basedOn w:val="10"/>
    <w:unhideWhenUsed/>
    <w:qFormat/>
    <w:uiPriority w:val="0"/>
    <w:rPr>
      <w:color w:val="0000FF" w:themeColor="hyperlink"/>
      <w:u w:val="single"/>
      <w14:textFill>
        <w14:solidFill>
          <w14:schemeClr w14:val="hlink"/>
        </w14:solidFill>
      </w14:textFill>
    </w:rPr>
  </w:style>
  <w:style w:type="character" w:styleId="13">
    <w:name w:val="annotation reference"/>
    <w:basedOn w:val="10"/>
    <w:semiHidden/>
    <w:unhideWhenUsed/>
    <w:qFormat/>
    <w:uiPriority w:val="0"/>
    <w:rPr>
      <w:sz w:val="21"/>
      <w:szCs w:val="21"/>
    </w:rPr>
  </w:style>
  <w:style w:type="paragraph" w:customStyle="1" w:styleId="14">
    <w:name w:val="_Style 6"/>
    <w:basedOn w:val="1"/>
    <w:qFormat/>
    <w:uiPriority w:val="34"/>
    <w:pPr>
      <w:ind w:firstLine="420" w:firstLineChars="200"/>
    </w:pPr>
    <w:rPr>
      <w:rFonts w:ascii="Calibri" w:hAnsi="Calibri"/>
      <w:szCs w:val="22"/>
    </w:rPr>
  </w:style>
  <w:style w:type="paragraph" w:customStyle="1" w:styleId="15">
    <w:name w:val="Char Char Char"/>
    <w:basedOn w:val="1"/>
    <w:qFormat/>
    <w:uiPriority w:val="0"/>
    <w:rPr>
      <w:szCs w:val="21"/>
    </w:rPr>
  </w:style>
  <w:style w:type="paragraph" w:customStyle="1" w:styleId="16">
    <w:name w:val="Char Char Char Char Char Char Char Char Char Char Char Char Char Char Char Char"/>
    <w:basedOn w:val="1"/>
    <w:qFormat/>
    <w:uiPriority w:val="0"/>
  </w:style>
  <w:style w:type="paragraph" w:customStyle="1" w:styleId="17">
    <w:name w:val="Char Char Char1"/>
    <w:basedOn w:val="1"/>
    <w:qFormat/>
    <w:uiPriority w:val="0"/>
  </w:style>
  <w:style w:type="character" w:customStyle="1" w:styleId="18">
    <w:name w:val="页脚 字符"/>
    <w:basedOn w:val="10"/>
    <w:link w:val="5"/>
    <w:qFormat/>
    <w:uiPriority w:val="0"/>
    <w:rPr>
      <w:kern w:val="2"/>
      <w:sz w:val="18"/>
      <w:szCs w:val="18"/>
    </w:rPr>
  </w:style>
  <w:style w:type="character" w:customStyle="1" w:styleId="19">
    <w:name w:val="页眉 字符"/>
    <w:basedOn w:val="10"/>
    <w:link w:val="6"/>
    <w:qFormat/>
    <w:uiPriority w:val="0"/>
    <w:rPr>
      <w:kern w:val="2"/>
      <w:sz w:val="18"/>
      <w:szCs w:val="18"/>
    </w:rPr>
  </w:style>
  <w:style w:type="character" w:customStyle="1" w:styleId="20">
    <w:name w:val="批注框文本 字符"/>
    <w:basedOn w:val="10"/>
    <w:link w:val="4"/>
    <w:qFormat/>
    <w:uiPriority w:val="0"/>
    <w:rPr>
      <w:kern w:val="2"/>
      <w:sz w:val="18"/>
      <w:szCs w:val="18"/>
    </w:rPr>
  </w:style>
  <w:style w:type="character" w:customStyle="1" w:styleId="21">
    <w:name w:val="批注文字 字符"/>
    <w:basedOn w:val="10"/>
    <w:link w:val="3"/>
    <w:qFormat/>
    <w:uiPriority w:val="0"/>
    <w:rPr>
      <w:kern w:val="2"/>
      <w:sz w:val="21"/>
      <w:szCs w:val="24"/>
    </w:rPr>
  </w:style>
  <w:style w:type="character" w:customStyle="1" w:styleId="22">
    <w:name w:val="批注主题 字符"/>
    <w:basedOn w:val="21"/>
    <w:link w:val="8"/>
    <w:semiHidden/>
    <w:qFormat/>
    <w:uiPriority w:val="0"/>
    <w:rPr>
      <w:b/>
      <w:bCs/>
      <w:kern w:val="2"/>
      <w:sz w:val="21"/>
      <w:szCs w:val="24"/>
    </w:rPr>
  </w:style>
  <w:style w:type="paragraph" w:styleId="2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b239abd3-e4ce-4266-8166-9569582ec5c7</errorID>
      <errorWord>:</errorWord>
      <group>L1_Format</group>
      <groupName>格式问题</groupName>
      <ability>L2_HalfPunc_CN</ability>
      <abilityName>全半角问题</abilityName>
      <candidateList>
        <item>：</item>
      </candidateList>
      <explain>文本全半角错误。</explain>
      <paraID> 4B587F0</paraID>
      <start>19</start>
      <end>20</end>
      <status>unmodified</status>
      <modifiedWord/>
      <trackRevisions>false</trackRevisions>
    </reviewItem>
    <reviewItem>
      <errorID>c34e2b39-a33f-47d7-ae4e-03fddf913316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3C0075BD</paraID>
      <start>0</start>
      <end>2</end>
      <status>unmodified</status>
      <modifiedWord/>
      <trackRevisions>false</trackRevisions>
    </reviewItem>
    <reviewItem>
      <errorID>85cbd610-3908-4833-9457-e24a35848212</errorID>
      <errorWord>:</errorWord>
      <group>L1_Format</group>
      <groupName>格式问题</groupName>
      <ability>L2_HalfPunc_CN</ability>
      <abilityName>全半角问题</abilityName>
      <candidateList>
        <item>：</item>
      </candidateList>
      <explain>文本全半角错误。</explain>
      <paraID>3922B95B</paraID>
      <start>1</start>
      <end>2</end>
      <status>unmodified</status>
      <modifiedWord/>
      <trackRevisions>false</trackRevisions>
    </reviewItem>
    <reviewItem>
      <errorID>5d33fb48-0212-415d-98a2-7f98f0da77ae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6C2AF1BA</paraID>
      <start>0</start>
      <end>2</end>
      <status>unmodified</status>
      <modifiedWord/>
      <trackRevisions>false</trackRevisions>
    </reviewItem>
    <reviewItem>
      <errorID>6e7fd823-e9a1-4fbb-820d-a13a3a4c6978</errorID>
      <errorWord>:</errorWord>
      <group>L1_Format</group>
      <groupName>格式问题</groupName>
      <ability>L2_HalfPunc_CN</ability>
      <abilityName>全半角问题</abilityName>
      <candidateList>
        <item>：</item>
      </candidateList>
      <explain>文本全半角错误。</explain>
      <paraID>713EEC0F</paraID>
      <start>1</start>
      <end>2</end>
      <status>unmodified</status>
      <modifiedWord/>
      <trackRevisions>false</trackRevisions>
    </reviewItem>
    <reviewItem>
      <errorID>b33c3c5d-01a3-4759-a999-25964923ac13</errorID>
      <errorWord>。</errorWord>
      <group>L1_Punc</group>
      <groupName>标点问题</groupName>
      <ability>L2_Punc_CN</ability>
      <abilityName>标点符号问题</abilityName>
      <candidateList>
        <item>，</item>
      </candidateList>
      <explain/>
      <paraID>713EEC0F</paraID>
      <start>65</start>
      <end>66</end>
      <status>unmodified</status>
      <modifiedWord/>
      <trackRevisions>false</trackRevisions>
    </reviewItem>
    <reviewItem>
      <errorID/>
      <errorWord>也是唯一跻身全球榜单十强的中国轮胎品牌。</errorWord>
      <group>L1_Other</group>
      <groupName>其他问题</groupName>
      <ability>L2_RepeatSentence</ability>
      <abilityName>重句检查</abilityName>
      <candidateList>
        <item/>
      </candidateList>
      <explain>重句检查</explain>
      <paraID>713EEC0F</paraID>
      <start>263</start>
      <end>283</end>
      <status>unmodified</status>
      <modifiedWord/>
      <trackRevisions>false</trackRevisions>
    </reviewItem>
    <reviewItem>
      <errorID>0e63333d-4c47-4a67-887b-51274422c302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11DF7924</paraID>
      <start>0</start>
      <end>2</end>
      <status>unmodified</status>
      <modifiedWord/>
      <trackRevisions>false</trackRevisions>
    </reviewItem>
    <reviewItem>
      <errorID>352bace4-93af-4a76-8cf0-08e6f6356b23</errorID>
      <errorWord>4,697.49万条</errorWord>
      <group>L1_Other</group>
      <groupName>其他问题</groupName>
      <ability>L2_Consistency</ability>
      <abilityName>一致性检查</abilityName>
      <candidateList>
        <item>4,697.48万条</item>
      </candidateList>
      <explain>数字一致性，原文前文披露2026年半年度轮胎产量为4,697.48万条，此处数据前后不一致，应统一为前文数据</explain>
      <paraID>4477C8A0</paraID>
      <start>42</start>
      <end>52</end>
      <status>unmodified</status>
      <modifiedWord/>
      <trackRevisions>false</trackRevisions>
    </reviewItem>
    <reviewItem>
      <errorID/>
      <errorWord>同比增长15.</errorWord>
      <group>L1_Other</group>
      <groupName>其他问题</groupName>
      <ability>L2_RepeatSentence</ability>
      <abilityName>重句检查</abilityName>
      <candidateList>
        <item/>
      </candidateList>
      <explain>重句检查</explain>
      <paraID>4477C8A0</paraID>
      <start>53</start>
      <end>60</end>
      <status>unmodified</status>
      <modifiedWord/>
      <trackRevisions>false</trackRevisions>
    </reviewItem>
    <reviewItem>
      <errorID>d914e8b8-5cad-4c02-968a-a9382c7673d6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4F464831</paraID>
      <start>0</start>
      <end>2</end>
      <status>unmodified</status>
      <modifiedWord/>
      <trackRevisions>false</trackRevisions>
    </reviewItem>
    <reviewItem>
      <errorID>0193db2a-b476-4f2c-8755-c80abcb866a1</errorID>
      <errorWord>:</errorWord>
      <group>L1_Format</group>
      <groupName>格式问题</groupName>
      <ability>L2_HalfPunc_CN</ability>
      <abilityName>全半角问题</abilityName>
      <candidateList>
        <item>：</item>
      </candidateList>
      <explain>文本全半角错误。</explain>
      <paraID> 522E27B</paraID>
      <start>1</start>
      <end>2</end>
      <status>unmodified</status>
      <modifiedWord/>
      <trackRevisions>false</trackRevisions>
    </reviewItem>
    <reviewItem>
      <errorID>9ad08a5c-dc95-4a26-a0c6-4d36522aac5e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51564487</paraID>
      <start>0</start>
      <end>2</end>
      <status>unmodified</status>
      <modifiedWord/>
      <trackRevisions>false</trackRevisions>
    </reviewItem>
    <reviewItem>
      <errorID>99a2d6d4-3230-4d43-8142-5eadeaa23487</errorID>
      <errorWord>:</errorWord>
      <group>L1_Format</group>
      <groupName>格式问题</groupName>
      <ability>L2_HalfPunc_CN</ability>
      <abilityName>全半角问题</abilityName>
      <candidateList>
        <item>：</item>
      </candidateList>
      <explain>文本全半角错误。</explain>
      <paraID>6D98C06A</paraID>
      <start>1</start>
      <end>2</end>
      <status>unmodified</status>
      <modifiedWord/>
      <trackRevisions>false</trackRevisions>
    </reviewItem>
    <reviewItem>
      <errorID>0a1222a3-79cd-4ffe-b844-838838d3d8eb</errorID>
      <errorWord>科技进步一等奖</errorWord>
      <group>L1_Political</group>
      <groupName>政治性问题</groupName>
      <ability>L2_Unpolitical</ability>
      <abilityName>政治敏感错误</abilityName>
      <candidateList>
        <item>科技进步奖一等奖</item>
      </candidateList>
      <explain/>
      <paraID>5E884C2F</paraID>
      <start>57</start>
      <end>64</end>
      <status>unmodified</status>
      <modifiedWord/>
      <trackRevisions>false</trackRevisions>
    </reviewItem>
    <reviewItem>
      <errorID>4d3e2558-fe32-404e-af98-17acde036a36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29CFA23E</paraID>
      <start>0</start>
      <end>2</end>
      <status>unmodified</status>
      <modifiedWord/>
      <trackRevisions>false</trackRevisions>
    </reviewItem>
    <reviewItem>
      <errorID>c07f9ae7-8e8c-46bb-b7bb-303410bbfa4c</errorID>
      <errorWord>:</errorWord>
      <group>L1_Format</group>
      <groupName>格式问题</groupName>
      <ability>L2_HalfPunc_CN</ability>
      <abilityName>全半角问题</abilityName>
      <candidateList>
        <item>：</item>
      </candidateList>
      <explain>文本全半角错误。</explain>
      <paraID>5BC61601</paraID>
      <start>1</start>
      <end>2</end>
      <status>unmodified</status>
      <modifiedWord/>
      <trackRevisions>false</trackRevisions>
    </reviewItem>
    <reviewItem>
      <errorID>5bdeb752-9cd0-4c8f-a488-2dfccfa8c325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57102298</paraID>
      <start>0</start>
      <end>2</end>
      <status>unmodified</status>
      <modifiedWord/>
      <trackRevisions>false</trackRevisions>
    </reviewItem>
    <reviewItem>
      <errorID>a67eb86e-f31a-419e-8bb7-b8a94a812bd2</errorID>
      <errorWord>四大支柱</errorWord>
      <group>L1_Political</group>
      <groupName>政治性问题</groupName>
      <ability>L2_Unpolitical</ability>
      <abilityName>政治敏感错误</abilityName>
      <candidateList/>
      <explain>“台独”</explain>
      <paraID>74B44094</paraID>
      <start>55</start>
      <end>59</end>
      <status>unmodified</status>
      <modifiedWord/>
      <trackRevisions>false</trackRevisions>
    </reviewItem>
    <reviewItem>
      <errorID>9ad2244d-0d80-4d58-81b5-7de1814ca371</errorID>
      <errorWord>排名第</errorWord>
      <group>L1_Grammar</group>
      <groupName>语法问题</groupName>
      <ability>L2_Grammar</ability>
      <abilityName>语法错误</abilityName>
      <candidateList>
        <item>第</item>
      </candidateList>
      <explain/>
      <paraID>74B44094</paraID>
      <start>394</start>
      <end>397</end>
      <status>unmodified</status>
      <modifiedWord/>
      <trackRevisions>false</trackRevisions>
    </reviewItem>
  </reviewItems>
  <config/>
</contractReview>
</file>

<file path=customXml/itemProps1.xml><?xml version="1.0" encoding="utf-8"?>
<ds:datastoreItem xmlns:ds="http://schemas.openxmlformats.org/officeDocument/2006/customXml" ds:itemID="{111a75f0-7593-48ea-b71f-64ce12f38528}">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Pages>
  <Words>2211</Words>
  <Characters>2483</Characters>
  <Lines>29</Lines>
  <Paragraphs>8</Paragraphs>
  <TotalTime>36</TotalTime>
  <ScaleCrop>false</ScaleCrop>
  <LinksUpToDate>false</LinksUpToDate>
  <CharactersWithSpaces>2580</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2025-04-30T03:49:00Z</dcterms:created>
  <dc:creator>微软用户</dc:creator>
  <cp:lastModifiedBy>曲蕾</cp:lastModifiedBy>
  <cp:lastPrinted>2014-02-21T05:34:00Z</cp:lastPrinted>
  <dcterms:modified xsi:type="dcterms:W3CDTF">2026-09-30T01:29:39Z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551BA10BE3E44B739D75810B8C83C31F</vt:lpwstr>
  </property>
  <property fmtid="{D5CDD505-2E9C-101B-9397-08002B2CF9AE}" pid="4" name="KSOTemplateDocerSaveRecord">
    <vt:lpwstr>eyJoZGlkIjoiM2UyODQ1ZGNkNGNjODBlMmNkMThkM2FjYzQ5MDE5ZmQiLCJ1c2VySWQiOiIxNzY1NTU4MDEyIn0=</vt:lpwstr>
  </property>
</Properties>
</file>