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71081">
      <w:pPr>
        <w:tabs>
          <w:tab w:val="left" w:pos="2694"/>
        </w:tabs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证券代码：6</w:t>
      </w:r>
      <w:r>
        <w:rPr>
          <w:rFonts w:ascii="宋体" w:hAnsi="宋体" w:eastAsia="宋体"/>
          <w:sz w:val="24"/>
          <w:szCs w:val="24"/>
        </w:rPr>
        <w:t>03236</w:t>
      </w: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t xml:space="preserve">                                  </w:t>
      </w:r>
      <w:r>
        <w:rPr>
          <w:rFonts w:hint="eastAsia" w:ascii="宋体" w:hAnsi="宋体" w:eastAsia="宋体"/>
          <w:sz w:val="24"/>
          <w:szCs w:val="24"/>
        </w:rPr>
        <w:t>证券简称：移远通信</w:t>
      </w:r>
    </w:p>
    <w:p w14:paraId="5EA7BE57">
      <w:pPr>
        <w:spacing w:before="156" w:beforeLines="50" w:after="156" w:afterLines="50" w:line="400" w:lineRule="exact"/>
        <w:jc w:val="center"/>
        <w:rPr>
          <w:rFonts w:hint="eastAsia" w:ascii="宋体" w:hAnsi="宋体" w:eastAsia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 w:eastAsia="宋体"/>
          <w:b/>
          <w:iCs/>
          <w:color w:val="000000"/>
          <w:sz w:val="32"/>
          <w:szCs w:val="32"/>
        </w:rPr>
        <w:t>上海移远通信技术股份有限公司</w:t>
      </w:r>
    </w:p>
    <w:p w14:paraId="4ACDBC89">
      <w:pPr>
        <w:spacing w:before="156" w:beforeLines="50" w:after="156" w:afterLines="50" w:line="400" w:lineRule="exact"/>
        <w:jc w:val="center"/>
        <w:rPr>
          <w:rFonts w:hint="eastAsia" w:ascii="宋体" w:hAnsi="宋体" w:eastAsia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 w:eastAsia="宋体"/>
          <w:b/>
          <w:iCs/>
          <w:color w:val="000000"/>
          <w:sz w:val="32"/>
          <w:szCs w:val="32"/>
        </w:rPr>
        <w:t>投资者关系活动记录表</w:t>
      </w:r>
    </w:p>
    <w:tbl>
      <w:tblPr>
        <w:tblStyle w:val="8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3402"/>
        <w:gridCol w:w="3481"/>
      </w:tblGrid>
      <w:tr w14:paraId="27A4D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13" w:type="dxa"/>
            <w:vAlign w:val="center"/>
          </w:tcPr>
          <w:p w14:paraId="09BE0CA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6883" w:type="dxa"/>
            <w:gridSpan w:val="2"/>
            <w:vAlign w:val="center"/>
          </w:tcPr>
          <w:p w14:paraId="37013380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2026/9/1、2026/9/2、2026/9/4、2026/9/7、2026/9/8、2026/9/9、2026/9/14、2026/9/15、2026/9/16、2026/9/17、2026/9/18、2026/9/21、2026/9/22、2026/9/23、2026/9/24、2026/9/30</w:t>
            </w:r>
          </w:p>
        </w:tc>
      </w:tr>
      <w:tr w14:paraId="08FB0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13" w:type="dxa"/>
            <w:vAlign w:val="center"/>
          </w:tcPr>
          <w:p w14:paraId="581E2E0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6883" w:type="dxa"/>
            <w:gridSpan w:val="2"/>
            <w:vAlign w:val="center"/>
          </w:tcPr>
          <w:p w14:paraId="0133558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上海、深圳、北京、新加坡</w:t>
            </w:r>
          </w:p>
        </w:tc>
      </w:tr>
      <w:tr w14:paraId="3574E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79BD0CE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Cs/>
                <w:color w:val="000000"/>
                <w:sz w:val="24"/>
                <w:szCs w:val="24"/>
              </w:rPr>
              <w:t>调研形式</w:t>
            </w:r>
          </w:p>
        </w:tc>
        <w:tc>
          <w:tcPr>
            <w:tcW w:w="3402" w:type="dxa"/>
            <w:tcBorders>
              <w:bottom w:val="single" w:color="auto" w:sz="4" w:space="0"/>
            </w:tcBorders>
            <w:vAlign w:val="center"/>
          </w:tcPr>
          <w:p w14:paraId="5719D61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■特定对象调研</w:t>
            </w:r>
          </w:p>
          <w:p w14:paraId="5C9928C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■分析师会议</w:t>
            </w:r>
          </w:p>
          <w:p w14:paraId="25BA221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□电话会议</w:t>
            </w:r>
          </w:p>
          <w:p w14:paraId="5B0F826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■网络会议</w:t>
            </w:r>
          </w:p>
          <w:p w14:paraId="5D40938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□媒体采访</w:t>
            </w:r>
          </w:p>
        </w:tc>
        <w:tc>
          <w:tcPr>
            <w:tcW w:w="3481" w:type="dxa"/>
            <w:tcBorders>
              <w:bottom w:val="single" w:color="auto" w:sz="4" w:space="0"/>
            </w:tcBorders>
            <w:vAlign w:val="center"/>
          </w:tcPr>
          <w:p w14:paraId="56175B7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□新闻发布会</w:t>
            </w:r>
          </w:p>
          <w:p w14:paraId="59A974E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■路演活动</w:t>
            </w:r>
          </w:p>
          <w:p w14:paraId="514BFEB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■现场参观</w:t>
            </w:r>
          </w:p>
          <w:p w14:paraId="16C68A4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□业绩说明会</w:t>
            </w:r>
          </w:p>
          <w:p w14:paraId="6ED4A71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□其他</w:t>
            </w:r>
          </w:p>
        </w:tc>
      </w:tr>
      <w:tr w14:paraId="4C0CC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right w:val="single" w:color="auto" w:sz="4" w:space="0"/>
            </w:tcBorders>
            <w:vAlign w:val="center"/>
          </w:tcPr>
          <w:p w14:paraId="01BFBB2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Cs/>
                <w:color w:val="000000"/>
                <w:sz w:val="24"/>
                <w:szCs w:val="24"/>
              </w:rPr>
              <w:t>来访机构名称</w:t>
            </w:r>
          </w:p>
        </w:tc>
        <w:tc>
          <w:tcPr>
            <w:tcW w:w="6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D844E">
            <w:pPr>
              <w:rPr>
                <w:rFonts w:hint="eastAsia" w:ascii="宋体" w:hAnsi="宋体" w:eastAsia="宋体" w:cs="宋体"/>
                <w:sz w:val="24"/>
                <w:szCs w:val="24"/>
                <w:highlight w:val="yellow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博时基金，信达澳亚基金，南方基金，万家基金，国联安基金，太平基金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，</w:t>
            </w:r>
            <w:r>
              <w:rPr>
                <w:rFonts w:ascii="宋体" w:hAnsi="宋体" w:eastAsia="宋体"/>
                <w:sz w:val="24"/>
                <w:szCs w:val="24"/>
              </w:rPr>
              <w:t>安联基金，富安达基金，银河基金，民生加银基金，申万菱信基金，富国基金，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财通基金，</w:t>
            </w:r>
            <w:r>
              <w:rPr>
                <w:rFonts w:ascii="宋体" w:hAnsi="宋体" w:eastAsia="宋体"/>
                <w:sz w:val="24"/>
                <w:szCs w:val="24"/>
              </w:rPr>
              <w:t>兴业证券，厦门泰牛私募，申万宏源证券，光大证券，国联民生证券，国信证券，华宝证券，华泰保险，中信建投证券，国海证券，永赢基金，华安基金，鹏华基金，乾惕投资，财通证券，淡水泉私募，光大永明人寿保险，真科基金，银华基金，中信资管，趣时资产，禾永投资，国寿安保基金，泓德基金，幸福人寿，融通基金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，</w:t>
            </w:r>
            <w:r>
              <w:rPr>
                <w:rFonts w:ascii="宋体" w:hAnsi="宋体" w:eastAsia="宋体"/>
                <w:sz w:val="24"/>
                <w:szCs w:val="24"/>
              </w:rPr>
              <w:t>上海银叶投资，爱建证券，西南证券，上海天井投资，人保资产，中财招商投资，上海交通大学投资研究院，珠池资产，凯石基金，正鑫基金，长江证券，禹田资本，水璞私募，锦桐私募，合远私募，混沌投资，上银基金，东吴基金，光证资管，华福证券，卓惟资产，厦门中略投资，国泰海通资管，域秀资本，大家资产，广州胜拓私募，拾贝投资，泓澄投资，中欧瑞博投资，淳厚基金，源峰基金，胜道资产，蜂巢基金，运舟资本，宁波宝隽资管，财通资管，太平资产，海富通基金，兴全基金，中信保诚基金，国盛证券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国金证券，</w:t>
            </w:r>
            <w:r>
              <w:rPr>
                <w:rFonts w:ascii="宋体" w:hAnsi="宋体" w:eastAsia="宋体"/>
                <w:sz w:val="24"/>
                <w:szCs w:val="24"/>
              </w:rPr>
              <w:t>中信证券，大成基金，前海开源基金，永安保险，鹏扬基金，长拾资本，鑫泉资本，神华投资，金鹰基金，汐泰投资，汇丰晋信基金，汇添富基金，摩根基金，华商基金，华宝基金，国泰海通证券，北恒基金，建信基金，测度投资，WCM Investment Management，Avanda Investment Management，钛信资本，ACG Management Pte. Ltd.，CCX Trustlink，Point72 Asia (Singapore) Pte. Ltd.，Verition Fund Management LLC</w:t>
            </w:r>
          </w:p>
        </w:tc>
      </w:tr>
      <w:tr w14:paraId="5BD3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025962D7">
            <w:pPr>
              <w:rPr>
                <w:rFonts w:hint="eastAsia" w:ascii="宋体" w:hAnsi="宋体" w:eastAsia="宋体" w:cs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Cs/>
                <w:color w:val="000000"/>
                <w:sz w:val="24"/>
                <w:szCs w:val="24"/>
              </w:rPr>
              <w:t>公司接待人员</w:t>
            </w:r>
          </w:p>
        </w:tc>
        <w:tc>
          <w:tcPr>
            <w:tcW w:w="6883" w:type="dxa"/>
            <w:gridSpan w:val="2"/>
            <w:tcBorders>
              <w:top w:val="single" w:color="auto" w:sz="4" w:space="0"/>
            </w:tcBorders>
            <w:vAlign w:val="center"/>
          </w:tcPr>
          <w:p w14:paraId="4B9978E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副总经理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杨华伟</w:t>
            </w:r>
          </w:p>
          <w:p w14:paraId="39788C0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董事会秘书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王凡</w:t>
            </w:r>
          </w:p>
          <w:p w14:paraId="74ECAB8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投资者关系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王硕</w:t>
            </w:r>
          </w:p>
        </w:tc>
      </w:tr>
      <w:tr w14:paraId="104E2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413" w:type="dxa"/>
            <w:vAlign w:val="center"/>
          </w:tcPr>
          <w:p w14:paraId="4D44D75E">
            <w:pPr>
              <w:rPr>
                <w:rFonts w:hint="eastAsia" w:ascii="宋体" w:hAnsi="宋体" w:eastAsia="宋体"/>
                <w:b/>
                <w:bCs/>
                <w:iCs/>
                <w:color w:val="000000"/>
                <w:sz w:val="24"/>
                <w:szCs w:val="24"/>
              </w:rPr>
            </w:pPr>
          </w:p>
          <w:p w14:paraId="6C15E74E">
            <w:pPr>
              <w:rPr>
                <w:rFonts w:hint="eastAsia" w:ascii="宋体" w:hAnsi="宋体" w:eastAsia="宋体"/>
                <w:b/>
                <w:bCs/>
                <w:iCs/>
                <w:color w:val="000000"/>
                <w:sz w:val="24"/>
                <w:szCs w:val="24"/>
              </w:rPr>
            </w:pPr>
          </w:p>
          <w:p w14:paraId="377E7C24">
            <w:pPr>
              <w:rPr>
                <w:rFonts w:hint="eastAsia" w:ascii="宋体" w:hAnsi="宋体" w:eastAsia="宋体"/>
                <w:b/>
                <w:bCs/>
                <w:iCs/>
                <w:color w:val="000000"/>
                <w:sz w:val="24"/>
                <w:szCs w:val="24"/>
              </w:rPr>
            </w:pPr>
          </w:p>
          <w:p w14:paraId="514BCB68">
            <w:pPr>
              <w:rPr>
                <w:rFonts w:hint="eastAsia" w:ascii="宋体" w:hAnsi="宋体" w:eastAsia="宋体"/>
                <w:b/>
                <w:bCs/>
                <w:iCs/>
                <w:color w:val="000000"/>
                <w:sz w:val="24"/>
                <w:szCs w:val="24"/>
              </w:rPr>
            </w:pPr>
          </w:p>
          <w:p w14:paraId="66D2669F">
            <w:pPr>
              <w:rPr>
                <w:rFonts w:hint="eastAsia" w:ascii="宋体" w:hAnsi="宋体" w:eastAsia="宋体"/>
                <w:b/>
                <w:bCs/>
                <w:iCs/>
                <w:color w:val="000000"/>
                <w:sz w:val="24"/>
                <w:szCs w:val="24"/>
              </w:rPr>
            </w:pPr>
          </w:p>
          <w:p w14:paraId="7B505C20">
            <w:pPr>
              <w:rPr>
                <w:rFonts w:hint="eastAsia" w:ascii="宋体" w:hAnsi="宋体" w:eastAsia="宋体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B27FA28">
            <w:pPr>
              <w:rPr>
                <w:rFonts w:hint="eastAsia" w:ascii="宋体" w:hAnsi="宋体" w:eastAsia="宋体"/>
                <w:b/>
                <w:bCs/>
                <w:iCs/>
                <w:color w:val="000000"/>
                <w:sz w:val="24"/>
                <w:szCs w:val="24"/>
              </w:rPr>
            </w:pPr>
          </w:p>
          <w:p w14:paraId="52F07989">
            <w:pPr>
              <w:rPr>
                <w:rFonts w:hint="eastAsia" w:ascii="宋体" w:hAnsi="宋体" w:eastAsia="宋体"/>
                <w:b/>
                <w:bCs/>
                <w:iCs/>
                <w:color w:val="000000"/>
                <w:sz w:val="24"/>
                <w:szCs w:val="24"/>
              </w:rPr>
            </w:pPr>
          </w:p>
          <w:p w14:paraId="59E2A551">
            <w:pPr>
              <w:rPr>
                <w:rFonts w:hint="eastAsia" w:ascii="宋体" w:hAnsi="宋体" w:eastAsia="宋体"/>
                <w:b/>
                <w:bCs/>
                <w:iCs/>
                <w:color w:val="000000"/>
                <w:sz w:val="24"/>
                <w:szCs w:val="24"/>
              </w:rPr>
            </w:pPr>
          </w:p>
          <w:p w14:paraId="3792210F">
            <w:pPr>
              <w:rPr>
                <w:rFonts w:hint="eastAsia" w:ascii="宋体" w:hAnsi="宋体" w:eastAsia="宋体" w:cs="宋体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iCs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6883" w:type="dxa"/>
            <w:gridSpan w:val="2"/>
            <w:vAlign w:val="center"/>
          </w:tcPr>
          <w:p w14:paraId="0820A6E8">
            <w:pPr>
              <w:widowControl/>
              <w:ind w:left="479" w:leftChars="228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Q1：公司能够多年保持稳健增长的商业逻辑是什么？</w:t>
            </w:r>
          </w:p>
          <w:p w14:paraId="257571D6">
            <w:pPr>
              <w:widowControl/>
              <w:ind w:firstLine="480" w:firstLineChars="200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A：公司坚持全球视野，为全球物联网客户提供综合解决方案，构建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"1+N"业务矩阵支撑业务稳健发展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。</w:t>
            </w:r>
          </w:p>
          <w:p w14:paraId="3A8D56B0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一方面，公司大力拓展车载及端侧AI解决方案业务，该业务已成为公司第二增长曲线，上半年实现了较快增长。在端侧AI方面公司构建了算力模组+大模型+AI自研算法+AI物联平台+Agentic IoT全链条AI业务矩阵，打造了“硬件底座+算法生态+主动智能”三层技术底座。公司针对端侧大模型进行了方案升级，并自研构建了一站式AI算法“超级市场”，提供人脸识别、人体识别、图像算法、OCR光学字符识别、音频算法、多模态等丰富算法资源。此外，公司自研UniClaw嵌入式AI智能体框架，实现“感知-决策-行动-协作-进化”的端云协同闭环。车载方面，公司持续丰富车载业务产品矩阵，拓展车载网联、智能座舱、脚踢雷达、毫米波雷达、智驾SiP、智能钥匙等多品类产品，通过丰富产品结构，提供车载综合解决方案带动单车价值量（ASP）提升；物联网行业垂直解决方案聚焦行业场景，以“宝维塔®、沃地泰®、艾络迅®”等子品牌为载体，将边缘计算、AI算法与平台能力深度嵌入垂直场景，实现技术能力的系统叠加。</w:t>
            </w:r>
          </w:p>
          <w:p w14:paraId="5B4A7706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另一方面公司坚持全球化发展战略，全球研发+全球生产+全球销售，全球化运营体系构筑较高海内外市场准入门槛，并展现规模效应优势，依托业务持续放量，实现研发成果跨品类复用，摊薄研发边际成本。</w:t>
            </w:r>
          </w:p>
          <w:p w14:paraId="208EBB76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综上，公司已经从“卖部件”走向“卖方案、卖服务”，从万物互联提供通信模组，到万物智联（AI+）提供通信+算力+算法+解决方案，实现了从产品延伸、技术叠加到商业闭环的战略进阶。同时公司依托在物联网行业的多年技术沉淀和规模优势，公司各业务板块可实现资源共享、优势互补，最大化利用集团现有资源，快速推进新业务发展，降低业务运营成本。</w:t>
            </w:r>
          </w:p>
          <w:p w14:paraId="34A8E47E">
            <w:pPr>
              <w:widowControl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  <w:p w14:paraId="1F5CBC75">
            <w:pPr>
              <w:widowControl/>
              <w:ind w:firstLine="482" w:firstLineChars="20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Q2：公司在端侧AI方向具体做了哪些业务布局？</w:t>
            </w:r>
          </w:p>
          <w:p w14:paraId="6F6105B1">
            <w:pPr>
              <w:ind w:firstLine="480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A：公司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作为全球领先的物联网整体解决方案供应商，已完成端侧AI的全维度布局，构建起涵盖智能硬件、模型适配、多模态算法、物联网平台的完整技术体系，以软硬一体的本地化智能底座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，开启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AIoT增长新曲线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。</w:t>
            </w:r>
          </w:p>
          <w:p w14:paraId="3968C76D">
            <w:pPr>
              <w:ind w:firstLine="480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算力硬件是端侧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AI规模化落地的核心底座。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针对多层次、差异化的算力需求，公司打造了覆盖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ascii="Cambria Math" w:hAnsi="Cambria Math" w:eastAsia="宋体" w:cs="Cambria Math"/>
                <w:kern w:val="0"/>
                <w:sz w:val="24"/>
                <w:szCs w:val="24"/>
                <w:lang w:bidi="ar"/>
              </w:rPr>
              <w:t>‑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2000TOPS算力的产品矩阵，产品形态涵盖模组、AI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BOX、SBC单板电脑、Quectel Pi生态开发板等，覆盖主流芯片平台，精准匹配不同行业、不同场景的需求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。</w:t>
            </w:r>
          </w:p>
          <w:p w14:paraId="06D7BC87">
            <w:pPr>
              <w:ind w:firstLine="480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硬件之上，公司持续打磨软件与算法能力，打通大模型、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AI算法、AI物联平台的完整链路。</w:t>
            </w:r>
          </w:p>
          <w:p w14:paraId="76CCB99C">
            <w:pPr>
              <w:ind w:firstLine="480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在端侧大模型领域，公司致力于打通端侧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AI商业化落地的“最后一公里”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，为物理AI提供底座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。围绕多模态感知、架构创新、模型兼容性与推理速度，实现端侧大模型方案的持续迭代；同时凭借扎实的模型工程化能力，完成模型微调、适配、量化和转换，破解算力受限、内存紧张、适配难度高等痛点。</w:t>
            </w:r>
          </w:p>
          <w:p w14:paraId="52BEB199">
            <w:pPr>
              <w:ind w:firstLine="480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AI算法层面，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公司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已完成听觉、视觉等多模态AI算法的自研沉淀，并打造AlgoStore算法超市，客户可直接调用成熟算法，大幅缩短产品从需求到落地的研发周期，让行业AI开发周期长、调试难度大的难题迎刃而解。</w:t>
            </w:r>
          </w:p>
          <w:p w14:paraId="55E74C56">
            <w:pPr>
              <w:ind w:firstLine="480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在此基础上，公司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AI物联平台让终端能够按需与平台联动，实现设备统一管理、模型迭代更新、多设备协同调度，进一步释放端侧硬件的智能上限。</w:t>
            </w:r>
          </w:p>
          <w:p w14:paraId="7465DD34">
            <w:pPr>
              <w:ind w:firstLine="480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“算力硬件+端侧大模型+AI算法+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物联平台”的一体化AIoT解决方案，实现从硬件到AI解决方案的全链路赋能，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得益于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这套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通用化底层技术底座，整套能力可快速适配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具身智能、智慧工业、智慧零售、智能家居、智慧农业、XR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等多元赛道，帮助客户高效实现AI落地，缩短上市周期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。</w:t>
            </w:r>
          </w:p>
          <w:p w14:paraId="56B69C76">
            <w:pPr>
              <w:ind w:firstLine="480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综上，公司为客户提供从底层连接、终端配套到平台应用的全链路A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I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端侧赋能业务，夯实端侧A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I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解决方案的第二增长曲线。</w:t>
            </w:r>
          </w:p>
          <w:p w14:paraId="58482B5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71F88B3">
            <w:pPr>
              <w:ind w:firstLine="48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Q3：行业竞争格局与公司核心壁垒是什么？</w:t>
            </w:r>
          </w:p>
          <w:p w14:paraId="73A818EF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A：公司业务矩阵丰富，模组端如数传模组、G</w:t>
            </w:r>
            <w:r>
              <w:rPr>
                <w:rFonts w:ascii="宋体" w:hAnsi="宋体" w:eastAsia="宋体" w:cs="宋体"/>
                <w:sz w:val="24"/>
                <w:szCs w:val="24"/>
              </w:rPr>
              <w:t>NSS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模组、短距离模组、算力模组、车载模组、卫星通信模组等；解决方案如车载解决方案、端侧A</w:t>
            </w:r>
            <w:r>
              <w:rPr>
                <w:rFonts w:ascii="宋体" w:hAnsi="宋体" w:eastAsia="宋体" w:cs="宋体"/>
                <w:sz w:val="24"/>
                <w:szCs w:val="24"/>
              </w:rPr>
              <w:t>I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解决方案、物联网垂直解决方案等。公司还有自研A</w:t>
            </w:r>
            <w:r>
              <w:rPr>
                <w:rFonts w:ascii="宋体" w:hAnsi="宋体" w:eastAsia="宋体" w:cs="宋体"/>
                <w:sz w:val="24"/>
                <w:szCs w:val="24"/>
              </w:rPr>
              <w:t>I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算法，自研A</w:t>
            </w:r>
            <w:r>
              <w:rPr>
                <w:rFonts w:ascii="宋体" w:hAnsi="宋体" w:eastAsia="宋体" w:cs="宋体"/>
                <w:sz w:val="24"/>
                <w:szCs w:val="24"/>
              </w:rPr>
              <w:t>I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物联平台。不同的业务条线竞争格局均有差异。</w:t>
            </w:r>
          </w:p>
          <w:p w14:paraId="2702A764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公司核心竞争力和壁垒体现在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一是一站式物联网整体解决方案能力，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公司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具备经大量项目验证的软硬一体化工程落地能力，并拥有庞大全球客户池，新产品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推广依托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存量客户资源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可快速推广上市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公司整体解决方案能力使得客户不论需要什么类型，均可在移远产品服务体系中找到最优方案匹配路径，极大程度减少了客户对接多家供应商的运营成本，帮助客户降低开发复杂度、缩短产品上市周期；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二是全球化运营体系，依托全球研发、制造、服务网络及完备的认证资质，构筑较高海内外市场准入门槛；三是规模效应优势，依托业务持续放量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实现研发成果跨品类复用，摊薄研发边际成本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，且供应链规模化采购具备成本优势；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四是端侧AI全链路技术能力，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公司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构建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完整端侧AI技术底座，依托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大量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客户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群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拓展端侧AI增值服务，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整套通用化底层技术底座能力，可快速适配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多元赛道，帮助客户高效实现AI落地，缩短上市周期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培育第二增长曲线，支撑业务稳健增长。</w:t>
            </w:r>
          </w:p>
          <w:p w14:paraId="0BA94A79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B52E7CB">
            <w:pPr>
              <w:ind w:firstLine="48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Q4：车载业务客户、产品矩阵、单车ASP？</w:t>
            </w:r>
          </w:p>
          <w:p w14:paraId="78CA5A05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A：车载是体量较大的细分赛道，保持稳健较快增长。公司合作约60+整车厂,100+Tier1厂商，不存在单一客户重大依赖。交付模式灵活，既可以向Tier1供货，也可以直接对接整车厂。</w:t>
            </w:r>
          </w:p>
          <w:p w14:paraId="64F33D2B">
            <w:pPr>
              <w:widowControl/>
              <w:ind w:firstLine="480" w:firstLineChars="20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面对行业环境，公司持续丰富车载业务产品矩阵，拓展车载网联、智能座舱、脚踢雷达、毫米波雷达、智驾SiP、智能钥匙等多品类产品，通过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丰富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产品结构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，提供车载综合解决方案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带动单车价值量（ASP）提升，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提升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</w:rPr>
              <w:t>盈利水平。</w:t>
            </w:r>
            <w:r>
              <w:br w:type="textWrapping"/>
            </w:r>
          </w:p>
          <w:p w14:paraId="31A88B67">
            <w:pPr>
              <w:ind w:firstLine="48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Q5：机器人、XR等新兴领域的业务现状？</w:t>
            </w:r>
          </w:p>
          <w:p w14:paraId="4F19E564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A：</w:t>
            </w:r>
            <w:r>
              <w:rPr>
                <w:rFonts w:ascii="宋体" w:hAnsi="宋体" w:eastAsia="宋体" w:cs="宋体"/>
                <w:sz w:val="24"/>
                <w:szCs w:val="24"/>
              </w:rPr>
              <w:t>公司在机器人赛道以"端云协同AI Agent+AI算法+AI模组"为核心能力，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逐步构建起覆盖开发工具、整机平台到场景落地的完整业务链条，深度适配运动控制、智能交互及多场景应用等核心需求，已在商业服务、物品配送、</w:t>
            </w:r>
            <w:r>
              <w:rPr>
                <w:rFonts w:ascii="宋体" w:hAnsi="宋体" w:eastAsia="宋体" w:cs="宋体"/>
                <w:sz w:val="24"/>
                <w:szCs w:val="24"/>
              </w:rPr>
              <w:t>AI智能客服、具身智能、医疗康养、智能家居、庭院智能等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多个应用场景落地。</w:t>
            </w:r>
          </w:p>
          <w:p w14:paraId="3D1BCAF1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司推出Q-Robotbox多模态智能机器人一体化开发平台。该平台内置边缘算力，融合视觉、语音与运动控制能力，赋予机器人“能看、能听、能交流、能移动”的综合能力，有效解决了行业普遍面临的软硬件集成复杂、算法迁移难度大等痛点。实现从硬件到智能决策的端到端一体化，为客户提供从核心控制器到整机方案的全栈支持。</w:t>
            </w:r>
          </w:p>
          <w:p w14:paraId="6B2D4321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公司2026年7月9日正式发布全链路自研的AI+AR眼镜Hawk系列，以及配套算力单元Dolphin系列。其中，</w:t>
            </w:r>
            <w:r>
              <w:rPr>
                <w:rFonts w:ascii="宋体" w:hAnsi="宋体" w:eastAsia="宋体" w:cs="宋体"/>
                <w:sz w:val="24"/>
                <w:szCs w:val="24"/>
              </w:rPr>
              <w:t>AI+AR眼镜Hawk系列包含光波导和BirdBath眼镜，可应用于不同垂直领域场景。光波导眼镜参考设计采用一体轻量化设计，客户可根据场景和成本需求，灵活选择。这款光波导眼镜创新支持三档电致变色，镜片可根据环境光线自动调节透光度，有效解决AR眼镜室内外切换时显示效果差异明显的痛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sz w:val="24"/>
                <w:szCs w:val="24"/>
              </w:rPr>
              <w:t>功能上支持AI语音助手、实时语言翻译、拍照录像及AI音频等能力，覆盖消费级市场与文旅展览、工业质检、远程协作、医疗等垂直行业。自研分体式全彩BirdBath AR眼镜参考设计则强调沉浸式视觉体验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  <w:p w14:paraId="74936254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XR的底层逻辑是连接、算力与AI的深度融合，公司</w:t>
            </w:r>
            <w:r>
              <w:rPr>
                <w:rFonts w:ascii="宋体" w:hAnsi="宋体" w:eastAsia="宋体" w:cs="宋体"/>
                <w:sz w:val="24"/>
                <w:szCs w:val="24"/>
              </w:rPr>
              <w:t>提出了"0-1、1-N、1+N"三维能力框架—聚焦XR软硬件参考设计与定义，解决规模化阶段的精密制造与交付速度，以及提供全产业链生态整合服务。</w:t>
            </w:r>
          </w:p>
          <w:p w14:paraId="740C4490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6168B14">
            <w:pPr>
              <w:ind w:firstLine="48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Q6：存储涨价对公司的影响？顺价机制？</w:t>
            </w:r>
          </w:p>
          <w:p w14:paraId="39198E3F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A：存储价格阶段性出现较大幅度上涨。2</w:t>
            </w:r>
            <w:r>
              <w:rPr>
                <w:rFonts w:ascii="宋体" w:hAnsi="宋体" w:eastAsia="宋体" w:cs="宋体"/>
                <w:sz w:val="24"/>
                <w:szCs w:val="24"/>
              </w:rPr>
              <w:t>025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年四季度至2</w:t>
            </w:r>
            <w:r>
              <w:rPr>
                <w:rFonts w:ascii="宋体" w:hAnsi="宋体" w:eastAsia="宋体" w:cs="宋体"/>
                <w:sz w:val="24"/>
                <w:szCs w:val="24"/>
              </w:rPr>
              <w:t>026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一季度，受市场影响，部分成本压力未能及时向下游传导，阶段性对利润形成冲击。公司持续推进顺价机制，结合市场供需、客户结构与订单节奏分批推进价格传导，消化成本上涨压力；优化采购成本管控与产品定价机制，尽可能对冲原材料价格波动风险。</w:t>
            </w:r>
          </w:p>
          <w:p w14:paraId="4E516F5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8F568CA">
            <w:pPr>
              <w:ind w:firstLine="48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Q7：利润率提升驱动因素？</w:t>
            </w:r>
          </w:p>
          <w:p w14:paraId="376A3DE6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A：</w:t>
            </w:r>
            <w:r>
              <w:rPr>
                <w:rFonts w:ascii="宋体" w:hAnsi="宋体" w:eastAsia="宋体" w:cs="宋体"/>
                <w:sz w:val="24"/>
                <w:szCs w:val="24"/>
              </w:rPr>
              <w:t>公司利润率提升主要来自两方面：一是产品结构转换升级，高毛利的AI端侧类业务收入占比提升，前期在端侧AI等新业务领域的研发投入逐步兑现，技术成果转化为产品竞争力与收入增量；二是业务规模扩大带来的各项费用率摊薄，规模效应持续释放。</w:t>
            </w:r>
          </w:p>
          <w:p w14:paraId="614471AD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8B1CE04">
            <w:pPr>
              <w:ind w:firstLine="48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Q8：如何看待行业需求？下游哪些A</w:t>
            </w:r>
            <w:r>
              <w:rPr>
                <w:rFonts w:ascii="宋体" w:hAnsi="宋体" w:eastAsia="宋体" w:cs="宋体"/>
                <w:b/>
                <w:sz w:val="24"/>
                <w:szCs w:val="24"/>
              </w:rPr>
              <w:t>I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应用领域可能优先爆发？</w:t>
            </w:r>
          </w:p>
          <w:p w14:paraId="3A9A0186">
            <w:pPr>
              <w:ind w:firstLine="480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A：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伴随各行各业数字化、智能化转型持续推进，工业、能源、智能家居、车载、户外出行、智慧农业等领域的物联网应用场景不断拓展，持续释放新增需求，行业成长底盘坚实，万物智联赛道具备万亿级广阔市场空间。</w:t>
            </w:r>
          </w:p>
          <w:p w14:paraId="04C8D67A">
            <w:pPr>
              <w:ind w:firstLine="480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基于广阔的行业发展前景，公司依托自身完备的技术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沉淀，打造技术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壁垒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，并通过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全球化布局及客户资源优势，持续拓宽产品品类、优化产品结构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，加快新产品上市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。通过持续丰富高附加值产品矩阵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以及整体化的解决方案能力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带动整体ASP提升。</w:t>
            </w:r>
          </w:p>
          <w:p w14:paraId="06FFF3E0">
            <w:pPr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公司各类</w:t>
            </w:r>
            <w:r>
              <w:rPr>
                <w:rFonts w:ascii="宋体" w:hAnsi="宋体" w:eastAsia="宋体" w:cs="宋体"/>
                <w:sz w:val="24"/>
                <w:szCs w:val="24"/>
              </w:rPr>
              <w:t>AI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解决方案</w:t>
            </w:r>
            <w:r>
              <w:rPr>
                <w:rFonts w:ascii="宋体" w:hAnsi="宋体" w:eastAsia="宋体" w:cs="宋体"/>
                <w:sz w:val="24"/>
                <w:szCs w:val="24"/>
              </w:rPr>
              <w:t>已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落地机器人、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智慧零售、车载智能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座舱、智能家居、智能陪伴、X</w:t>
            </w:r>
            <w:r>
              <w:rPr>
                <w:rFonts w:ascii="宋体" w:hAnsi="宋体" w:eastAsia="宋体" w:cs="宋体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、智慧</w:t>
            </w:r>
            <w:r>
              <w:rPr>
                <w:rFonts w:ascii="宋体" w:hAnsi="宋体" w:eastAsia="宋体" w:cs="宋体"/>
                <w:sz w:val="24"/>
                <w:szCs w:val="24"/>
              </w:rPr>
              <w:t>工业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、智慧农业</w:t>
            </w:r>
            <w:r>
              <w:rPr>
                <w:rFonts w:ascii="宋体" w:hAnsi="宋体" w:eastAsia="宋体" w:cs="宋体"/>
                <w:sz w:val="24"/>
                <w:szCs w:val="24"/>
              </w:rPr>
              <w:t>等领域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，目前看尚未出现单一爆品场景，但是公司在端侧A</w:t>
            </w:r>
            <w:r>
              <w:rPr>
                <w:rFonts w:ascii="宋体" w:hAnsi="宋体" w:eastAsia="宋体" w:cs="宋体"/>
                <w:sz w:val="24"/>
                <w:szCs w:val="24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构建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了整套通用化底层技术底座能力，可快速适配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多元赛道，支撑业务稳健增长。</w:t>
            </w:r>
          </w:p>
        </w:tc>
      </w:tr>
    </w:tbl>
    <w:p w14:paraId="6E1EEEE1">
      <w:pPr>
        <w:rPr>
          <w:rFonts w:hint="eastAsia"/>
        </w:rPr>
      </w:pPr>
    </w:p>
    <w:p w14:paraId="23C3582E">
      <w:pPr>
        <w:rPr>
          <w:rFonts w:hint="eastAsia"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AF6"/>
    <w:rsid w:val="00031D7B"/>
    <w:rsid w:val="0009687F"/>
    <w:rsid w:val="000C591A"/>
    <w:rsid w:val="00106767"/>
    <w:rsid w:val="001305E5"/>
    <w:rsid w:val="00152907"/>
    <w:rsid w:val="001833EA"/>
    <w:rsid w:val="002835EA"/>
    <w:rsid w:val="00292788"/>
    <w:rsid w:val="002D420C"/>
    <w:rsid w:val="00345024"/>
    <w:rsid w:val="004F4732"/>
    <w:rsid w:val="00582AC0"/>
    <w:rsid w:val="00627E82"/>
    <w:rsid w:val="006E44FE"/>
    <w:rsid w:val="007439BC"/>
    <w:rsid w:val="007474FB"/>
    <w:rsid w:val="00757B7A"/>
    <w:rsid w:val="008469A2"/>
    <w:rsid w:val="008E6F9F"/>
    <w:rsid w:val="008F5EC4"/>
    <w:rsid w:val="00955228"/>
    <w:rsid w:val="00AB1122"/>
    <w:rsid w:val="00B44D71"/>
    <w:rsid w:val="00BA589F"/>
    <w:rsid w:val="00BD14E2"/>
    <w:rsid w:val="00C16E71"/>
    <w:rsid w:val="00C23361"/>
    <w:rsid w:val="00C56C06"/>
    <w:rsid w:val="00CB7987"/>
    <w:rsid w:val="00CD2904"/>
    <w:rsid w:val="00DB6CFF"/>
    <w:rsid w:val="00E120A0"/>
    <w:rsid w:val="00E15470"/>
    <w:rsid w:val="00E764BB"/>
    <w:rsid w:val="00F00816"/>
    <w:rsid w:val="00FC3AF6"/>
    <w:rsid w:val="01B14592"/>
    <w:rsid w:val="08FD10BF"/>
    <w:rsid w:val="0AC20DA0"/>
    <w:rsid w:val="0ED10695"/>
    <w:rsid w:val="0F822EA4"/>
    <w:rsid w:val="149122CD"/>
    <w:rsid w:val="19DD2B4C"/>
    <w:rsid w:val="1FB61BB7"/>
    <w:rsid w:val="22A44330"/>
    <w:rsid w:val="22AB5A93"/>
    <w:rsid w:val="22F021C4"/>
    <w:rsid w:val="230E1A60"/>
    <w:rsid w:val="275D2FB6"/>
    <w:rsid w:val="27FB3B9B"/>
    <w:rsid w:val="299F0E14"/>
    <w:rsid w:val="2BA12DEE"/>
    <w:rsid w:val="3B7E382D"/>
    <w:rsid w:val="3B891CF9"/>
    <w:rsid w:val="3CB100D8"/>
    <w:rsid w:val="3D3D7A1C"/>
    <w:rsid w:val="3FAF3C43"/>
    <w:rsid w:val="452C78A0"/>
    <w:rsid w:val="49BB1D13"/>
    <w:rsid w:val="4C586509"/>
    <w:rsid w:val="52F46F3B"/>
    <w:rsid w:val="5C1C325B"/>
    <w:rsid w:val="5F5C2317"/>
    <w:rsid w:val="627C31DC"/>
    <w:rsid w:val="7301585A"/>
    <w:rsid w:val="77FB7D29"/>
    <w:rsid w:val="78BB348F"/>
    <w:rsid w:val="7B4619E2"/>
    <w:rsid w:val="7CF0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unhideWhenUsed/>
    <w:qFormat/>
    <w:uiPriority w:val="99"/>
    <w:pPr>
      <w:jc w:val="left"/>
    </w:pPr>
  </w:style>
  <w:style w:type="paragraph" w:styleId="3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Emphasis"/>
    <w:basedOn w:val="9"/>
    <w:qFormat/>
    <w:uiPriority w:val="20"/>
    <w:rPr>
      <w:i/>
      <w:iCs/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7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8">
    <w:name w:val="批注文字 字符"/>
    <w:basedOn w:val="9"/>
    <w:link w:val="2"/>
    <w:qFormat/>
    <w:uiPriority w:val="99"/>
  </w:style>
  <w:style w:type="character" w:customStyle="1" w:styleId="19">
    <w:name w:val="批注主题 字符"/>
    <w:basedOn w:val="18"/>
    <w:link w:val="6"/>
    <w:semiHidden/>
    <w:qFormat/>
    <w:uiPriority w:val="99"/>
    <w:rPr>
      <w:b/>
      <w:bCs/>
    </w:rPr>
  </w:style>
  <w:style w:type="character" w:customStyle="1" w:styleId="20">
    <w:name w:val="wx_search_keyword_wrap"/>
    <w:basedOn w:val="9"/>
    <w:qFormat/>
    <w:uiPriority w:val="0"/>
  </w:style>
  <w:style w:type="paragraph" w:customStyle="1" w:styleId="21">
    <w:name w:val="回复"/>
    <w:basedOn w:val="1"/>
    <w:link w:val="22"/>
    <w:qFormat/>
    <w:uiPriority w:val="0"/>
    <w:pPr>
      <w:spacing w:before="156" w:beforeLines="50" w:line="360" w:lineRule="auto"/>
      <w:ind w:left="420"/>
    </w:pPr>
    <w:rPr>
      <w:rFonts w:ascii="宋体" w:hAnsi="宋体" w:eastAsia="宋体"/>
      <w:szCs w:val="21"/>
    </w:rPr>
  </w:style>
  <w:style w:type="character" w:customStyle="1" w:styleId="22">
    <w:name w:val="回复 字符"/>
    <w:basedOn w:val="9"/>
    <w:link w:val="21"/>
    <w:qFormat/>
    <w:uiPriority w:val="0"/>
    <w:rPr>
      <w:rFonts w:ascii="宋体" w:hAnsi="宋体" w:eastAsia="宋体"/>
      <w:szCs w:val="21"/>
    </w:rPr>
  </w:style>
  <w:style w:type="paragraph" w:customStyle="1" w:styleId="23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4190</Words>
  <Characters>4651</Characters>
  <Lines>34</Lines>
  <Paragraphs>9</Paragraphs>
  <TotalTime>46</TotalTime>
  <ScaleCrop>false</ScaleCrop>
  <LinksUpToDate>false</LinksUpToDate>
  <CharactersWithSpaces>4714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2026-09-30T05:16:00Z</dcterms:created>
  <dc:creator>Fiona Wang(王凡)</dc:creator>
  <cp:lastModifiedBy>hwc</cp:lastModifiedBy>
  <cp:lastPrinted>2025-11-28T08:11:00Z</cp:lastPrinted>
  <dcterms:modified xsi:type="dcterms:W3CDTF">2026-09-30T06:31:44Z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d7e177a869d2f1f32d11cd489c3410bea371fc9d10fc0e0549d9d67c63fcd7d2</vt:lpwstr>
  </property>
  <property fmtid="{D5CDD505-2E9C-101B-9397-08002B2CF9AE}" pid="3" name="OfficeCLI.Version">
    <vt:lpwstr>1.0.145</vt:lpwstr>
  </property>
  <property fmtid="{D5CDD505-2E9C-101B-9397-08002B2CF9AE}" pid="4" name="OfficeCLI.LastModified">
    <vt:lpwstr>2026-08-27T10:51:30Z</vt:lpwstr>
  </property>
  <property fmtid="{D5CDD505-2E9C-101B-9397-08002B2CF9AE}" pid="5" name="KSOProductBuildVer">
    <vt:lpwstr>2052-12.1.0.28505</vt:lpwstr>
  </property>
  <property fmtid="{D5CDD505-2E9C-101B-9397-08002B2CF9AE}" pid="6" name="ICV">
    <vt:lpwstr>D635D2A79D1E0C45242A916A7C989F58_43</vt:lpwstr>
  </property>
  <property fmtid="{D5CDD505-2E9C-101B-9397-08002B2CF9AE}" pid="7" name="KSOTemplateDocerSaveRecord">
    <vt:lpwstr>eyJoZGlkIjoiZTAyODM4NjM4YWE5ODI3ZTFkMmI2MTgyNmZjMjMzMTkiLCJ1c2VySWQiOiI2ODE3MDgwNzkifQ==</vt:lpwstr>
  </property>
</Properties>
</file>