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184D0">
      <w:pPr>
        <w:pStyle w:val="2"/>
        <w:tabs>
          <w:tab w:val="left" w:pos="7353"/>
        </w:tabs>
        <w:spacing w:before="0" w:line="418" w:lineRule="exact"/>
        <w:ind w:left="0" w:right="204"/>
        <w:jc w:val="center"/>
        <w:rPr>
          <w:rFonts w:ascii="Calibri" w:eastAsia="Calibri"/>
        </w:rPr>
      </w:pPr>
      <w:r>
        <w:t>证券简称：今世</w:t>
      </w:r>
      <w:r>
        <w:rPr>
          <w:spacing w:val="-10"/>
        </w:rPr>
        <w:t>缘</w:t>
      </w:r>
      <w:r>
        <w:tab/>
      </w:r>
      <w:r>
        <w:t>证券代码</w:t>
      </w:r>
      <w:r>
        <w:rPr>
          <w:spacing w:val="-2"/>
        </w:rPr>
        <w:t>：</w:t>
      </w:r>
      <w:r>
        <w:rPr>
          <w:rFonts w:ascii="Calibri" w:eastAsia="Calibri"/>
          <w:spacing w:val="-2"/>
        </w:rPr>
        <w:t>603369</w:t>
      </w:r>
    </w:p>
    <w:p w14:paraId="53E42723">
      <w:pPr>
        <w:pStyle w:val="9"/>
        <w:spacing w:line="328" w:lineRule="auto"/>
      </w:pPr>
      <w:r>
        <w:rPr>
          <w:spacing w:val="-2"/>
        </w:rPr>
        <w:t>江苏今世缘酒业股份有限公司投资者来访接待记录表</w:t>
      </w:r>
    </w:p>
    <w:tbl>
      <w:tblPr>
        <w:tblStyle w:val="16"/>
        <w:tblW w:w="0" w:type="auto"/>
        <w:tblInd w:w="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2"/>
        <w:gridCol w:w="3417"/>
        <w:gridCol w:w="1140"/>
        <w:gridCol w:w="3395"/>
      </w:tblGrid>
      <w:tr w14:paraId="0FF72D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15" w:hRule="atLeast"/>
        </w:trPr>
        <w:tc>
          <w:tcPr>
            <w:tcW w:w="1392" w:type="dxa"/>
          </w:tcPr>
          <w:p w14:paraId="2642BA6D">
            <w:pPr>
              <w:pStyle w:val="18"/>
              <w:spacing w:before="215" w:line="240" w:lineRule="auto"/>
              <w:ind w:left="0"/>
              <w:rPr>
                <w:rFonts w:ascii="Microsoft JhengHei"/>
                <w:b/>
                <w:sz w:val="28"/>
              </w:rPr>
            </w:pPr>
          </w:p>
          <w:p w14:paraId="685216CB">
            <w:pPr>
              <w:pStyle w:val="18"/>
              <w:spacing w:before="0" w:line="240" w:lineRule="auto"/>
              <w:ind w:left="10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来访单位</w:t>
            </w:r>
          </w:p>
        </w:tc>
        <w:tc>
          <w:tcPr>
            <w:tcW w:w="7952" w:type="dxa"/>
            <w:gridSpan w:val="3"/>
          </w:tcPr>
          <w:p w14:paraId="13147759">
            <w:pPr>
              <w:pStyle w:val="18"/>
              <w:spacing w:line="360" w:lineRule="atLeast"/>
              <w:ind w:right="273"/>
              <w:jc w:val="both"/>
              <w:rPr>
                <w:sz w:val="28"/>
              </w:rPr>
            </w:pPr>
            <w:r>
              <w:rPr>
                <w:rFonts w:hint="eastAsia"/>
                <w:sz w:val="28"/>
              </w:rPr>
              <w:t>中国人寿养老、农银汇理、兴证全球、南方基金、天弘基金、招银理财、华宝基金、富国基金、长江养老、中欧基金、中邮保险资管、中银基金、交银施罗德、平安理财、银华基金、鹏华基金、华泰柏瑞、安信基金、摩根士丹利、银河基金、鹏扬基金、上海景林资产、上海高毅资产、国泰海通证券、长江证券、中金公司、广发证券、中信证券、中信建投证券、东方证券、东方财富证券等</w:t>
            </w:r>
            <w:r>
              <w:rPr>
                <w:sz w:val="28"/>
              </w:rPr>
              <w:t>109</w:t>
            </w:r>
            <w:r>
              <w:rPr>
                <w:rFonts w:hint="eastAsia"/>
                <w:sz w:val="28"/>
              </w:rPr>
              <w:t>家机构</w:t>
            </w:r>
          </w:p>
        </w:tc>
      </w:tr>
      <w:tr w14:paraId="565FA5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6" w:hRule="atLeast"/>
        </w:trPr>
        <w:tc>
          <w:tcPr>
            <w:tcW w:w="1392" w:type="dxa"/>
          </w:tcPr>
          <w:p w14:paraId="46211C53">
            <w:pPr>
              <w:pStyle w:val="18"/>
              <w:spacing w:before="0" w:line="360" w:lineRule="atLeast"/>
              <w:ind w:left="555" w:right="125" w:hanging="420"/>
              <w:rPr>
                <w:sz w:val="28"/>
              </w:rPr>
            </w:pPr>
            <w:r>
              <w:rPr>
                <w:spacing w:val="-4"/>
                <w:sz w:val="28"/>
              </w:rPr>
              <w:t>投资者类</w:t>
            </w:r>
            <w:r>
              <w:rPr>
                <w:spacing w:val="-10"/>
                <w:sz w:val="28"/>
              </w:rPr>
              <w:t>型</w:t>
            </w:r>
          </w:p>
        </w:tc>
        <w:tc>
          <w:tcPr>
            <w:tcW w:w="7952" w:type="dxa"/>
            <w:gridSpan w:val="3"/>
          </w:tcPr>
          <w:p w14:paraId="19E3ED91">
            <w:pPr>
              <w:pStyle w:val="18"/>
              <w:tabs>
                <w:tab w:val="left" w:pos="3049"/>
                <w:tab w:val="left" w:pos="5150"/>
              </w:tabs>
              <w:spacing w:before="0" w:line="397" w:lineRule="exact"/>
              <w:ind w:left="668"/>
              <w:rPr>
                <w:sz w:val="28"/>
              </w:rPr>
            </w:pPr>
            <w:r>
              <w:rPr>
                <w:rFonts w:ascii="Microsoft JhengHei" w:hAnsi="Microsoft JhengHei" w:eastAsia="Microsoft JhengHei"/>
                <w:b/>
                <w:w w:val="110"/>
                <w:sz w:val="28"/>
              </w:rPr>
              <w:t>√</w:t>
            </w:r>
            <w:r>
              <w:rPr>
                <w:w w:val="105"/>
                <w:sz w:val="28"/>
              </w:rPr>
              <w:t>机构投资</w:t>
            </w:r>
            <w:r>
              <w:rPr>
                <w:spacing w:val="-10"/>
                <w:w w:val="105"/>
                <w:sz w:val="28"/>
              </w:rPr>
              <w:t>者</w:t>
            </w:r>
            <w:r>
              <w:rPr>
                <w:sz w:val="28"/>
              </w:rPr>
              <w:tab/>
            </w:r>
            <w:r>
              <w:rPr>
                <w:rFonts w:ascii="Microsoft JhengHei" w:hAnsi="Microsoft JhengHei" w:eastAsia="Microsoft JhengHei"/>
                <w:b/>
                <w:w w:val="120"/>
                <w:sz w:val="28"/>
              </w:rPr>
              <w:t>√</w:t>
            </w:r>
            <w:r>
              <w:rPr>
                <w:w w:val="105"/>
                <w:sz w:val="28"/>
              </w:rPr>
              <w:t>证券公</w:t>
            </w:r>
            <w:r>
              <w:rPr>
                <w:spacing w:val="-10"/>
                <w:w w:val="105"/>
                <w:sz w:val="28"/>
              </w:rPr>
              <w:t>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□媒</w:t>
            </w:r>
            <w:r>
              <w:rPr>
                <w:spacing w:val="-10"/>
                <w:sz w:val="28"/>
              </w:rPr>
              <w:t>体</w:t>
            </w:r>
          </w:p>
          <w:p w14:paraId="4BBDE360">
            <w:pPr>
              <w:pStyle w:val="18"/>
              <w:tabs>
                <w:tab w:val="left" w:pos="3047"/>
              </w:tabs>
              <w:spacing w:before="0" w:line="309" w:lineRule="exact"/>
              <w:ind w:left="668"/>
              <w:rPr>
                <w:sz w:val="28"/>
              </w:rPr>
            </w:pPr>
            <w:r>
              <w:rPr>
                <w:sz w:val="28"/>
              </w:rPr>
              <w:t>□个人投资</w:t>
            </w:r>
            <w:r>
              <w:rPr>
                <w:spacing w:val="-10"/>
                <w:sz w:val="28"/>
              </w:rPr>
              <w:t>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□其</w:t>
            </w:r>
            <w:r>
              <w:rPr>
                <w:spacing w:val="-10"/>
                <w:sz w:val="28"/>
              </w:rPr>
              <w:t>他</w:t>
            </w:r>
          </w:p>
        </w:tc>
      </w:tr>
      <w:tr w14:paraId="5F5A0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3" w:hRule="atLeast"/>
        </w:trPr>
        <w:tc>
          <w:tcPr>
            <w:tcW w:w="1392" w:type="dxa"/>
          </w:tcPr>
          <w:p w14:paraId="79628D98">
            <w:pPr>
              <w:pStyle w:val="18"/>
              <w:ind w:left="10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会议形式</w:t>
            </w:r>
          </w:p>
        </w:tc>
        <w:tc>
          <w:tcPr>
            <w:tcW w:w="7952" w:type="dxa"/>
            <w:gridSpan w:val="3"/>
          </w:tcPr>
          <w:p w14:paraId="21B7CA59">
            <w:pPr>
              <w:pStyle w:val="18"/>
              <w:ind w:left="9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现场接待</w:t>
            </w:r>
          </w:p>
        </w:tc>
      </w:tr>
      <w:tr w14:paraId="0D38D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3" w:hRule="atLeast"/>
        </w:trPr>
        <w:tc>
          <w:tcPr>
            <w:tcW w:w="1392" w:type="dxa"/>
          </w:tcPr>
          <w:p w14:paraId="283F5FA7">
            <w:pPr>
              <w:pStyle w:val="18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时间</w:t>
            </w:r>
          </w:p>
        </w:tc>
        <w:tc>
          <w:tcPr>
            <w:tcW w:w="3417" w:type="dxa"/>
          </w:tcPr>
          <w:p w14:paraId="3CAB09CA">
            <w:pPr>
              <w:pStyle w:val="18"/>
              <w:ind w:left="965"/>
              <w:rPr>
                <w:sz w:val="28"/>
              </w:rPr>
            </w:pPr>
            <w:r>
              <w:rPr>
                <w:rFonts w:ascii="Calibri" w:eastAsia="Calibri"/>
                <w:sz w:val="28"/>
              </w:rPr>
              <w:t>2026</w:t>
            </w:r>
            <w:r>
              <w:rPr>
                <w:spacing w:val="-35"/>
                <w:sz w:val="28"/>
              </w:rPr>
              <w:t>年</w:t>
            </w:r>
            <w:r>
              <w:rPr>
                <w:rFonts w:ascii="Calibri"/>
                <w:sz w:val="28"/>
              </w:rPr>
              <w:t>9</w:t>
            </w:r>
            <w:r>
              <w:rPr>
                <w:spacing w:val="-10"/>
                <w:sz w:val="28"/>
              </w:rPr>
              <w:t>月</w:t>
            </w:r>
          </w:p>
        </w:tc>
        <w:tc>
          <w:tcPr>
            <w:tcW w:w="1140" w:type="dxa"/>
          </w:tcPr>
          <w:p w14:paraId="51323E8E">
            <w:pPr>
              <w:pStyle w:val="18"/>
              <w:ind w:left="289"/>
              <w:rPr>
                <w:sz w:val="28"/>
              </w:rPr>
            </w:pPr>
            <w:r>
              <w:rPr>
                <w:spacing w:val="-5"/>
                <w:sz w:val="28"/>
              </w:rPr>
              <w:t>地点</w:t>
            </w:r>
          </w:p>
        </w:tc>
        <w:tc>
          <w:tcPr>
            <w:tcW w:w="3395" w:type="dxa"/>
          </w:tcPr>
          <w:p w14:paraId="77000395">
            <w:pPr>
              <w:pStyle w:val="18"/>
              <w:ind w:left="128"/>
              <w:rPr>
                <w:sz w:val="28"/>
              </w:rPr>
            </w:pPr>
            <w:r>
              <w:rPr>
                <w:rFonts w:hint="eastAsia"/>
                <w:spacing w:val="-2"/>
                <w:sz w:val="28"/>
              </w:rPr>
              <w:t>上海、公司会议室</w:t>
            </w:r>
          </w:p>
        </w:tc>
      </w:tr>
      <w:tr w14:paraId="439713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2" w:hRule="atLeast"/>
        </w:trPr>
        <w:tc>
          <w:tcPr>
            <w:tcW w:w="1392" w:type="dxa"/>
          </w:tcPr>
          <w:p w14:paraId="1E6AE63B">
            <w:pPr>
              <w:pStyle w:val="18"/>
              <w:spacing w:before="367" w:line="242" w:lineRule="auto"/>
              <w:ind w:left="136" w:right="125"/>
              <w:rPr>
                <w:sz w:val="28"/>
              </w:rPr>
            </w:pPr>
            <w:r>
              <w:rPr>
                <w:spacing w:val="-4"/>
                <w:sz w:val="28"/>
              </w:rPr>
              <w:t>上市公司</w:t>
            </w:r>
            <w:r>
              <w:rPr>
                <w:spacing w:val="-3"/>
                <w:sz w:val="28"/>
              </w:rPr>
              <w:t>出席人员</w:t>
            </w:r>
          </w:p>
        </w:tc>
        <w:tc>
          <w:tcPr>
            <w:tcW w:w="7952" w:type="dxa"/>
            <w:gridSpan w:val="3"/>
            <w:vAlign w:val="center"/>
          </w:tcPr>
          <w:p w14:paraId="45C70CF7">
            <w:pPr>
              <w:pStyle w:val="18"/>
              <w:spacing w:line="242" w:lineRule="auto"/>
              <w:ind w:left="13"/>
              <w:rPr>
                <w:spacing w:val="-2"/>
                <w:sz w:val="28"/>
              </w:rPr>
            </w:pPr>
            <w:r>
              <w:rPr>
                <w:rFonts w:hint="eastAsia"/>
                <w:spacing w:val="-2"/>
                <w:sz w:val="28"/>
              </w:rPr>
              <w:t>董事长、总经理 顾祥悦</w:t>
            </w:r>
          </w:p>
          <w:p w14:paraId="47263D0A">
            <w:pPr>
              <w:pStyle w:val="18"/>
              <w:spacing w:line="242" w:lineRule="auto"/>
              <w:ind w:left="13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董事、副总经理、总会计师、董事会秘书</w:t>
            </w:r>
            <w:r>
              <w:rPr>
                <w:rFonts w:hint="eastAsia"/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王卫东</w:t>
            </w:r>
          </w:p>
          <w:p w14:paraId="3918C470">
            <w:pPr>
              <w:pStyle w:val="18"/>
              <w:spacing w:line="242" w:lineRule="auto"/>
              <w:ind w:left="13"/>
              <w:rPr>
                <w:spacing w:val="-2"/>
                <w:sz w:val="28"/>
              </w:rPr>
            </w:pPr>
            <w:r>
              <w:rPr>
                <w:rFonts w:hint="eastAsia"/>
                <w:spacing w:val="-2"/>
                <w:sz w:val="28"/>
              </w:rPr>
              <w:t>副总经理 胡跃吾</w:t>
            </w:r>
          </w:p>
          <w:p w14:paraId="405FF20A">
            <w:pPr>
              <w:pStyle w:val="18"/>
              <w:spacing w:line="242" w:lineRule="auto"/>
              <w:ind w:left="13" w:right="140"/>
              <w:rPr>
                <w:spacing w:val="-2"/>
                <w:sz w:val="28"/>
              </w:rPr>
            </w:pPr>
            <w:r>
              <w:rPr>
                <w:rFonts w:hint="eastAsia"/>
                <w:spacing w:val="-2"/>
                <w:sz w:val="28"/>
              </w:rPr>
              <w:t>副总监、证券事务代表 夏东保</w:t>
            </w:r>
          </w:p>
          <w:p w14:paraId="57676938">
            <w:pPr>
              <w:pStyle w:val="18"/>
              <w:spacing w:line="242" w:lineRule="auto"/>
              <w:ind w:left="13" w:right="140"/>
              <w:rPr>
                <w:spacing w:val="-2"/>
                <w:sz w:val="28"/>
              </w:rPr>
            </w:pPr>
            <w:r>
              <w:rPr>
                <w:rFonts w:hint="eastAsia"/>
                <w:spacing w:val="-2"/>
                <w:sz w:val="28"/>
              </w:rPr>
              <w:t>证券部副经理 徐青</w:t>
            </w:r>
          </w:p>
        </w:tc>
      </w:tr>
      <w:tr w14:paraId="61390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3" w:hRule="atLeast"/>
        </w:trPr>
        <w:tc>
          <w:tcPr>
            <w:tcW w:w="9344" w:type="dxa"/>
            <w:gridSpan w:val="4"/>
          </w:tcPr>
          <w:p w14:paraId="292C73B9">
            <w:pPr>
              <w:ind w:firstLine="482" w:firstLineChars="200"/>
              <w:rPr>
                <w:b/>
                <w:sz w:val="24"/>
                <w:szCs w:val="24"/>
              </w:rPr>
            </w:pPr>
            <w:bookmarkStart w:id="0" w:name="OLE_LINK2"/>
            <w:r>
              <w:rPr>
                <w:rFonts w:hint="eastAsia"/>
                <w:b/>
                <w:sz w:val="24"/>
                <w:szCs w:val="24"/>
              </w:rPr>
              <w:t>问题</w:t>
            </w:r>
            <w:r>
              <w:rPr>
                <w:b/>
                <w:sz w:val="24"/>
                <w:szCs w:val="24"/>
              </w:rPr>
              <w:t>1：2026年上半年公司各产品线的增长情况如何？</w:t>
            </w:r>
          </w:p>
          <w:p w14:paraId="1C70B5C6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回复：公司市场情况符合预期，即一季度在高基数下同比下降，二季度在低基数下实现了较快增长。二季度增长与一季度下降主要反映消费环境的同比变化。自</w:t>
            </w:r>
            <w:r>
              <w:rPr>
                <w:sz w:val="24"/>
                <w:szCs w:val="24"/>
              </w:rPr>
              <w:t>2025年二季度起，整体消费环境发生较大变化，尤其是商务市场降幅较大，市场进入新常态。</w:t>
            </w:r>
            <w:r>
              <w:rPr>
                <w:rFonts w:hint="eastAsia"/>
                <w:sz w:val="24"/>
                <w:szCs w:val="24"/>
              </w:rPr>
              <w:t>今年</w:t>
            </w:r>
            <w:r>
              <w:rPr>
                <w:sz w:val="24"/>
                <w:szCs w:val="24"/>
              </w:rPr>
              <w:t>二季度较</w:t>
            </w:r>
            <w:r>
              <w:rPr>
                <w:rFonts w:hint="eastAsia"/>
                <w:sz w:val="24"/>
                <w:szCs w:val="24"/>
              </w:rPr>
              <w:t>去</w:t>
            </w:r>
            <w:r>
              <w:rPr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同期</w:t>
            </w:r>
            <w:r>
              <w:rPr>
                <w:sz w:val="24"/>
                <w:szCs w:val="24"/>
              </w:rPr>
              <w:t>消费场景有</w:t>
            </w:r>
            <w:r>
              <w:rPr>
                <w:rFonts w:hint="eastAsia"/>
                <w:sz w:val="24"/>
                <w:szCs w:val="24"/>
              </w:rPr>
              <w:t>一定程度</w:t>
            </w:r>
            <w:r>
              <w:rPr>
                <w:sz w:val="24"/>
                <w:szCs w:val="24"/>
              </w:rPr>
              <w:t>恢复，</w:t>
            </w:r>
            <w:r>
              <w:rPr>
                <w:rFonts w:hint="eastAsia"/>
                <w:sz w:val="24"/>
                <w:szCs w:val="24"/>
              </w:rPr>
              <w:t>公司市场份额也在提升</w:t>
            </w:r>
            <w:r>
              <w:rPr>
                <w:sz w:val="24"/>
                <w:szCs w:val="24"/>
              </w:rPr>
              <w:t>。分产品看，国缘淡雅一方面受益于市场扩容，另一方面受益于市场份额提升，因此增速较好；四开、对开等</w:t>
            </w:r>
            <w:r>
              <w:rPr>
                <w:rFonts w:hint="eastAsia"/>
                <w:sz w:val="24"/>
                <w:szCs w:val="24"/>
              </w:rPr>
              <w:t>次</w:t>
            </w:r>
            <w:r>
              <w:rPr>
                <w:sz w:val="24"/>
                <w:szCs w:val="24"/>
              </w:rPr>
              <w:t>高端产品的市场份</w:t>
            </w:r>
            <w:r>
              <w:rPr>
                <w:rFonts w:hint="eastAsia"/>
                <w:sz w:val="24"/>
                <w:szCs w:val="24"/>
              </w:rPr>
              <w:t>额相对稳定，增长主要受益于消费场景恢复；V系进入新常态，恢复缓慢</w:t>
            </w:r>
            <w:r>
              <w:rPr>
                <w:sz w:val="24"/>
                <w:szCs w:val="24"/>
              </w:rPr>
              <w:t>。</w:t>
            </w:r>
          </w:p>
          <w:p w14:paraId="4AA7F7DB">
            <w:pPr>
              <w:ind w:firstLine="480" w:firstLineChars="200"/>
              <w:rPr>
                <w:sz w:val="24"/>
                <w:szCs w:val="24"/>
              </w:rPr>
            </w:pPr>
          </w:p>
          <w:p w14:paraId="67F38AC9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</w:t>
            </w:r>
            <w:r>
              <w:rPr>
                <w:b/>
                <w:sz w:val="24"/>
                <w:szCs w:val="24"/>
              </w:rPr>
              <w:t>2：国缘三开的产品规划？</w:t>
            </w:r>
          </w:p>
          <w:p w14:paraId="5031E374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回复：三开主要定位在四开和对开之间的价格带做产品加密。当前消费者价格敏感度提升，过去消费升级跨度较大，现在有进一步细分的需求。目前三开的包装、酒体、推广方案仍在谋划当中，后续择机导入。</w:t>
            </w:r>
          </w:p>
          <w:p w14:paraId="753AEC84">
            <w:pPr>
              <w:ind w:firstLine="480" w:firstLineChars="200"/>
              <w:rPr>
                <w:sz w:val="24"/>
                <w:szCs w:val="24"/>
              </w:rPr>
            </w:pPr>
          </w:p>
          <w:p w14:paraId="7612BD66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</w:t>
            </w:r>
            <w:r>
              <w:rPr>
                <w:b/>
                <w:sz w:val="24"/>
                <w:szCs w:val="24"/>
              </w:rPr>
              <w:t>3：V系去年受冲击与今年修复表现</w:t>
            </w:r>
            <w:r>
              <w:rPr>
                <w:rFonts w:hint="eastAsia"/>
                <w:b/>
                <w:sz w:val="24"/>
                <w:szCs w:val="24"/>
              </w:rPr>
              <w:t>？</w:t>
            </w:r>
            <w:r>
              <w:rPr>
                <w:b/>
                <w:sz w:val="24"/>
                <w:szCs w:val="24"/>
              </w:rPr>
              <w:t>V3打法策略、V系整体投入规划？</w:t>
            </w:r>
          </w:p>
          <w:p w14:paraId="58B3FC1A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</w:t>
            </w:r>
            <w:r>
              <w:rPr>
                <w:sz w:val="24"/>
                <w:szCs w:val="24"/>
              </w:rPr>
              <w:t>V系去年受消费</w:t>
            </w:r>
            <w:r>
              <w:rPr>
                <w:rFonts w:hint="eastAsia"/>
                <w:sz w:val="24"/>
                <w:szCs w:val="24"/>
              </w:rPr>
              <w:t>场景缺失</w:t>
            </w:r>
            <w:r>
              <w:rPr>
                <w:sz w:val="24"/>
                <w:szCs w:val="24"/>
              </w:rPr>
              <w:t>冲击，整体高端产品恢复节奏偏慢，各价格带分化明显，近两年纯高端赛道品牌集中度持续提升，最高端价位需求向具备刚性社交属性产品集中，修复相对迟缓。</w:t>
            </w:r>
          </w:p>
          <w:p w14:paraId="76D4DAC7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V3打造全场景消费，婚喜宴培育、流通渠道布局、日常商务建设同步推进。该赛道面临酱酒、低度名酒竞争压力，但V3属于公司</w:t>
            </w:r>
            <w:r>
              <w:rPr>
                <w:rFonts w:hint="eastAsia"/>
                <w:sz w:val="24"/>
                <w:szCs w:val="24"/>
              </w:rPr>
              <w:t>增长潜力较大的</w:t>
            </w:r>
            <w:r>
              <w:rPr>
                <w:sz w:val="24"/>
                <w:szCs w:val="24"/>
              </w:rPr>
              <w:t>重要</w:t>
            </w:r>
            <w:r>
              <w:rPr>
                <w:rFonts w:hint="eastAsia"/>
                <w:sz w:val="24"/>
                <w:szCs w:val="24"/>
              </w:rPr>
              <w:t>主导产品</w:t>
            </w:r>
            <w:r>
              <w:rPr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我们坚持长期主义，持续做好</w:t>
            </w:r>
            <w:r>
              <w:rPr>
                <w:sz w:val="24"/>
                <w:szCs w:val="24"/>
              </w:rPr>
              <w:t>V系培育，投入力度</w:t>
            </w:r>
            <w:r>
              <w:rPr>
                <w:rFonts w:hint="eastAsia"/>
                <w:sz w:val="24"/>
                <w:szCs w:val="24"/>
              </w:rPr>
              <w:t>不减</w:t>
            </w:r>
            <w:r>
              <w:rPr>
                <w:sz w:val="24"/>
                <w:szCs w:val="24"/>
              </w:rPr>
              <w:t>，持续观察培育效果。</w:t>
            </w:r>
          </w:p>
          <w:p w14:paraId="7CDB5DBD">
            <w:pPr>
              <w:ind w:firstLine="480" w:firstLineChars="200"/>
              <w:rPr>
                <w:sz w:val="24"/>
                <w:szCs w:val="24"/>
              </w:rPr>
            </w:pPr>
          </w:p>
          <w:p w14:paraId="314B79D3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问题4</w:t>
            </w:r>
            <w:r>
              <w:rPr>
                <w:b/>
                <w:sz w:val="24"/>
                <w:szCs w:val="24"/>
              </w:rPr>
              <w:t>：在国缘新一代高端白酒的品牌定位下，公司的消费场景和客群结构是否已经完成以民间消费为主的切换？</w:t>
            </w:r>
          </w:p>
          <w:p w14:paraId="74BAD90B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回复：消费场景和客群结构的变化既有主动因素，也有被动因素。随着部分客群客观减少，其消费占比自然下降，整体消费结构已发生变化。此前政商务宴请占比较高的企业受影响更大，相关消费规模较</w:t>
            </w:r>
            <w:r>
              <w:rPr>
                <w:sz w:val="24"/>
                <w:szCs w:val="24"/>
              </w:rPr>
              <w:t>2024年下降约20%，不同企业受影响程度有所差异，降幅可能上下浮动5%-10%。2026年以来，各家公司基本进入符合自身情况的新常态，季度营收结构和消费表现趋于稳定。未来分析报表及同比数据时，仍需考虑企业主动消化前期社会库存等因素。</w:t>
            </w:r>
          </w:p>
          <w:p w14:paraId="622BDD77">
            <w:pPr>
              <w:ind w:firstLine="480" w:firstLineChars="200"/>
              <w:rPr>
                <w:sz w:val="24"/>
                <w:szCs w:val="24"/>
              </w:rPr>
            </w:pPr>
          </w:p>
          <w:p w14:paraId="52856C55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问题5</w:t>
            </w:r>
            <w:r>
              <w:rPr>
                <w:b/>
                <w:sz w:val="24"/>
                <w:szCs w:val="24"/>
              </w:rPr>
              <w:t>：</w:t>
            </w:r>
            <w:r>
              <w:rPr>
                <w:rFonts w:hint="eastAsia"/>
                <w:b/>
                <w:sz w:val="24"/>
                <w:szCs w:val="24"/>
              </w:rPr>
              <w:t>省外经销商单体规模偏小的原因，省外整体表现、组织调整、资源及产品策略？</w:t>
            </w:r>
          </w:p>
          <w:p w14:paraId="66004AE4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回复：省外经销商数量较多但单体规模不大，属于品牌出省拓展的普遍现象，当前省外市场拓展基础仍然薄弱，暂未形成大规模收入贡献。</w:t>
            </w:r>
          </w:p>
          <w:p w14:paraId="124663B3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省外近年来营收增长快于省内，占比由不足6%提升到目前的超过1</w:t>
            </w:r>
            <w:r>
              <w:rPr>
                <w:sz w:val="24"/>
                <w:szCs w:val="24"/>
              </w:rPr>
              <w:t>0%。一方面省内大本营竞争激烈仍处在深耕期，资源配置优先保障省内；另一方面早期省外资源投放分散，产生部分沉没成本，目前已经完成复盘调整。我们执行“六个聚焦”策略，省内省外一盘棋，省外优先国缘品牌、优先次高端，以四开作为开系龙头，坚持周边化、板块化、长三角一体化发展。组织架构同步优化，山东设立独立大区，浙江、安徽进行分拆，重点省会、市县单独设立营销中心。资源集中投向重点省份的重点市县，追求“两个高于”，即公司营收增速高于行业、省外</w:t>
            </w:r>
            <w:r>
              <w:rPr>
                <w:rFonts w:hint="eastAsia"/>
                <w:sz w:val="24"/>
                <w:szCs w:val="24"/>
              </w:rPr>
              <w:t>营收</w:t>
            </w:r>
            <w:r>
              <w:rPr>
                <w:sz w:val="24"/>
                <w:szCs w:val="24"/>
              </w:rPr>
              <w:t>增速高于省内；产品上依靠开系冲规模，V系布局中高端市场</w:t>
            </w:r>
            <w:r>
              <w:rPr>
                <w:rFonts w:hint="eastAsia"/>
                <w:sz w:val="24"/>
                <w:szCs w:val="24"/>
              </w:rPr>
              <w:t>树形象</w:t>
            </w:r>
            <w:r>
              <w:rPr>
                <w:sz w:val="24"/>
                <w:szCs w:val="24"/>
              </w:rPr>
              <w:t>。</w:t>
            </w:r>
          </w:p>
          <w:p w14:paraId="42E605C9">
            <w:pPr>
              <w:ind w:firstLine="480" w:firstLineChars="200"/>
              <w:rPr>
                <w:sz w:val="24"/>
                <w:szCs w:val="24"/>
              </w:rPr>
            </w:pPr>
          </w:p>
          <w:p w14:paraId="03751DF3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问题6</w:t>
            </w:r>
            <w:r>
              <w:rPr>
                <w:b/>
                <w:sz w:val="24"/>
                <w:szCs w:val="24"/>
              </w:rPr>
              <w:t>：</w:t>
            </w:r>
            <w:r>
              <w:rPr>
                <w:rFonts w:hint="eastAsia"/>
                <w:b/>
                <w:sz w:val="24"/>
                <w:szCs w:val="24"/>
              </w:rPr>
              <w:t>上半年库存变化解读、整体库存量价情况？库存与业绩如何平衡，是否压货了</w:t>
            </w:r>
            <w:r>
              <w:rPr>
                <w:b/>
                <w:sz w:val="24"/>
                <w:szCs w:val="24"/>
              </w:rPr>
              <w:t>？</w:t>
            </w:r>
          </w:p>
          <w:p w14:paraId="4DB82780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</w:t>
            </w:r>
            <w:r>
              <w:rPr>
                <w:sz w:val="24"/>
                <w:szCs w:val="24"/>
              </w:rPr>
              <w:t>2026上半年末公司</w:t>
            </w:r>
            <w:r>
              <w:rPr>
                <w:rFonts w:hint="eastAsia"/>
                <w:sz w:val="24"/>
                <w:szCs w:val="24"/>
              </w:rPr>
              <w:t>渠道</w:t>
            </w:r>
            <w:r>
              <w:rPr>
                <w:sz w:val="24"/>
                <w:szCs w:val="24"/>
              </w:rPr>
              <w:t>库存较年初有所增加，但较一季度末小幅下降，说明二季度增长具备真实动销支撑，库存整体良性。二季度增长来自低基数、消费场景恢复、份额提升多重因素。</w:t>
            </w:r>
          </w:p>
          <w:p w14:paraId="6D0F1EC1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我们不追求渠道大幅去库存或者零库存，合理库存是酒在装瓶后进一步稳定以保障产品品质的客观需要。公司对渠道实施动态监测，核心跟踪动销水平与回款情况；依托五码合一、开瓶、经销商入库等信息化工具</w:t>
            </w:r>
            <w:r>
              <w:rPr>
                <w:rFonts w:hint="eastAsia"/>
                <w:sz w:val="24"/>
                <w:szCs w:val="24"/>
                <w:lang w:eastAsia="zh-CN"/>
              </w:rPr>
              <w:t>，将</w:t>
            </w:r>
            <w:bookmarkStart w:id="1" w:name="_GoBack"/>
            <w:bookmarkEnd w:id="1"/>
            <w:r>
              <w:rPr>
                <w:rFonts w:hint="eastAsia"/>
                <w:sz w:val="24"/>
                <w:szCs w:val="24"/>
              </w:rPr>
              <w:t>库存纳入市场考核。</w:t>
            </w:r>
            <w:r>
              <w:rPr>
                <w:sz w:val="24"/>
                <w:szCs w:val="24"/>
              </w:rPr>
              <w:t>2026</w:t>
            </w:r>
            <w:r>
              <w:rPr>
                <w:rFonts w:hint="eastAsia"/>
                <w:sz w:val="24"/>
                <w:szCs w:val="24"/>
              </w:rPr>
              <w:t>年确保渠道</w:t>
            </w:r>
            <w:r>
              <w:rPr>
                <w:sz w:val="24"/>
                <w:szCs w:val="24"/>
              </w:rPr>
              <w:t>库销比有减</w:t>
            </w:r>
            <w:r>
              <w:rPr>
                <w:rFonts w:hint="eastAsia"/>
                <w:sz w:val="24"/>
                <w:szCs w:val="24"/>
              </w:rPr>
              <w:t>无</w:t>
            </w:r>
            <w:r>
              <w:rPr>
                <w:sz w:val="24"/>
                <w:szCs w:val="24"/>
              </w:rPr>
              <w:t>增，单品、区域之间库存不均衡</w:t>
            </w:r>
            <w:r>
              <w:rPr>
                <w:rFonts w:hint="eastAsia"/>
                <w:sz w:val="24"/>
                <w:szCs w:val="24"/>
              </w:rPr>
              <w:t>的</w:t>
            </w:r>
            <w:r>
              <w:rPr>
                <w:sz w:val="24"/>
                <w:szCs w:val="24"/>
              </w:rPr>
              <w:t>现象</w:t>
            </w:r>
            <w:r>
              <w:rPr>
                <w:rFonts w:hint="eastAsia"/>
                <w:sz w:val="24"/>
                <w:szCs w:val="24"/>
              </w:rPr>
              <w:t>进一步缓解。我们</w:t>
            </w:r>
            <w:r>
              <w:rPr>
                <w:sz w:val="24"/>
                <w:szCs w:val="24"/>
              </w:rPr>
              <w:t>不会为了</w:t>
            </w:r>
            <w:r>
              <w:rPr>
                <w:rFonts w:hint="eastAsia"/>
                <w:sz w:val="24"/>
                <w:szCs w:val="24"/>
              </w:rPr>
              <w:t>短期业绩</w:t>
            </w:r>
            <w:r>
              <w:rPr>
                <w:sz w:val="24"/>
                <w:szCs w:val="24"/>
              </w:rPr>
              <w:t>向渠道过度压货，多数区域维持库存稳定，高</w:t>
            </w:r>
            <w:r>
              <w:rPr>
                <w:rFonts w:hint="eastAsia"/>
                <w:sz w:val="24"/>
                <w:szCs w:val="24"/>
              </w:rPr>
              <w:t>库存</w:t>
            </w:r>
            <w:r>
              <w:rPr>
                <w:sz w:val="24"/>
                <w:szCs w:val="24"/>
              </w:rPr>
              <w:t>区域适度</w:t>
            </w:r>
            <w:r>
              <w:rPr>
                <w:rFonts w:hint="eastAsia"/>
                <w:sz w:val="24"/>
                <w:szCs w:val="24"/>
              </w:rPr>
              <w:t>去化</w:t>
            </w:r>
            <w:r>
              <w:rPr>
                <w:sz w:val="24"/>
                <w:szCs w:val="24"/>
              </w:rPr>
              <w:t>，优化</w:t>
            </w:r>
            <w:r>
              <w:rPr>
                <w:rFonts w:hint="eastAsia"/>
                <w:sz w:val="24"/>
                <w:szCs w:val="24"/>
              </w:rPr>
              <w:t>渠道</w:t>
            </w:r>
            <w:r>
              <w:rPr>
                <w:sz w:val="24"/>
                <w:szCs w:val="24"/>
              </w:rPr>
              <w:t>库存结构。</w:t>
            </w:r>
          </w:p>
          <w:p w14:paraId="0EB6B431">
            <w:pPr>
              <w:ind w:firstLine="480" w:firstLineChars="200"/>
              <w:rPr>
                <w:sz w:val="24"/>
                <w:szCs w:val="24"/>
              </w:rPr>
            </w:pPr>
          </w:p>
          <w:p w14:paraId="7CED53E4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问题7</w:t>
            </w:r>
            <w:r>
              <w:rPr>
                <w:b/>
                <w:sz w:val="24"/>
                <w:szCs w:val="24"/>
              </w:rPr>
              <w:t>：当前回款节奏是否正常推进？经销商盈利怎么样？</w:t>
            </w:r>
          </w:p>
          <w:p w14:paraId="48A4F371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回复：当前回款压力不大，同比明显增加。</w:t>
            </w:r>
            <w:r>
              <w:rPr>
                <w:sz w:val="24"/>
                <w:szCs w:val="24"/>
              </w:rPr>
              <w:t>2026年上半年末预收款同比大幅增长，</w:t>
            </w:r>
            <w:r>
              <w:rPr>
                <w:rFonts w:hint="eastAsia"/>
                <w:sz w:val="24"/>
                <w:szCs w:val="24"/>
              </w:rPr>
              <w:t>环比</w:t>
            </w:r>
            <w:r>
              <w:rPr>
                <w:sz w:val="24"/>
                <w:szCs w:val="24"/>
              </w:rPr>
              <w:t>有所下降主要受行业季节性规律影响，属于正常</w:t>
            </w:r>
            <w:r>
              <w:rPr>
                <w:rFonts w:hint="eastAsia"/>
                <w:sz w:val="24"/>
                <w:szCs w:val="24"/>
              </w:rPr>
              <w:t>现象</w:t>
            </w:r>
            <w:r>
              <w:rPr>
                <w:sz w:val="24"/>
                <w:szCs w:val="24"/>
              </w:rPr>
              <w:t>。公司业务本身赊销规模较小，货物发出后通常能够正常回款，因此无须过度强调回款考核。公司对赊销管理较为严格，主要目的并非缓解资金压力，而是控制未来的回款风险。</w:t>
            </w:r>
          </w:p>
          <w:p w14:paraId="0691AF3C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当前市场环境下大家盈利都会有点压力，但从经销商调研情况来看，满意度还比较高。我们看到多年持续合作的经销商财富不断积累，公司与经销商保持健康良好的合作关系。</w:t>
            </w:r>
          </w:p>
          <w:p w14:paraId="06684B64">
            <w:pPr>
              <w:ind w:firstLine="480" w:firstLineChars="200"/>
              <w:rPr>
                <w:sz w:val="24"/>
                <w:szCs w:val="24"/>
              </w:rPr>
            </w:pPr>
          </w:p>
          <w:p w14:paraId="68DDA3A3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问题8</w:t>
            </w:r>
            <w:r>
              <w:rPr>
                <w:b/>
                <w:sz w:val="24"/>
                <w:szCs w:val="24"/>
              </w:rPr>
              <w:t>：公司2026年中秋国庆旺季的市场需求表现如何展望？下半年经营表现有什么预期？</w:t>
            </w:r>
          </w:p>
          <w:p w14:paraId="3E3B9547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</w:t>
            </w:r>
            <w:r>
              <w:rPr>
                <w:sz w:val="24"/>
                <w:szCs w:val="24"/>
              </w:rPr>
              <w:t xml:space="preserve"> 2026年中秋、国庆的节日安排将对消费产生一定正向影响，但</w:t>
            </w:r>
            <w:r>
              <w:rPr>
                <w:rFonts w:hint="eastAsia"/>
                <w:sz w:val="24"/>
                <w:szCs w:val="24"/>
              </w:rPr>
              <w:t>需要两节合并来考察</w:t>
            </w:r>
            <w:r>
              <w:rPr>
                <w:sz w:val="24"/>
                <w:szCs w:val="24"/>
              </w:rPr>
              <w:t>。预计2026年</w:t>
            </w:r>
            <w:r>
              <w:rPr>
                <w:rFonts w:hint="eastAsia"/>
                <w:sz w:val="24"/>
                <w:szCs w:val="24"/>
              </w:rPr>
              <w:t>两节动销尤</w:t>
            </w:r>
            <w:r>
              <w:rPr>
                <w:sz w:val="24"/>
                <w:szCs w:val="24"/>
              </w:rPr>
              <w:t>其是实际消费</w:t>
            </w:r>
            <w:r>
              <w:rPr>
                <w:rFonts w:hint="eastAsia"/>
                <w:sz w:val="24"/>
                <w:szCs w:val="24"/>
              </w:rPr>
              <w:t>会</w:t>
            </w:r>
            <w:r>
              <w:rPr>
                <w:sz w:val="24"/>
                <w:szCs w:val="24"/>
              </w:rPr>
              <w:t>好于</w:t>
            </w:r>
            <w:r>
              <w:rPr>
                <w:rFonts w:hint="eastAsia"/>
                <w:sz w:val="24"/>
                <w:szCs w:val="24"/>
              </w:rPr>
              <w:t>去年，不过，节日消费对全年营收的影响有限</w:t>
            </w:r>
            <w:r>
              <w:rPr>
                <w:sz w:val="24"/>
                <w:szCs w:val="24"/>
              </w:rPr>
              <w:t>，主要</w:t>
            </w:r>
            <w:r>
              <w:rPr>
                <w:rFonts w:hint="eastAsia"/>
                <w:sz w:val="24"/>
                <w:szCs w:val="24"/>
              </w:rPr>
              <w:t>还是</w:t>
            </w:r>
            <w:r>
              <w:rPr>
                <w:sz w:val="24"/>
                <w:szCs w:val="24"/>
              </w:rPr>
              <w:t>取决于日常消费。</w:t>
            </w:r>
            <w:r>
              <w:rPr>
                <w:rFonts w:hint="eastAsia"/>
                <w:sz w:val="24"/>
                <w:szCs w:val="24"/>
              </w:rPr>
              <w:t>预计</w:t>
            </w:r>
            <w:r>
              <w:rPr>
                <w:sz w:val="24"/>
                <w:szCs w:val="24"/>
              </w:rPr>
              <w:t>2026年三季度、四季度能够基本延续二季度的经营态势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707460EB">
            <w:pPr>
              <w:ind w:firstLine="480" w:firstLineChars="200"/>
              <w:rPr>
                <w:sz w:val="24"/>
                <w:szCs w:val="24"/>
              </w:rPr>
            </w:pPr>
          </w:p>
          <w:p w14:paraId="3DFF5CDC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问题9</w:t>
            </w:r>
            <w:r>
              <w:rPr>
                <w:b/>
                <w:sz w:val="24"/>
                <w:szCs w:val="24"/>
              </w:rPr>
              <w:t>：未来不同区域市场还有多大空间？公司淡雅系列产品后续的增长空间和增长动能如何？</w:t>
            </w:r>
          </w:p>
          <w:p w14:paraId="26F8E0AC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近几年江苏本土白酒品牌整体市场占有率有所下滑，我们在省内的增长机会，更多来自主导产品的份额提升。江苏省内不同主导产品在不同地区市场发展并不均衡，不均衡的市场格局当中蕴藏发展机遇，即使占有率高的地区仍有进一步提升的空间，薄弱区域则空间更大。淡雅当前的增长势头短期可以延续。从行业经验来看，产品一旦形成市场势能，无论上行还是下行，趋势都会维持一段时间，趋势拐点主要看增速斜率的变化，斜率变动是增速变化的先行指标。目前还没有观察到淡雅增长动力即将快速衰减的迹象。</w:t>
            </w:r>
          </w:p>
          <w:p w14:paraId="64BB4D9F">
            <w:pPr>
              <w:ind w:firstLine="480" w:firstLineChars="200"/>
              <w:rPr>
                <w:sz w:val="24"/>
                <w:szCs w:val="24"/>
              </w:rPr>
            </w:pPr>
          </w:p>
          <w:p w14:paraId="5AE98E9C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</w:t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rFonts w:hint="eastAsia"/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：</w:t>
            </w:r>
            <w:r>
              <w:rPr>
                <w:rFonts w:hint="eastAsia"/>
                <w:b/>
                <w:sz w:val="24"/>
                <w:szCs w:val="24"/>
              </w:rPr>
              <w:t>省内精耕下沉效果，苏南、连云港、淮安、南京市场现状与突破思路</w:t>
            </w:r>
            <w:r>
              <w:rPr>
                <w:b/>
                <w:sz w:val="24"/>
                <w:szCs w:val="24"/>
              </w:rPr>
              <w:t>？</w:t>
            </w:r>
          </w:p>
          <w:p w14:paraId="63B966AB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市场精耕很难实现短时间内的爆发式突破，苏南、连云港这类相对薄弱的区域，改善需要长期沉淀。我们重点关注先行指标，观察增长斜率、月度经营数据是否持续改善，哪怕改善幅度不大，只要趋势向上就是积极信号。当前的整体环境与市场体量决定依靠单一营销事件</w:t>
            </w:r>
            <w:r>
              <w:rPr>
                <w:sz w:val="24"/>
                <w:szCs w:val="24"/>
              </w:rPr>
              <w:t>对整体大盘拉动有限</w:t>
            </w:r>
            <w:r>
              <w:rPr>
                <w:rFonts w:hint="eastAsia"/>
                <w:sz w:val="24"/>
                <w:szCs w:val="24"/>
              </w:rPr>
              <w:t>，公司在寻求体系化扎实推进各项工作，当然多个方面都会有具体项目落地</w:t>
            </w:r>
            <w:r>
              <w:rPr>
                <w:sz w:val="24"/>
                <w:szCs w:val="24"/>
              </w:rPr>
              <w:t>。</w:t>
            </w:r>
          </w:p>
          <w:p w14:paraId="560AA8DD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淮安作为大本营市场，历史基础扎实，目前经营已经调整到位回归常态，当地人口与经济水平支撑稳定的市场容量，坚持稳中有进的工作基调。</w:t>
            </w:r>
          </w:p>
          <w:p w14:paraId="03A08BB4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南京、苏南整体增速偏弱，根源在于消费结构差异：我们的优势赛道集中在100‑500元价格带，南京和苏南地区600元以上价位消费占比可以达到50-60%甚至更高，而该价位正是我们的短板。这些市场没有捷径可走，先要稳固100‑500元的基本盘，再持续向600元以上价位突围，充分尊重当地消费者的消费选择</w:t>
            </w:r>
            <w:r>
              <w:rPr>
                <w:sz w:val="24"/>
                <w:szCs w:val="24"/>
              </w:rPr>
              <w:t>。</w:t>
            </w:r>
          </w:p>
          <w:p w14:paraId="11350C9E">
            <w:pPr>
              <w:ind w:firstLine="480" w:firstLineChars="200"/>
              <w:rPr>
                <w:sz w:val="24"/>
                <w:szCs w:val="24"/>
              </w:rPr>
            </w:pPr>
          </w:p>
          <w:p w14:paraId="5391AE39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</w:t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rFonts w:hint="eastAsia"/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：公司成本</w:t>
            </w:r>
            <w:r>
              <w:rPr>
                <w:rFonts w:hint="eastAsia"/>
                <w:b/>
                <w:sz w:val="24"/>
                <w:szCs w:val="24"/>
              </w:rPr>
              <w:t>、费用</w:t>
            </w:r>
            <w:r>
              <w:rPr>
                <w:b/>
                <w:sz w:val="24"/>
                <w:szCs w:val="24"/>
              </w:rPr>
              <w:t>端优化的具体举措有哪些？降本的可持续性如何？</w:t>
            </w:r>
          </w:p>
          <w:p w14:paraId="234F8817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目前成本降幅并不大，主要来自两方面：一是原有材质不变，通过采购议价降低价格；二是通过材料替换和工艺调整实现节约。费用端同样在加强管控。过去主要考核营收，不考核利润；费用管理更多关注相关活动是否可以开展，重大方案由主要领导把控，但对实际费用执行控制不足，因此各区域即使有费用计划，也容易出现超支。当前费用管控趋严，公司重点压缩无效或低效活动，整体压缩幅度不大，因此市场和消费者感知不明显。由于费用规模相对于利润规模并不低，相关费用节约能够对利润形成较为明显的贡献。</w:t>
            </w:r>
          </w:p>
          <w:p w14:paraId="1E44E5EB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预算管理已实施多年，但此前管理层对预算管控的要求相对宽松；随着考核逐步加强，以及绩效考核中利润指标权重逐步提升，公司上下对利润指标的关注度明显提高。经过2024—2025年的铺垫，成本和费用优化成效在2026年得到较集中体现。</w:t>
            </w:r>
            <w:r>
              <w:rPr>
                <w:rFonts w:hint="eastAsia"/>
                <w:sz w:val="24"/>
                <w:szCs w:val="24"/>
              </w:rPr>
              <w:t>降本增效的效果可以巩固，但难以持续增强。</w:t>
            </w:r>
          </w:p>
          <w:p w14:paraId="063DFC21">
            <w:pPr>
              <w:ind w:firstLine="480" w:firstLineChars="200"/>
              <w:rPr>
                <w:sz w:val="24"/>
                <w:szCs w:val="24"/>
              </w:rPr>
            </w:pPr>
          </w:p>
          <w:p w14:paraId="0C182B1E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</w:t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rFonts w:hint="eastAsia"/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：公司能够进行费用优化是否说明省内白酒市场竞争格局稳定？当前行业竞争态势如何？</w:t>
            </w:r>
          </w:p>
          <w:p w14:paraId="6EB529DC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回复：省内白酒市场竞争格局整体稳定，竞争行为趋向理性。</w:t>
            </w:r>
            <w:r>
              <w:rPr>
                <w:sz w:val="24"/>
                <w:szCs w:val="24"/>
              </w:rPr>
              <w:t>2024</w:t>
            </w:r>
            <w:r>
              <w:rPr>
                <w:rFonts w:hint="eastAsia" w:ascii="MS Gothic" w:hAnsi="MS Gothic" w:eastAsia="MS Gothic" w:cs="MS Gothic"/>
                <w:sz w:val="24"/>
                <w:szCs w:val="24"/>
              </w:rPr>
              <w:t>‑</w:t>
            </w:r>
            <w:r>
              <w:rPr>
                <w:sz w:val="24"/>
                <w:szCs w:val="24"/>
              </w:rPr>
              <w:t>2025年沟通当中我们也提到，酒企管理层整体理性，但基层市场偶尔会出现非理性竞争动作，这类手段经过市场验证不可持续之后就会被放弃。当前各家酒企都利润</w:t>
            </w:r>
            <w:r>
              <w:rPr>
                <w:rFonts w:hint="eastAsia"/>
                <w:sz w:val="24"/>
                <w:szCs w:val="24"/>
              </w:rPr>
              <w:t>承</w:t>
            </w:r>
            <w:r>
              <w:rPr>
                <w:sz w:val="24"/>
                <w:szCs w:val="24"/>
              </w:rPr>
              <w:t>压，不具备长期不计代价投入的条件，依靠连续多年亏损打压对手的竞争模式并不现实。经过多轮市场试探，各家企业对彼此实力认知更加清晰，省内市场形成新的竞争均衡，没有必要开展恶性对抗。市场费用更多投向提升产品性价比、打造产品差异化特色、优化消费者服务，而不是简单打短期价格战。</w:t>
            </w:r>
          </w:p>
          <w:p w14:paraId="23EBFAC1">
            <w:pPr>
              <w:ind w:firstLine="480" w:firstLineChars="200"/>
              <w:rPr>
                <w:sz w:val="24"/>
                <w:szCs w:val="24"/>
              </w:rPr>
            </w:pPr>
          </w:p>
          <w:p w14:paraId="1FB55EAC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</w:t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rFonts w:hint="eastAsia"/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：产品结构回升的趋势，下半年能否看</w:t>
            </w:r>
            <w:r>
              <w:rPr>
                <w:rFonts w:hint="eastAsia"/>
                <w:b/>
                <w:sz w:val="24"/>
                <w:szCs w:val="24"/>
              </w:rPr>
              <w:t>到</w:t>
            </w:r>
            <w:r>
              <w:rPr>
                <w:b/>
                <w:sz w:val="24"/>
                <w:szCs w:val="24"/>
              </w:rPr>
              <w:t>结构向上抬升？</w:t>
            </w:r>
          </w:p>
          <w:p w14:paraId="66A48CE8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回复：今年年初产品结构波动较为明显。一季度特</w:t>
            </w:r>
            <w:r>
              <w:rPr>
                <w:sz w:val="24"/>
                <w:szCs w:val="24"/>
              </w:rPr>
              <w:t>A+产品同比下滑幅度较大，特A系列韧性较强，百元价位的淡雅稳住整体市场份额。进入二季度，特A+重新成为重要增长动力，多数区域终端订单、开瓶消费实现双位数增长；淡雅开瓶量表现突出，省外淡雅</w:t>
            </w:r>
            <w:r>
              <w:rPr>
                <w:rFonts w:hint="eastAsia"/>
                <w:sz w:val="24"/>
                <w:szCs w:val="24"/>
              </w:rPr>
              <w:t>较省内</w:t>
            </w:r>
            <w:r>
              <w:rPr>
                <w:sz w:val="24"/>
                <w:szCs w:val="24"/>
              </w:rPr>
              <w:t>增长</w:t>
            </w:r>
            <w:r>
              <w:rPr>
                <w:rFonts w:hint="eastAsia"/>
                <w:sz w:val="24"/>
                <w:szCs w:val="24"/>
              </w:rPr>
              <w:t>更快</w:t>
            </w:r>
            <w:r>
              <w:rPr>
                <w:sz w:val="24"/>
                <w:szCs w:val="24"/>
              </w:rPr>
              <w:t>，公司正在加快淡雅国缘的市场放量。</w:t>
            </w:r>
          </w:p>
          <w:p w14:paraId="0625DDBA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我们也审慎评估淡雅快速放量可能带来品牌稀释的风险，会把握好发展节奏。现阶段行业百元价位是少数还在放量的赛道，淡雅对公司现阶段发展意义重大。但长期战略依旧坚持品牌高端化，营销资源和组织重心向高端产品倾斜，省外也落地多场雅宴活动，重点塑造国缘四开的品牌形象。</w:t>
            </w:r>
          </w:p>
          <w:p w14:paraId="33C75ADE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月份之后，四开、对开终端表现持续修复，宴席场次实现两位数同比增长，宴席档次保持稳定，只是单桌用酒量有所下降，宴席场次增长代表产品热度提升，属于积极信号。公司省内省外都坚持打造四开核心大单品，V系培育工作也不会放松。整体判断，下半年产品结构会</w:t>
            </w:r>
            <w:r>
              <w:rPr>
                <w:rFonts w:hint="eastAsia"/>
                <w:sz w:val="24"/>
                <w:szCs w:val="24"/>
              </w:rPr>
              <w:t>相对稳定</w:t>
            </w:r>
            <w:r>
              <w:rPr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表观上同比有所改善</w:t>
            </w:r>
            <w:r>
              <w:rPr>
                <w:sz w:val="24"/>
                <w:szCs w:val="24"/>
              </w:rPr>
              <w:t>。</w:t>
            </w:r>
          </w:p>
          <w:p w14:paraId="074F85A0">
            <w:pPr>
              <w:ind w:firstLine="480" w:firstLineChars="200"/>
              <w:rPr>
                <w:sz w:val="24"/>
                <w:szCs w:val="24"/>
              </w:rPr>
            </w:pPr>
          </w:p>
          <w:p w14:paraId="045FE713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</w:t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rFonts w:hint="eastAsia"/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：我们在次高端以上如何在存量市场去要增量？</w:t>
            </w:r>
          </w:p>
          <w:p w14:paraId="09906368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次高端、高端赛道整体承压，其中次高端赛道压力对于区域酒企体感会更强，这和企业所处发展阶段相关。目前布局次高端赛道的有大量区域酒企，市场竞争激烈。长期来看，公司高度重视次高端赛道，未来价格带、消费场景会迎来重构，次高端赛道会诞生全国性大单品，剑南春已经是现成的范例。过去行业有</w:t>
            </w:r>
            <w:r>
              <w:rPr>
                <w:sz w:val="24"/>
                <w:szCs w:val="24"/>
              </w:rPr>
              <w:t>“得次高端者得天下”的说法，放到现在依然具备参考意义。次高端是我们的核心优势赛道，我们将夯实江苏基本盘，向外推进周边化拓展，在存量市场当中抢夺份额，坚定深耕次高端。</w:t>
            </w:r>
          </w:p>
          <w:p w14:paraId="591A89CE">
            <w:pPr>
              <w:ind w:firstLine="480" w:firstLineChars="200"/>
              <w:rPr>
                <w:sz w:val="24"/>
                <w:szCs w:val="24"/>
              </w:rPr>
            </w:pPr>
          </w:p>
          <w:p w14:paraId="3C5274C6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</w:t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rFonts w:hint="eastAsia"/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：动销</w:t>
            </w:r>
            <w:r>
              <w:rPr>
                <w:rFonts w:hint="eastAsia"/>
                <w:b/>
                <w:sz w:val="24"/>
                <w:szCs w:val="24"/>
              </w:rPr>
              <w:t>和</w:t>
            </w:r>
            <w:r>
              <w:rPr>
                <w:b/>
                <w:sz w:val="24"/>
                <w:szCs w:val="24"/>
              </w:rPr>
              <w:t>开瓶的情况</w:t>
            </w:r>
            <w:r>
              <w:rPr>
                <w:rFonts w:hint="eastAsia"/>
                <w:b/>
                <w:sz w:val="24"/>
                <w:szCs w:val="24"/>
              </w:rPr>
              <w:t>如何</w:t>
            </w:r>
            <w:r>
              <w:rPr>
                <w:b/>
                <w:sz w:val="24"/>
                <w:szCs w:val="24"/>
              </w:rPr>
              <w:t>？</w:t>
            </w:r>
          </w:p>
          <w:p w14:paraId="20FB4C7F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二季度终端动销、开瓶情况同比明显好转，我们对三、四季度的市场表现抱有信心。低基数是客观因素，同时公司市场占有率也在持续提升；整体行业以及江苏本地市场总量处在收缩阶段。传统重度白酒消费群体规模下降，科技行业、年轻群体的社交饮酒习惯发生变化，新的消费群体很难完全填补存量缺口，这也是营商环境向前发展的客观体现。公司也在积极培育新兴消费群体。综合判断，省内市场仍处在成长期，只是面临较大压力；省外市场尚处于导入培育阶段。</w:t>
            </w:r>
          </w:p>
          <w:p w14:paraId="3D1D3F94">
            <w:pPr>
              <w:ind w:firstLine="480" w:firstLineChars="200"/>
              <w:rPr>
                <w:sz w:val="24"/>
                <w:szCs w:val="24"/>
              </w:rPr>
            </w:pPr>
          </w:p>
          <w:p w14:paraId="6548D839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</w:t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rFonts w:hint="eastAsia"/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：新经济对白酒的带动情况？</w:t>
            </w:r>
          </w:p>
          <w:p w14:paraId="229B6D00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经济转型期，我们希望动能向新、结构向优。客观说，原来一些白酒重度消费人群和行业受到冲击，新的场景很难完全弥补传统行业用酒下降，而且这种状态可能还会持续比较长时间。但反过来看，这也说明营商环境越来越公平，利好公司走出江苏。</w:t>
            </w:r>
          </w:p>
          <w:p w14:paraId="360D14DA">
            <w:pPr>
              <w:ind w:firstLine="480" w:firstLineChars="200"/>
              <w:rPr>
                <w:sz w:val="24"/>
                <w:szCs w:val="24"/>
              </w:rPr>
            </w:pPr>
          </w:p>
          <w:p w14:paraId="65E3F5B6">
            <w:pPr>
              <w:tabs>
                <w:tab w:val="left" w:pos="443"/>
              </w:tabs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</w:t>
            </w:r>
            <w:r>
              <w:rPr>
                <w:b/>
                <w:sz w:val="24"/>
                <w:szCs w:val="24"/>
              </w:rPr>
              <w:t>1</w:t>
            </w:r>
            <w:r>
              <w:rPr>
                <w:rFonts w:hint="eastAsia"/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：消费税的情况？</w:t>
            </w:r>
          </w:p>
          <w:p w14:paraId="3D9B7EF0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近期消费税报表的申报细节变化以及产品在税局编码规则的变化，是税局强化管理的系列举措，对遵从度本就很高的企业没有实质性影响。至于消费税征收环节后移到消费端的改革还有很长的路要走，短期内实现的可能性不大。</w:t>
            </w:r>
          </w:p>
          <w:p w14:paraId="7EC722FB">
            <w:pPr>
              <w:ind w:firstLine="480" w:firstLineChars="200"/>
              <w:rPr>
                <w:color w:val="EE0000"/>
                <w:sz w:val="24"/>
                <w:szCs w:val="24"/>
              </w:rPr>
            </w:pPr>
          </w:p>
          <w:p w14:paraId="7DD0FE3A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问题1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8</w:t>
            </w:r>
            <w:r>
              <w:rPr>
                <w:b/>
                <w:sz w:val="24"/>
                <w:szCs w:val="24"/>
              </w:rPr>
              <w:t>：</w:t>
            </w:r>
            <w:r>
              <w:rPr>
                <w:rFonts w:hint="eastAsia"/>
                <w:b/>
                <w:sz w:val="24"/>
                <w:szCs w:val="24"/>
              </w:rPr>
              <w:t>安徽、山东等周边省外市场打法，如何检验省外动销有效性</w:t>
            </w:r>
            <w:r>
              <w:rPr>
                <w:b/>
                <w:sz w:val="24"/>
                <w:szCs w:val="24"/>
              </w:rPr>
              <w:t>？</w:t>
            </w:r>
          </w:p>
          <w:p w14:paraId="410C52CC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山东市场今年产品结构和增长速度表现更好，当地区域品牌对比全国名酒存在差距；安徽作为近邻，市场进入壁垒很高，但依旧被我们列为周边化优先拓展省份。我们采用错位竞争、样板市场打造、滚动发展的策略，这套成长路径也可以作为其他省外市场的参考模板。</w:t>
            </w:r>
          </w:p>
          <w:p w14:paraId="024F4BB2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未来行业企业都会向外拓展，省外市场的竞争激烈程度只会进一步加剧。两三年之后行业进入淘汰赛，比拼的是企业战略、组织能力以及战略定力，这是无法回避的现实。公司已经达到百亿体量，进入外部市场采取错位竞争，集中资源在周边开展阵地战再滚动复制，这套模式已经在省内市场得到验证。</w:t>
            </w:r>
          </w:p>
          <w:p w14:paraId="7BFAC815">
            <w:pPr>
              <w:ind w:firstLine="480" w:firstLineChars="200"/>
              <w:rPr>
                <w:sz w:val="24"/>
                <w:szCs w:val="24"/>
              </w:rPr>
            </w:pPr>
          </w:p>
          <w:p w14:paraId="34C2735A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问题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19</w:t>
            </w:r>
            <w:r>
              <w:rPr>
                <w:b/>
                <w:sz w:val="24"/>
                <w:szCs w:val="24"/>
              </w:rPr>
              <w:t>：公司过去两年固定资产大幅增长，是否是因为近两年推进了扩产？行业近三四年处于需求疲软的下行周期，公司选择在这两年大幅扩产的战略考量是什么？</w:t>
            </w:r>
            <w:r>
              <w:rPr>
                <w:rFonts w:hint="eastAsia"/>
                <w:b/>
                <w:sz w:val="24"/>
                <w:szCs w:val="24"/>
              </w:rPr>
              <w:t>固定资产大幅增长带来的折旧会不会对公司产生较大压力，如何消化相关成本？</w:t>
            </w:r>
          </w:p>
          <w:p w14:paraId="1D92B47B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回复</w:t>
            </w:r>
            <w:r>
              <w:rPr>
                <w:rFonts w:hint="eastAsia"/>
                <w:sz w:val="24"/>
                <w:szCs w:val="24"/>
              </w:rPr>
              <w:t>：过去两年固定资产规模增加主要来自产能扩建，大部分资金投向基酒产能以及配套设备，目的是保障未来10年乃至更长时间的基酒供应，夯实产品品质基础。</w:t>
            </w:r>
          </w:p>
          <w:p w14:paraId="27AF9C65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扩产的规划早在行业景气阶段就已经确定并启动建设，并不是行业下行之后才临时做出的决策。此前行业高速增长，若销量快速扩张，对基酒产能也会有更高要求</w:t>
            </w:r>
            <w:r>
              <w:rPr>
                <w:sz w:val="24"/>
                <w:szCs w:val="24"/>
              </w:rPr>
              <w:t>。</w:t>
            </w:r>
          </w:p>
          <w:p w14:paraId="691D6D49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虽然本轮扩产规模较大，短期可能形成部分产能富余，但也带来两点核心价值：第一，企业可以储备更多基酒，拉长基酒储存年份，夯实高端产品的品质底座；第二，为企业长期发展预留产能储备。目前公司销量依旧保持增长，产能富余会随销量提升逐步消化，高端产品对于基酒年份的要求还在不断提高，充足的基酒储备是高端产品发展的核心支撑。</w:t>
            </w:r>
          </w:p>
          <w:p w14:paraId="37C5C667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折旧会带来一定成本压力，化解压力的核心在于销售规模提升，如果产品能够顺畅实现销售，折旧将是正常成本；如果销量不及预期，折旧会在开工不足的情况下增加成本。</w:t>
            </w:r>
          </w:p>
          <w:p w14:paraId="422FA612">
            <w:pPr>
              <w:ind w:firstLine="480" w:firstLineChars="200"/>
              <w:rPr>
                <w:sz w:val="24"/>
                <w:szCs w:val="24"/>
              </w:rPr>
            </w:pPr>
          </w:p>
          <w:p w14:paraId="45E18784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问题2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0</w:t>
            </w:r>
            <w:r>
              <w:rPr>
                <w:b/>
                <w:sz w:val="24"/>
                <w:szCs w:val="24"/>
              </w:rPr>
              <w:t>：公司产品矩阵的运营策略是什么，不同产品的定位有什么区别？</w:t>
            </w:r>
          </w:p>
          <w:p w14:paraId="7377C378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回复：</w:t>
            </w:r>
            <w:r>
              <w:rPr>
                <w:rFonts w:hint="eastAsia"/>
                <w:sz w:val="24"/>
                <w:szCs w:val="24"/>
              </w:rPr>
              <w:t>在公司产品矩阵当中，四开属于核心利润大单品，首要任务是稳住这款产品的基本盘，保障供货稳定与利润水平，用四开创造的利润资源来培育</w:t>
            </w:r>
            <w:r>
              <w:rPr>
                <w:sz w:val="24"/>
                <w:szCs w:val="24"/>
              </w:rPr>
              <w:t>V系列新品。V系现阶段持续投入资源培育，</w:t>
            </w:r>
            <w:r>
              <w:rPr>
                <w:rFonts w:hint="eastAsia"/>
                <w:sz w:val="24"/>
                <w:szCs w:val="24"/>
              </w:rPr>
              <w:t>这种前置性投入会一定程度上侵蚀报表利润</w:t>
            </w:r>
            <w:r>
              <w:rPr>
                <w:sz w:val="24"/>
                <w:szCs w:val="24"/>
              </w:rPr>
              <w:t>；产品</w:t>
            </w:r>
            <w:r>
              <w:rPr>
                <w:rFonts w:hint="eastAsia"/>
                <w:sz w:val="24"/>
                <w:szCs w:val="24"/>
              </w:rPr>
              <w:t>销量超过盈亏平衡点后</w:t>
            </w:r>
            <w:r>
              <w:rPr>
                <w:sz w:val="24"/>
                <w:szCs w:val="24"/>
              </w:rPr>
              <w:t>，V系就</w:t>
            </w:r>
            <w:r>
              <w:rPr>
                <w:rFonts w:hint="eastAsia"/>
                <w:sz w:val="24"/>
                <w:szCs w:val="24"/>
              </w:rPr>
              <w:t>会</w:t>
            </w:r>
            <w:r>
              <w:rPr>
                <w:sz w:val="24"/>
                <w:szCs w:val="24"/>
              </w:rPr>
              <w:t>成为公司新的</w:t>
            </w:r>
            <w:r>
              <w:rPr>
                <w:rFonts w:hint="eastAsia"/>
                <w:sz w:val="24"/>
                <w:szCs w:val="24"/>
              </w:rPr>
              <w:t>利润</w:t>
            </w:r>
            <w:r>
              <w:rPr>
                <w:sz w:val="24"/>
                <w:szCs w:val="24"/>
              </w:rPr>
              <w:t>增长</w:t>
            </w:r>
            <w:r>
              <w:rPr>
                <w:rFonts w:hint="eastAsia"/>
                <w:sz w:val="24"/>
                <w:szCs w:val="24"/>
              </w:rPr>
              <w:t>源</w:t>
            </w:r>
            <w:r>
              <w:rPr>
                <w:sz w:val="24"/>
                <w:szCs w:val="24"/>
              </w:rPr>
              <w:t>。</w:t>
            </w:r>
          </w:p>
          <w:p w14:paraId="715ED938">
            <w:pPr>
              <w:ind w:firstLine="480" w:firstLineChars="200"/>
              <w:rPr>
                <w:sz w:val="24"/>
                <w:szCs w:val="24"/>
              </w:rPr>
            </w:pPr>
          </w:p>
          <w:p w14:paraId="2F650A72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问题2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1</w:t>
            </w:r>
            <w:r>
              <w:rPr>
                <w:b/>
                <w:sz w:val="24"/>
                <w:szCs w:val="24"/>
              </w:rPr>
              <w:t>：白酒行业的存货有什么特点，对酒企经营有什么影响？</w:t>
            </w:r>
          </w:p>
          <w:p w14:paraId="3D40A0C3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回复：</w:t>
            </w:r>
            <w:r>
              <w:rPr>
                <w:rFonts w:hint="eastAsia"/>
                <w:sz w:val="24"/>
                <w:szCs w:val="24"/>
              </w:rPr>
              <w:t>白酒存货主要是原酒和成品酒，优质基酒和以此为原料生产的成品酒具备越陈品质越好的特点，通常不会贬值，这就使得头部企业敢于扩产增加存货库存。当然，企业也必须控制好规模和节奏，防止扩张过</w:t>
            </w:r>
            <w:r>
              <w:rPr>
                <w:rFonts w:hint="eastAsia"/>
                <w:sz w:val="24"/>
                <w:szCs w:val="24"/>
                <w:lang w:eastAsia="zh-CN"/>
              </w:rPr>
              <w:t>快和</w:t>
            </w:r>
            <w:r>
              <w:rPr>
                <w:rFonts w:hint="eastAsia"/>
                <w:sz w:val="24"/>
                <w:szCs w:val="24"/>
              </w:rPr>
              <w:t>管理不善造成品质大幅下降或产能闲置导致成本大幅增加。</w:t>
            </w:r>
          </w:p>
          <w:p w14:paraId="0E48E70F">
            <w:pPr>
              <w:ind w:firstLine="480" w:firstLineChars="200"/>
              <w:rPr>
                <w:sz w:val="24"/>
                <w:szCs w:val="24"/>
              </w:rPr>
            </w:pPr>
          </w:p>
          <w:bookmarkEnd w:id="0"/>
          <w:p w14:paraId="49D0CC6C">
            <w:pPr>
              <w:ind w:firstLine="482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问题</w:t>
            </w:r>
            <w:r>
              <w:rPr>
                <w:b/>
                <w:sz w:val="24"/>
                <w:szCs w:val="24"/>
              </w:rPr>
              <w:t>2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2</w:t>
            </w:r>
            <w:r>
              <w:rPr>
                <w:b/>
                <w:sz w:val="24"/>
                <w:szCs w:val="24"/>
              </w:rPr>
              <w:t>：</w:t>
            </w:r>
            <w:r>
              <w:rPr>
                <w:rFonts w:hint="eastAsia"/>
                <w:b/>
                <w:sz w:val="24"/>
                <w:szCs w:val="24"/>
              </w:rPr>
              <w:t>对明后年整体经营怎么展望？今年是绩效元年，后续费用投放、内部考核这块会有哪些调整？</w:t>
            </w:r>
          </w:p>
          <w:p w14:paraId="4E434ED8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回复：对于明后年，我们对公司内部团队是有信心的，对宏观经济稳中向好和行业基本探底的判断也比较有信心，由此有信心做到业绩稳中有进。</w:t>
            </w:r>
          </w:p>
          <w:p w14:paraId="59727DE0">
            <w:pPr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今年作为绩效元年，公司在内部推行模拟市场核算，考核每个办事处以上层级的利润贡献，不产生效益的投入会进行收缩</w:t>
            </w:r>
            <w:r>
              <w:rPr>
                <w:rFonts w:hint="eastAsia"/>
                <w:sz w:val="24"/>
                <w:szCs w:val="24"/>
                <w:lang w:eastAsia="zh-CN"/>
              </w:rPr>
              <w:t>，把</w:t>
            </w:r>
            <w:r>
              <w:rPr>
                <w:rFonts w:hint="eastAsia"/>
                <w:sz w:val="24"/>
                <w:szCs w:val="24"/>
              </w:rPr>
              <w:t>资源聚焦到真正有产出的地方。短期能够看到精准投放带来的效果，随着投放精细化程度持续提升，整体盈利能力有望趋于稳定。严抓营销当中的跑冒滴漏，尽可能节约营销费用。公司坚持不裁员、不降薪，但内部考核执行会更加严格。</w:t>
            </w:r>
          </w:p>
        </w:tc>
      </w:tr>
    </w:tbl>
    <w:p w14:paraId="65F4822B">
      <w:pPr>
        <w:pStyle w:val="4"/>
        <w:spacing w:before="4"/>
        <w:ind w:left="0" w:right="0"/>
      </w:pPr>
    </w:p>
    <w:sectPr>
      <w:headerReference r:id="rId3" w:type="default"/>
      <w:pgSz w:w="11910" w:h="16840"/>
      <w:pgMar w:top="1080" w:right="992" w:bottom="280" w:left="1417" w:header="695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68950B">
    <w:pPr>
      <w:pStyle w:val="4"/>
      <w:spacing w:line="14" w:lineRule="auto"/>
      <w:ind w:left="0" w:righ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882015</wp:posOffset>
              </wp:positionH>
              <wp:positionV relativeFrom="page">
                <wp:posOffset>563245</wp:posOffset>
              </wp:positionV>
              <wp:extent cx="5976620" cy="1270"/>
              <wp:effectExtent l="0" t="0" r="635" b="0"/>
              <wp:wrapNone/>
              <wp:docPr id="1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766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6620">
                            <a:moveTo>
                              <a:pt x="0" y="0"/>
                            </a:moveTo>
                            <a:lnTo>
                              <a:pt x="5976619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" o:spid="_x0000_s1026" o:spt="100" style="position:absolute;left:0pt;margin-left:69.45pt;margin-top:44.35pt;height:0.1pt;width:470.6pt;mso-position-horizontal-relative:page;mso-position-vertical-relative:page;z-index:-251657216;mso-width-relative:page;mso-height-relative:page;" filled="f" stroked="t" coordsize="5976620,1" o:gfxdata="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Mgi1x1QAAAAoBAAAPAAAAAAAAAAEA&#10;IAAAACIAAABkcnMvZG93bnJldi54bWxQSwECFAAUAAAACACHTuJAOlqxqhICAAB6BAAADgAAAAAA&#10;AAABACAAAAAkAQAAZHJzL2Uyb0RvYy54bWxQSwUGAAAAAAYABgBZAQAAqAUAAAAA&#10;" path="m0,0l5976619,0e">
              <v:fill on="f" focussize="0,0"/>
              <v:stroke color="#000000" joinstyle="round"/>
              <v:imagedata o:title=""/>
              <o:lock v:ext="edit" aspectratio="f"/>
              <v:textbox inset="0mm,0mm,0mm,0mm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FjNjU1MzZiOThmMjFlOWNhN2UxZDIyZDFmYjc4NTEifQ=="/>
  </w:docVars>
  <w:rsids>
    <w:rsidRoot w:val="00F341C8"/>
    <w:rsid w:val="000007A1"/>
    <w:rsid w:val="00002E41"/>
    <w:rsid w:val="0000329F"/>
    <w:rsid w:val="00006319"/>
    <w:rsid w:val="00007ACD"/>
    <w:rsid w:val="0001062B"/>
    <w:rsid w:val="0002027B"/>
    <w:rsid w:val="00066D61"/>
    <w:rsid w:val="00086CF0"/>
    <w:rsid w:val="000C4296"/>
    <w:rsid w:val="000F2A00"/>
    <w:rsid w:val="000F2EDD"/>
    <w:rsid w:val="00111276"/>
    <w:rsid w:val="00152EC3"/>
    <w:rsid w:val="0019438F"/>
    <w:rsid w:val="001968D9"/>
    <w:rsid w:val="00196E13"/>
    <w:rsid w:val="001A5B42"/>
    <w:rsid w:val="001A6E49"/>
    <w:rsid w:val="001A7753"/>
    <w:rsid w:val="001E6806"/>
    <w:rsid w:val="002028AD"/>
    <w:rsid w:val="00267F55"/>
    <w:rsid w:val="002822BC"/>
    <w:rsid w:val="002C35BF"/>
    <w:rsid w:val="002E082A"/>
    <w:rsid w:val="002F0F2C"/>
    <w:rsid w:val="002F5574"/>
    <w:rsid w:val="003021DA"/>
    <w:rsid w:val="00342EC9"/>
    <w:rsid w:val="003922FA"/>
    <w:rsid w:val="003B5DB0"/>
    <w:rsid w:val="003B6328"/>
    <w:rsid w:val="003D02EE"/>
    <w:rsid w:val="003D61B1"/>
    <w:rsid w:val="00400C18"/>
    <w:rsid w:val="00426229"/>
    <w:rsid w:val="00437C16"/>
    <w:rsid w:val="0045120E"/>
    <w:rsid w:val="00456CD9"/>
    <w:rsid w:val="004715EA"/>
    <w:rsid w:val="00471787"/>
    <w:rsid w:val="0048627E"/>
    <w:rsid w:val="0049406D"/>
    <w:rsid w:val="004B4BB9"/>
    <w:rsid w:val="004C435E"/>
    <w:rsid w:val="004C7EAE"/>
    <w:rsid w:val="004D2590"/>
    <w:rsid w:val="004D553F"/>
    <w:rsid w:val="004E1B97"/>
    <w:rsid w:val="004E5CBE"/>
    <w:rsid w:val="004F1190"/>
    <w:rsid w:val="004F2C1C"/>
    <w:rsid w:val="004F4EFE"/>
    <w:rsid w:val="00501736"/>
    <w:rsid w:val="005037FC"/>
    <w:rsid w:val="00512BEC"/>
    <w:rsid w:val="00557486"/>
    <w:rsid w:val="00595DE5"/>
    <w:rsid w:val="005B1532"/>
    <w:rsid w:val="005D1934"/>
    <w:rsid w:val="005E3C42"/>
    <w:rsid w:val="005E64FB"/>
    <w:rsid w:val="00630815"/>
    <w:rsid w:val="006719E5"/>
    <w:rsid w:val="00672D78"/>
    <w:rsid w:val="006763AD"/>
    <w:rsid w:val="0069242F"/>
    <w:rsid w:val="006A256C"/>
    <w:rsid w:val="006A7154"/>
    <w:rsid w:val="006B0A39"/>
    <w:rsid w:val="006C27B2"/>
    <w:rsid w:val="006C4D89"/>
    <w:rsid w:val="006D13A1"/>
    <w:rsid w:val="0073401A"/>
    <w:rsid w:val="007801DE"/>
    <w:rsid w:val="007B4015"/>
    <w:rsid w:val="008007C5"/>
    <w:rsid w:val="0083671C"/>
    <w:rsid w:val="00836F9F"/>
    <w:rsid w:val="00837CCE"/>
    <w:rsid w:val="00856155"/>
    <w:rsid w:val="00866303"/>
    <w:rsid w:val="00897D3A"/>
    <w:rsid w:val="008A3D41"/>
    <w:rsid w:val="008B58A9"/>
    <w:rsid w:val="00933185"/>
    <w:rsid w:val="00940137"/>
    <w:rsid w:val="0094536C"/>
    <w:rsid w:val="00947253"/>
    <w:rsid w:val="009775F7"/>
    <w:rsid w:val="00993D50"/>
    <w:rsid w:val="009D33E4"/>
    <w:rsid w:val="009D5E4B"/>
    <w:rsid w:val="009F1CF8"/>
    <w:rsid w:val="00A07EB0"/>
    <w:rsid w:val="00A278EF"/>
    <w:rsid w:val="00A4449D"/>
    <w:rsid w:val="00A52F70"/>
    <w:rsid w:val="00A61B28"/>
    <w:rsid w:val="00A67A53"/>
    <w:rsid w:val="00A84965"/>
    <w:rsid w:val="00B21E33"/>
    <w:rsid w:val="00B22D61"/>
    <w:rsid w:val="00B31C6D"/>
    <w:rsid w:val="00B36081"/>
    <w:rsid w:val="00B62E67"/>
    <w:rsid w:val="00B76D01"/>
    <w:rsid w:val="00B86E9A"/>
    <w:rsid w:val="00B91BDB"/>
    <w:rsid w:val="00BA08AD"/>
    <w:rsid w:val="00BB38AB"/>
    <w:rsid w:val="00BD4DF9"/>
    <w:rsid w:val="00BE44A7"/>
    <w:rsid w:val="00BF455B"/>
    <w:rsid w:val="00C33456"/>
    <w:rsid w:val="00C53845"/>
    <w:rsid w:val="00C64CD7"/>
    <w:rsid w:val="00C670F4"/>
    <w:rsid w:val="00C740F2"/>
    <w:rsid w:val="00CC36F6"/>
    <w:rsid w:val="00CE1FBB"/>
    <w:rsid w:val="00CE320D"/>
    <w:rsid w:val="00D4448F"/>
    <w:rsid w:val="00D444A5"/>
    <w:rsid w:val="00D52960"/>
    <w:rsid w:val="00D60CD4"/>
    <w:rsid w:val="00D7292D"/>
    <w:rsid w:val="00D843EC"/>
    <w:rsid w:val="00D84E72"/>
    <w:rsid w:val="00D9673B"/>
    <w:rsid w:val="00DA4118"/>
    <w:rsid w:val="00DD2A49"/>
    <w:rsid w:val="00DE0338"/>
    <w:rsid w:val="00E05E15"/>
    <w:rsid w:val="00E20F5D"/>
    <w:rsid w:val="00E314A5"/>
    <w:rsid w:val="00E3764B"/>
    <w:rsid w:val="00E46DB7"/>
    <w:rsid w:val="00E526AC"/>
    <w:rsid w:val="00E86FF5"/>
    <w:rsid w:val="00EA2D10"/>
    <w:rsid w:val="00F04F17"/>
    <w:rsid w:val="00F1103D"/>
    <w:rsid w:val="00F24DB3"/>
    <w:rsid w:val="00F274D3"/>
    <w:rsid w:val="00F341C8"/>
    <w:rsid w:val="00F379C8"/>
    <w:rsid w:val="00F61EFB"/>
    <w:rsid w:val="00F64D8E"/>
    <w:rsid w:val="00F8575B"/>
    <w:rsid w:val="00FA36B5"/>
    <w:rsid w:val="00FD778D"/>
    <w:rsid w:val="00FE3BE7"/>
    <w:rsid w:val="01E813FA"/>
    <w:rsid w:val="02344912"/>
    <w:rsid w:val="02934EC9"/>
    <w:rsid w:val="035618EA"/>
    <w:rsid w:val="0508204E"/>
    <w:rsid w:val="05140A38"/>
    <w:rsid w:val="06024D67"/>
    <w:rsid w:val="065564A8"/>
    <w:rsid w:val="068218BB"/>
    <w:rsid w:val="08A2174C"/>
    <w:rsid w:val="0920065A"/>
    <w:rsid w:val="0C1D7822"/>
    <w:rsid w:val="0C281202"/>
    <w:rsid w:val="0CC46A1A"/>
    <w:rsid w:val="11840272"/>
    <w:rsid w:val="1239330E"/>
    <w:rsid w:val="12724FA6"/>
    <w:rsid w:val="134A6B98"/>
    <w:rsid w:val="13CC6064"/>
    <w:rsid w:val="1464466E"/>
    <w:rsid w:val="14EA6277"/>
    <w:rsid w:val="18CF0B6F"/>
    <w:rsid w:val="1A42081B"/>
    <w:rsid w:val="1BA049BE"/>
    <w:rsid w:val="1BFD529F"/>
    <w:rsid w:val="1D5F0140"/>
    <w:rsid w:val="1D765438"/>
    <w:rsid w:val="1EA73DB5"/>
    <w:rsid w:val="211D3841"/>
    <w:rsid w:val="22E07847"/>
    <w:rsid w:val="234E4D5F"/>
    <w:rsid w:val="24341478"/>
    <w:rsid w:val="26D558A5"/>
    <w:rsid w:val="26DC5ACE"/>
    <w:rsid w:val="271D4D8D"/>
    <w:rsid w:val="276D516D"/>
    <w:rsid w:val="27FE2FDF"/>
    <w:rsid w:val="28E30421"/>
    <w:rsid w:val="2D703A18"/>
    <w:rsid w:val="30C2321A"/>
    <w:rsid w:val="32B7644F"/>
    <w:rsid w:val="35711EBA"/>
    <w:rsid w:val="38250630"/>
    <w:rsid w:val="38CA6739"/>
    <w:rsid w:val="3941547E"/>
    <w:rsid w:val="3A1033DC"/>
    <w:rsid w:val="3A8B419B"/>
    <w:rsid w:val="3AED6500"/>
    <w:rsid w:val="3EB32F2C"/>
    <w:rsid w:val="3FD96188"/>
    <w:rsid w:val="40F651D2"/>
    <w:rsid w:val="41CF4659"/>
    <w:rsid w:val="44421112"/>
    <w:rsid w:val="44F155B0"/>
    <w:rsid w:val="452528FE"/>
    <w:rsid w:val="46B74BA0"/>
    <w:rsid w:val="48452CF3"/>
    <w:rsid w:val="48A62ACD"/>
    <w:rsid w:val="49D2497F"/>
    <w:rsid w:val="4C161994"/>
    <w:rsid w:val="4DA263F4"/>
    <w:rsid w:val="558B0235"/>
    <w:rsid w:val="58CF09EC"/>
    <w:rsid w:val="597D6A47"/>
    <w:rsid w:val="59F36B5D"/>
    <w:rsid w:val="5ABE7E1B"/>
    <w:rsid w:val="5C7F2AAC"/>
    <w:rsid w:val="5F3E3D50"/>
    <w:rsid w:val="5F5E4D05"/>
    <w:rsid w:val="5FEA48E9"/>
    <w:rsid w:val="6093187E"/>
    <w:rsid w:val="609B79A5"/>
    <w:rsid w:val="60AA7762"/>
    <w:rsid w:val="61082B42"/>
    <w:rsid w:val="624F75D6"/>
    <w:rsid w:val="64860DFB"/>
    <w:rsid w:val="65AF2802"/>
    <w:rsid w:val="66A0053F"/>
    <w:rsid w:val="673A6B3D"/>
    <w:rsid w:val="691D4401"/>
    <w:rsid w:val="6C9C30BE"/>
    <w:rsid w:val="6D704099"/>
    <w:rsid w:val="6F2F0E79"/>
    <w:rsid w:val="72121263"/>
    <w:rsid w:val="742F0F2B"/>
    <w:rsid w:val="757F7FF2"/>
    <w:rsid w:val="75D92DD5"/>
    <w:rsid w:val="768371E5"/>
    <w:rsid w:val="769A1438"/>
    <w:rsid w:val="77656C79"/>
    <w:rsid w:val="783F2201"/>
    <w:rsid w:val="79C16FDE"/>
    <w:rsid w:val="7CBD4A32"/>
    <w:rsid w:val="7D116E12"/>
    <w:rsid w:val="7D497E9A"/>
    <w:rsid w:val="DA7BA46B"/>
    <w:rsid w:val="FBED0FD6"/>
    <w:rsid w:val="FF9D8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9"/>
    <w:pPr>
      <w:spacing w:before="235" w:line="376" w:lineRule="exact"/>
      <w:ind w:left="594"/>
      <w:outlineLvl w:val="0"/>
    </w:pPr>
    <w:rPr>
      <w:rFonts w:ascii="Microsoft JhengHei" w:hAnsi="Microsoft JhengHei" w:eastAsia="Microsoft JhengHei" w:cs="Microsoft JhengHei"/>
      <w:b/>
      <w:bCs/>
      <w:sz w:val="24"/>
      <w:szCs w:val="24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nhideWhenUsed/>
    <w:qFormat/>
    <w:uiPriority w:val="99"/>
  </w:style>
  <w:style w:type="paragraph" w:styleId="4">
    <w:name w:val="Body Text"/>
    <w:basedOn w:val="1"/>
    <w:qFormat/>
    <w:uiPriority w:val="1"/>
    <w:pPr>
      <w:ind w:left="114" w:right="253"/>
    </w:pPr>
    <w:rPr>
      <w:sz w:val="24"/>
      <w:szCs w:val="24"/>
    </w:rPr>
  </w:style>
  <w:style w:type="paragraph" w:styleId="5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autoSpaceDE/>
      <w:autoSpaceDN/>
      <w:spacing w:beforeAutospacing="1" w:afterAutospacing="1"/>
    </w:pPr>
    <w:rPr>
      <w:rFonts w:ascii="Calibri" w:hAnsi="Calibri" w:cs="Times New Roman"/>
      <w:sz w:val="24"/>
    </w:rPr>
  </w:style>
  <w:style w:type="paragraph" w:styleId="9">
    <w:name w:val="Title"/>
    <w:basedOn w:val="1"/>
    <w:qFormat/>
    <w:uiPriority w:val="10"/>
    <w:pPr>
      <w:spacing w:before="191" w:after="29"/>
      <w:ind w:left="2328" w:right="2469"/>
      <w:jc w:val="center"/>
    </w:pPr>
    <w:rPr>
      <w:rFonts w:ascii="Microsoft JhengHei" w:hAnsi="Microsoft JhengHei" w:eastAsia="Microsoft JhengHei" w:cs="Microsoft JhengHei"/>
      <w:b/>
      <w:bCs/>
      <w:sz w:val="36"/>
      <w:szCs w:val="36"/>
    </w:rPr>
  </w:style>
  <w:style w:type="character" w:styleId="12">
    <w:name w:val="annotation reference"/>
    <w:basedOn w:val="11"/>
    <w:unhideWhenUsed/>
    <w:qFormat/>
    <w:uiPriority w:val="99"/>
    <w:rPr>
      <w:sz w:val="21"/>
      <w:szCs w:val="21"/>
    </w:rPr>
  </w:style>
  <w:style w:type="character" w:customStyle="1" w:styleId="13">
    <w:name w:val="批注框文本 字符"/>
    <w:basedOn w:val="11"/>
    <w:link w:val="5"/>
    <w:semiHidden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5">
    <w:name w:val="页眉 字符"/>
    <w:basedOn w:val="11"/>
    <w:link w:val="7"/>
    <w:qFormat/>
    <w:uiPriority w:val="99"/>
    <w:rPr>
      <w:rFonts w:ascii="宋体" w:hAnsi="宋体" w:eastAsia="宋体" w:cs="宋体"/>
      <w:sz w:val="18"/>
      <w:szCs w:val="18"/>
    </w:rPr>
  </w:style>
  <w:style w:type="table" w:customStyle="1" w:styleId="16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basedOn w:val="1"/>
    <w:qFormat/>
    <w:uiPriority w:val="1"/>
  </w:style>
  <w:style w:type="paragraph" w:customStyle="1" w:styleId="18">
    <w:name w:val="Table Paragraph"/>
    <w:basedOn w:val="1"/>
    <w:qFormat/>
    <w:uiPriority w:val="1"/>
    <w:pPr>
      <w:spacing w:before="4" w:line="339" w:lineRule="exact"/>
      <w:ind w:left="107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6585</Words>
  <Characters>6717</Characters>
  <Lines>48</Lines>
  <Paragraphs>13</Paragraphs>
  <TotalTime>6</TotalTime>
  <ScaleCrop>false</ScaleCrop>
  <LinksUpToDate>false</LinksUpToDate>
  <CharactersWithSpaces>6727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2026-09-30T14:25:00Z</dcterms:created>
  <dc:creator>wdm</dc:creator>
  <cp:lastModifiedBy>王卫东</cp:lastModifiedBy>
  <cp:lastPrinted>2026-06-05T08:13:00Z</cp:lastPrinted>
  <dcterms:modified xsi:type="dcterms:W3CDTF">2026-10-08T00:57:35Z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2026-02-01T16:00:00Z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2026-03-10T16:00:00Z</vt:filetime>
  </property>
  <property fmtid="{D5CDD505-2E9C-101B-9397-08002B2CF9AE}" pid="5" name="Producer">
    <vt:lpwstr>Aspose.Words for Java 19.1</vt:lpwstr>
  </property>
  <property fmtid="{D5CDD505-2E9C-101B-9397-08002B2CF9AE}" pid="6" name="KSOTemplateDocerSaveRecord">
    <vt:lpwstr>eyJoZGlkIjoiOWUzODE0MTVmNDEzZGY5NDdjNzIyZmY5MzMyNTRjNTUiLCJ1c2VySWQiOiIxNjc5Mjk5MzcyIn0=</vt:lpwstr>
  </property>
  <property fmtid="{D5CDD505-2E9C-101B-9397-08002B2CF9AE}" pid="7" name="KSOProductBuildVer">
    <vt:lpwstr>2052-12.1.0.28505</vt:lpwstr>
  </property>
  <property fmtid="{D5CDD505-2E9C-101B-9397-08002B2CF9AE}" pid="8" name="ICV">
    <vt:lpwstr>FEB960BB024643B89F183D955C2F46CA_13</vt:lpwstr>
  </property>
</Properties>
</file>