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after="156" w:afterLines="50" w:line="520" w:lineRule="exact"/>
        <w:jc w:val="left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证券代码：6</w:t>
      </w:r>
      <w:r>
        <w:rPr>
          <w:rFonts w:ascii="楷体" w:hAnsi="楷体" w:eastAsia="楷体"/>
          <w:sz w:val="24"/>
        </w:rPr>
        <w:t xml:space="preserve">00968   </w:t>
      </w:r>
      <w:r>
        <w:rPr>
          <w:rFonts w:hint="eastAsia" w:ascii="楷体" w:hAnsi="楷体" w:eastAsia="楷体"/>
          <w:sz w:val="24"/>
        </w:rPr>
        <w:t xml:space="preserve">                              证券简称：海油发展 </w:t>
      </w:r>
      <w:r>
        <w:rPr>
          <w:rFonts w:ascii="楷体" w:hAnsi="楷体" w:eastAsia="楷体"/>
          <w:sz w:val="24"/>
        </w:rPr>
        <w:t xml:space="preserve"> </w:t>
      </w:r>
    </w:p>
    <w:p>
      <w:pPr>
        <w:spacing w:line="480" w:lineRule="exact"/>
        <w:jc w:val="center"/>
        <w:rPr>
          <w:rFonts w:ascii="宋体" w:hAnsi="宋体"/>
          <w:b/>
          <w:bCs/>
          <w:sz w:val="28"/>
          <w:szCs w:val="30"/>
        </w:rPr>
      </w:pPr>
      <w:r>
        <w:rPr>
          <w:rFonts w:hint="eastAsia" w:ascii="宋体" w:hAnsi="宋体"/>
          <w:b/>
          <w:bCs/>
          <w:sz w:val="28"/>
          <w:szCs w:val="30"/>
        </w:rPr>
        <w:t>中海油能源发展股份有限公司</w:t>
      </w:r>
    </w:p>
    <w:p>
      <w:pPr>
        <w:spacing w:line="480" w:lineRule="exact"/>
        <w:jc w:val="center"/>
        <w:outlineLvl w:val="0"/>
        <w:rPr>
          <w:rFonts w:ascii="宋体" w:hAnsi="宋体"/>
          <w:b/>
          <w:bCs/>
          <w:sz w:val="28"/>
          <w:szCs w:val="30"/>
        </w:rPr>
      </w:pPr>
      <w:r>
        <w:rPr>
          <w:rFonts w:hint="eastAsia" w:ascii="宋体" w:hAnsi="宋体"/>
          <w:b/>
          <w:bCs/>
          <w:sz w:val="28"/>
          <w:szCs w:val="30"/>
        </w:rPr>
        <w:t>投资者关系活动记录表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75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hint="eastAsia" w:ascii="Arial" w:hAnsi="Arial"/>
                <w:bCs/>
                <w:sz w:val="24"/>
              </w:rPr>
              <w:t>投资者关系活动类别</w:t>
            </w:r>
          </w:p>
        </w:tc>
        <w:tc>
          <w:tcPr>
            <w:tcW w:w="4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Arial" w:hAnsi="Arial"/>
                <w:bCs/>
                <w:sz w:val="24"/>
              </w:rPr>
            </w:pPr>
            <w:r>
              <w:rPr>
                <w:rFonts w:hint="eastAsia" w:ascii="Arial" w:hAnsi="Arial"/>
                <w:bCs/>
                <w:sz w:val="24"/>
              </w:rPr>
              <w:sym w:font="Wingdings 2" w:char="00A3"/>
            </w:r>
            <w:r>
              <w:rPr>
                <w:rFonts w:hint="eastAsia" w:ascii="Arial" w:hAnsi="Arial"/>
                <w:bCs/>
                <w:sz w:val="24"/>
              </w:rPr>
              <w:t xml:space="preserve">特定对象调研 </w:t>
            </w:r>
            <w:r>
              <w:rPr>
                <w:rFonts w:hint="eastAsia" w:ascii="Arial" w:hAnsi="Arial"/>
                <w:bCs/>
                <w:sz w:val="24"/>
              </w:rPr>
              <w:sym w:font="Wingdings 2" w:char="00A3"/>
            </w:r>
            <w:r>
              <w:rPr>
                <w:rFonts w:hint="eastAsia" w:ascii="Arial" w:hAnsi="Arial"/>
                <w:bCs/>
                <w:sz w:val="24"/>
              </w:rPr>
              <w:t>分析师会议</w:t>
            </w:r>
          </w:p>
          <w:p>
            <w:pPr>
              <w:spacing w:line="400" w:lineRule="exact"/>
              <w:rPr>
                <w:rFonts w:ascii="Arial" w:hAnsi="Arial"/>
                <w:bCs/>
                <w:sz w:val="24"/>
              </w:rPr>
            </w:pPr>
            <w:r>
              <w:rPr>
                <w:rFonts w:hint="eastAsia" w:ascii="Arial" w:hAnsi="Arial"/>
                <w:bCs/>
                <w:sz w:val="24"/>
              </w:rPr>
              <w:t xml:space="preserve">□媒体采访 </w:t>
            </w:r>
            <w:r>
              <w:rPr>
                <w:rFonts w:ascii="Arial" w:hAnsi="Arial"/>
                <w:bCs/>
                <w:sz w:val="24"/>
              </w:rPr>
              <w:t xml:space="preserve">   </w:t>
            </w:r>
            <w:r>
              <w:rPr>
                <w:rFonts w:hint="eastAsia" w:ascii="Arial" w:hAnsi="Arial"/>
                <w:bCs/>
                <w:sz w:val="24"/>
              </w:rPr>
              <w:t xml:space="preserve"> </w:t>
            </w:r>
            <w:r>
              <w:rPr>
                <w:rFonts w:hint="eastAsia" w:ascii="Arial" w:hAnsi="Arial"/>
                <w:bCs/>
                <w:sz w:val="24"/>
              </w:rPr>
              <w:sym w:font="Wingdings 2" w:char="00A3"/>
            </w:r>
            <w:r>
              <w:rPr>
                <w:rFonts w:hint="eastAsia" w:ascii="Arial" w:hAnsi="Arial"/>
                <w:bCs/>
                <w:sz w:val="24"/>
              </w:rPr>
              <w:t>业绩说明会</w:t>
            </w:r>
          </w:p>
          <w:p>
            <w:pPr>
              <w:spacing w:line="400" w:lineRule="exact"/>
              <w:rPr>
                <w:rFonts w:ascii="Arial" w:hAnsi="Arial"/>
                <w:bCs/>
                <w:sz w:val="24"/>
              </w:rPr>
            </w:pPr>
            <w:r>
              <w:rPr>
                <w:rFonts w:hint="eastAsia" w:ascii="Arial" w:hAnsi="Arial"/>
                <w:bCs/>
                <w:sz w:val="24"/>
              </w:rPr>
              <w:t xml:space="preserve">□新闻发布会 </w:t>
            </w:r>
            <w:r>
              <w:rPr>
                <w:rFonts w:ascii="Arial" w:hAnsi="Arial"/>
                <w:bCs/>
                <w:sz w:val="24"/>
              </w:rPr>
              <w:t xml:space="preserve">  </w:t>
            </w:r>
            <w:r>
              <w:rPr>
                <w:rFonts w:hint="eastAsia" w:ascii="Arial" w:hAnsi="Arial"/>
                <w:bCs/>
                <w:sz w:val="24"/>
              </w:rPr>
              <w:sym w:font="Wingdings 2" w:char="0052"/>
            </w:r>
            <w:r>
              <w:rPr>
                <w:rFonts w:hint="eastAsia" w:ascii="Arial" w:hAnsi="Arial"/>
                <w:bCs/>
                <w:sz w:val="24"/>
              </w:rPr>
              <w:t>路演活动</w:t>
            </w:r>
          </w:p>
          <w:p>
            <w:pPr>
              <w:spacing w:line="400" w:lineRule="exact"/>
              <w:rPr>
                <w:rFonts w:ascii="Arial" w:hAnsi="Arial"/>
                <w:bCs/>
                <w:sz w:val="24"/>
              </w:rPr>
            </w:pPr>
            <w:r>
              <w:rPr>
                <w:rFonts w:hint="eastAsia" w:ascii="Arial" w:hAnsi="Arial"/>
                <w:bCs/>
                <w:sz w:val="24"/>
              </w:rPr>
              <w:t>□现场参观</w:t>
            </w:r>
          </w:p>
          <w:p>
            <w:pPr>
              <w:spacing w:line="400" w:lineRule="exact"/>
              <w:rPr>
                <w:rFonts w:ascii="Arial" w:hAnsi="Arial"/>
                <w:bCs/>
                <w:sz w:val="24"/>
              </w:rPr>
            </w:pPr>
            <w:r>
              <w:rPr>
                <w:rFonts w:hint="eastAsia" w:ascii="Arial" w:hAnsi="Arial"/>
                <w:bCs/>
                <w:sz w:val="24"/>
              </w:rPr>
              <w:t>□其他（请文字说明其他活动内容）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hint="eastAsia" w:ascii="Arial" w:hAnsi="Arial"/>
                <w:bCs/>
                <w:sz w:val="24"/>
              </w:rPr>
              <w:t>时间</w:t>
            </w:r>
          </w:p>
        </w:tc>
        <w:tc>
          <w:tcPr>
            <w:tcW w:w="4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Arial" w:hAnsi="Arial" w:cs="Arial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2026年9</w:t>
            </w:r>
            <w:r>
              <w:rPr>
                <w:rFonts w:hint="eastAsia" w:ascii="Times New Roman" w:hAnsi="Times New Roman"/>
                <w:sz w:val="24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hint="eastAsia" w:ascii="Arial" w:hAnsi="Arial"/>
                <w:bCs/>
                <w:sz w:val="24"/>
              </w:rPr>
              <w:t>地点</w:t>
            </w:r>
          </w:p>
        </w:tc>
        <w:tc>
          <w:tcPr>
            <w:tcW w:w="4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Arial" w:hAnsi="Arial" w:cs="Arial"/>
                <w:sz w:val="24"/>
              </w:rPr>
            </w:pPr>
            <w:r>
              <w:rPr>
                <w:rFonts w:hint="eastAsia" w:ascii="Arial" w:hAnsi="Arial" w:cs="Arial"/>
                <w:sz w:val="24"/>
              </w:rPr>
              <w:t>深圳、上海、北京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hint="eastAsia" w:ascii="Arial" w:hAnsi="Arial"/>
                <w:bCs/>
                <w:sz w:val="24"/>
              </w:rPr>
              <w:t>上市公司接待人员姓名</w:t>
            </w:r>
          </w:p>
        </w:tc>
        <w:tc>
          <w:tcPr>
            <w:tcW w:w="4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bl>
            <w:tblPr>
              <w:tblStyle w:val="9"/>
              <w:tblW w:w="5000" w:type="pct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95"/>
              <w:gridCol w:w="5882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495" w:type="dxa"/>
                  <w:shd w:val="clear" w:color="auto" w:fill="auto"/>
                  <w:noWrap/>
                  <w:vAlign w:val="bottom"/>
                </w:tcPr>
                <w:p>
                  <w:pPr>
                    <w:spacing w:line="276" w:lineRule="auto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hint="eastAsia" w:ascii="Arial" w:hAnsi="Arial" w:cs="Arial"/>
                      <w:sz w:val="24"/>
                    </w:rPr>
                    <w:t>种晓洁</w:t>
                  </w:r>
                </w:p>
                <w:p>
                  <w:pPr>
                    <w:spacing w:line="276" w:lineRule="auto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hint="eastAsia" w:ascii="Arial" w:hAnsi="Arial" w:cs="Arial"/>
                      <w:sz w:val="24"/>
                    </w:rPr>
                    <w:t>肖德斌</w:t>
                  </w:r>
                </w:p>
                <w:p>
                  <w:pPr>
                    <w:spacing w:line="276" w:lineRule="auto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hint="eastAsia" w:ascii="Arial" w:hAnsi="Arial" w:cs="Arial"/>
                      <w:sz w:val="24"/>
                    </w:rPr>
                    <w:t xml:space="preserve">叶 </w:t>
                  </w:r>
                  <w:r>
                    <w:rPr>
                      <w:rFonts w:ascii="Arial" w:hAnsi="Arial" w:cs="Arial"/>
                      <w:sz w:val="24"/>
                    </w:rPr>
                    <w:t xml:space="preserve"> </w:t>
                  </w:r>
                  <w:r>
                    <w:rPr>
                      <w:rFonts w:hint="eastAsia" w:ascii="Arial" w:hAnsi="Arial" w:cs="Arial"/>
                      <w:sz w:val="24"/>
                    </w:rPr>
                    <w:t>斌</w:t>
                  </w:r>
                </w:p>
                <w:p>
                  <w:pPr>
                    <w:spacing w:line="276" w:lineRule="auto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hint="eastAsia" w:ascii="Arial" w:hAnsi="Arial" w:cs="Arial"/>
                      <w:sz w:val="24"/>
                    </w:rPr>
                    <w:t xml:space="preserve">李 </w:t>
                  </w:r>
                  <w:r>
                    <w:rPr>
                      <w:rFonts w:ascii="Arial" w:hAnsi="Arial" w:cs="Arial"/>
                      <w:sz w:val="24"/>
                    </w:rPr>
                    <w:t xml:space="preserve"> </w:t>
                  </w:r>
                  <w:r>
                    <w:rPr>
                      <w:rFonts w:hint="eastAsia" w:ascii="Arial" w:hAnsi="Arial" w:cs="Arial"/>
                      <w:sz w:val="24"/>
                    </w:rPr>
                    <w:t>放</w:t>
                  </w:r>
                </w:p>
                <w:p>
                  <w:pPr>
                    <w:spacing w:line="276" w:lineRule="auto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hint="eastAsia" w:ascii="Arial" w:hAnsi="Arial" w:cs="Arial"/>
                      <w:sz w:val="24"/>
                    </w:rPr>
                    <w:t>邓元军</w:t>
                  </w:r>
                </w:p>
              </w:tc>
              <w:tc>
                <w:tcPr>
                  <w:tcW w:w="5882" w:type="dxa"/>
                  <w:shd w:val="clear" w:color="auto" w:fill="auto"/>
                  <w:noWrap/>
                  <w:vAlign w:val="center"/>
                </w:tcPr>
                <w:p>
                  <w:pPr>
                    <w:spacing w:line="276" w:lineRule="auto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hint="eastAsia" w:ascii="Arial" w:hAnsi="Arial" w:cs="Arial"/>
                      <w:sz w:val="24"/>
                    </w:rPr>
                    <w:t>财务总监</w:t>
                  </w:r>
                </w:p>
                <w:p>
                  <w:pPr>
                    <w:spacing w:line="276" w:lineRule="auto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hint="eastAsia" w:ascii="Arial" w:hAnsi="Arial" w:cs="Arial"/>
                      <w:sz w:val="24"/>
                    </w:rPr>
                    <w:t>董事会秘书</w:t>
                  </w:r>
                </w:p>
                <w:p>
                  <w:pPr>
                    <w:spacing w:line="276" w:lineRule="auto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hint="eastAsia" w:ascii="Arial" w:hAnsi="Arial" w:cs="Arial"/>
                      <w:sz w:val="24"/>
                    </w:rPr>
                    <w:t>经营管理部副总经理</w:t>
                  </w:r>
                </w:p>
                <w:p>
                  <w:pPr>
                    <w:spacing w:line="276" w:lineRule="auto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hint="eastAsia" w:ascii="Arial" w:hAnsi="Arial" w:cs="Arial"/>
                      <w:sz w:val="24"/>
                    </w:rPr>
                    <w:t>规划计划部副总经理</w:t>
                  </w:r>
                </w:p>
                <w:p>
                  <w:pPr>
                    <w:spacing w:line="276" w:lineRule="auto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hint="eastAsia" w:ascii="Arial" w:hAnsi="Arial" w:cs="Arial"/>
                      <w:sz w:val="24"/>
                    </w:rPr>
                    <w:t>经营管理部经营管理经理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495" w:type="dxa"/>
                  <w:shd w:val="clear" w:color="auto" w:fill="auto"/>
                  <w:noWrap/>
                  <w:vAlign w:val="bottom"/>
                </w:tcPr>
                <w:p>
                  <w:pPr>
                    <w:spacing w:line="276" w:lineRule="auto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hint="eastAsia" w:ascii="Arial" w:hAnsi="Arial" w:cs="Arial"/>
                      <w:sz w:val="24"/>
                    </w:rPr>
                    <w:t xml:space="preserve">刘 </w:t>
                  </w:r>
                  <w:r>
                    <w:rPr>
                      <w:rFonts w:ascii="Arial" w:hAnsi="Arial" w:cs="Arial"/>
                      <w:sz w:val="24"/>
                    </w:rPr>
                    <w:t xml:space="preserve"> </w:t>
                  </w:r>
                  <w:r>
                    <w:rPr>
                      <w:rFonts w:hint="eastAsia" w:ascii="Arial" w:hAnsi="Arial" w:cs="Arial"/>
                      <w:sz w:val="24"/>
                    </w:rPr>
                    <w:t>辰</w:t>
                  </w:r>
                </w:p>
              </w:tc>
              <w:tc>
                <w:tcPr>
                  <w:tcW w:w="5882" w:type="dxa"/>
                  <w:shd w:val="clear" w:color="auto" w:fill="auto"/>
                  <w:noWrap/>
                  <w:vAlign w:val="center"/>
                </w:tcPr>
                <w:p>
                  <w:pPr>
                    <w:spacing w:line="276" w:lineRule="auto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hint="eastAsia" w:ascii="Arial" w:hAnsi="Arial" w:cs="Arial"/>
                      <w:sz w:val="24"/>
                    </w:rPr>
                    <w:t>董事会与价值管理经理</w:t>
                  </w:r>
                </w:p>
              </w:tc>
            </w:tr>
          </w:tbl>
          <w:p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hint="eastAsia" w:ascii="Arial" w:hAnsi="Arial"/>
                <w:bCs/>
                <w:kern w:val="0"/>
                <w:sz w:val="24"/>
              </w:rPr>
              <w:t>参与单位名称</w:t>
            </w:r>
          </w:p>
        </w:tc>
        <w:tc>
          <w:tcPr>
            <w:tcW w:w="7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富国基金、国海富兰克林基金、太保资产、长江养老、华宝基金、圆信永丰基金、大成基金、南方基金、鹏华基金、安信基金、景顺长城基金、</w:t>
            </w:r>
          </w:p>
          <w:p>
            <w:pPr>
              <w:spacing w:line="276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诺安基金、阳光资产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hint="eastAsia" w:ascii="Arial" w:hAnsi="Arial"/>
                <w:bCs/>
                <w:sz w:val="24"/>
              </w:rPr>
              <w:t>投资者关系活动主要内容介绍</w:t>
            </w:r>
          </w:p>
        </w:tc>
        <w:tc>
          <w:tcPr>
            <w:tcW w:w="4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Q1：国家“十五五”规划油气产量增速放缓，公司及中海油整体业务增速是否会下降较多？</w:t>
            </w:r>
          </w:p>
          <w:p>
            <w:pPr>
              <w:rPr>
                <w:rFonts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A：国家规划提出2030年国内油气供应量4.4亿吨油当量，增速较“十四五”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有所</w:t>
            </w:r>
            <w:r>
              <w:rPr>
                <w:rFonts w:hint="eastAsia" w:eastAsiaTheme="minorEastAsia"/>
                <w:sz w:val="24"/>
              </w:rPr>
              <w:t>放缓。但国内油气产量增量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大部分</w:t>
            </w:r>
            <w:r>
              <w:rPr>
                <w:rFonts w:hint="eastAsia" w:eastAsiaTheme="minorEastAsia"/>
                <w:sz w:val="24"/>
              </w:rPr>
              <w:t>自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海油</w:t>
            </w:r>
            <w:r>
              <w:rPr>
                <w:rFonts w:hint="eastAsia" w:eastAsiaTheme="minorEastAsia"/>
                <w:sz w:val="24"/>
              </w:rPr>
              <w:t>，行业基本面依然确定。</w:t>
            </w:r>
          </w:p>
          <w:p>
            <w:pPr>
              <w:rPr>
                <w:rFonts w:eastAsiaTheme="minorEastAsia"/>
                <w:sz w:val="24"/>
              </w:rPr>
            </w:pPr>
          </w:p>
          <w:p>
            <w:pPr>
              <w:rPr>
                <w:rFonts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Q</w:t>
            </w:r>
            <w:r>
              <w:rPr>
                <w:rFonts w:eastAsiaTheme="minorEastAsia"/>
                <w:sz w:val="24"/>
              </w:rPr>
              <w:t>2</w:t>
            </w:r>
            <w:r>
              <w:rPr>
                <w:rFonts w:hint="eastAsia" w:eastAsiaTheme="minorEastAsia"/>
                <w:sz w:val="24"/>
              </w:rPr>
              <w:t>：老油田衰减对公司工作量影响如何？新老油田业务占比？</w:t>
            </w:r>
          </w:p>
          <w:p>
            <w:pPr>
              <w:rPr>
                <w:rFonts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A：公司70%的业务来自老油田稳产增产，20%-30%来自新油田投产。老油田进入中后期</w:t>
            </w:r>
            <w:r>
              <w:rPr>
                <w:rFonts w:hint="eastAsia" w:eastAsiaTheme="minorEastAsia"/>
                <w:sz w:val="24"/>
                <w:lang w:eastAsia="zh-CN"/>
              </w:rPr>
              <w:t>，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随着自然衰减，油田稳产增产的压力持续加大，公司提高采收率、设备</w:t>
            </w:r>
            <w:r>
              <w:rPr>
                <w:rFonts w:hint="eastAsia" w:eastAsiaTheme="minorEastAsia"/>
                <w:sz w:val="24"/>
              </w:rPr>
              <w:t>设施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维修改造</w:t>
            </w:r>
            <w:r>
              <w:rPr>
                <w:rFonts w:hint="eastAsia" w:eastAsiaTheme="minorEastAsia"/>
                <w:sz w:val="24"/>
              </w:rPr>
              <w:t>等工作量也会增加。</w:t>
            </w:r>
          </w:p>
          <w:p>
            <w:pPr>
              <w:rPr>
                <w:rFonts w:eastAsiaTheme="minorEastAsia"/>
                <w:sz w:val="24"/>
              </w:rPr>
            </w:pPr>
          </w:p>
          <w:p>
            <w:pPr>
              <w:rPr>
                <w:rFonts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Q</w:t>
            </w:r>
            <w:r>
              <w:rPr>
                <w:rFonts w:eastAsiaTheme="minorEastAsia"/>
                <w:sz w:val="24"/>
              </w:rPr>
              <w:t>3</w:t>
            </w:r>
            <w:r>
              <w:rPr>
                <w:rFonts w:hint="eastAsia" w:eastAsiaTheme="minorEastAsia"/>
                <w:sz w:val="24"/>
              </w:rPr>
              <w:t>：中东地缘冲突对公司影响如何？</w:t>
            </w:r>
          </w:p>
          <w:p>
            <w:pPr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 w:eastAsiaTheme="minorEastAsia"/>
                <w:sz w:val="24"/>
              </w:rPr>
              <w:t>A：美伊冲突对公司中东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业务</w:t>
            </w:r>
            <w:r>
              <w:rPr>
                <w:rFonts w:hint="eastAsia" w:eastAsiaTheme="minorEastAsia"/>
                <w:sz w:val="24"/>
              </w:rPr>
              <w:t>有影响，但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整体</w:t>
            </w:r>
            <w:r>
              <w:rPr>
                <w:rFonts w:hint="eastAsia" w:eastAsiaTheme="minorEastAsia"/>
                <w:sz w:val="24"/>
              </w:rPr>
              <w:t>影响可控</w:t>
            </w:r>
            <w:r>
              <w:rPr>
                <w:rFonts w:hint="eastAsia" w:eastAsiaTheme="minorEastAsia"/>
                <w:sz w:val="24"/>
                <w:lang w:eastAsia="zh-CN"/>
              </w:rPr>
              <w:t>。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美伊冲突导致中东区域业务面临短期影响，但当前在执行项目总体履约正常，未出现重大经营风险。从中长期看，局势变化为公司带来了新契机，公司将动态评估地缘局势，灵活应对，严控风险</w:t>
            </w:r>
          </w:p>
          <w:p>
            <w:pPr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 w:eastAsiaTheme="minorEastAsia"/>
                <w:sz w:val="24"/>
                <w:lang w:val="en-US" w:eastAsia="zh-CN"/>
              </w:rPr>
              <w:t>。</w:t>
            </w:r>
          </w:p>
          <w:p>
            <w:pPr>
              <w:rPr>
                <w:rFonts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Q</w:t>
            </w:r>
            <w:r>
              <w:rPr>
                <w:rFonts w:eastAsiaTheme="minorEastAsia"/>
                <w:sz w:val="24"/>
              </w:rPr>
              <w:t>4</w:t>
            </w:r>
            <w:r>
              <w:rPr>
                <w:rFonts w:hint="eastAsia" w:eastAsiaTheme="minorEastAsia"/>
                <w:sz w:val="24"/>
              </w:rPr>
              <w:t>：上半年经营现金流承压，下半年改善逻辑？</w:t>
            </w:r>
          </w:p>
          <w:p>
            <w:pPr>
              <w:rPr>
                <w:rFonts w:hint="eastAsia"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A：行业具有一定的季节性，收款一般集中在三、四季度，但付款全年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相对刚性平稳。</w:t>
            </w:r>
            <w:r>
              <w:rPr>
                <w:rFonts w:hint="eastAsia" w:eastAsiaTheme="minorEastAsia"/>
                <w:sz w:val="24"/>
              </w:rPr>
              <w:t>随着项目完工结算，</w:t>
            </w:r>
            <w:r>
              <w:rPr>
                <w:rFonts w:hint="eastAsia" w:eastAsiaTheme="minorEastAsia"/>
                <w:sz w:val="24"/>
                <w:lang w:eastAsia="zh-CN"/>
              </w:rPr>
              <w:t>下半年，公司将现金流管控作为经营重点，提升回款效率，</w:t>
            </w:r>
            <w:r>
              <w:rPr>
                <w:rFonts w:hint="eastAsia" w:eastAsiaTheme="minorEastAsia"/>
                <w:sz w:val="24"/>
              </w:rPr>
              <w:t>三、四季度回款会明显改善。</w:t>
            </w:r>
          </w:p>
          <w:p>
            <w:pPr>
              <w:rPr>
                <w:rFonts w:hint="eastAsia" w:eastAsiaTheme="minorEastAsia"/>
                <w:sz w:val="24"/>
              </w:rPr>
            </w:pPr>
          </w:p>
          <w:p>
            <w:pPr>
              <w:rPr>
                <w:rFonts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Q</w:t>
            </w:r>
            <w:r>
              <w:rPr>
                <w:rFonts w:eastAsiaTheme="minorEastAsia"/>
                <w:sz w:val="24"/>
              </w:rPr>
              <w:t>5</w:t>
            </w:r>
            <w:r>
              <w:rPr>
                <w:rFonts w:hint="eastAsia" w:eastAsiaTheme="minorEastAsia"/>
                <w:sz w:val="24"/>
              </w:rPr>
              <w:t>：国产化替代进度如何？哪些产品替代空间最大？</w:t>
            </w:r>
          </w:p>
          <w:p>
            <w:pPr>
              <w:rPr>
                <w:rFonts w:hint="eastAsia"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A：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不同业务、产品的国产化水平不太一致。整体来说，</w:t>
            </w:r>
            <w:r>
              <w:rPr>
                <w:rFonts w:hint="eastAsia" w:eastAsiaTheme="minorEastAsia"/>
                <w:sz w:val="24"/>
              </w:rPr>
              <w:t>渤海替代比例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较高</w:t>
            </w:r>
            <w:r>
              <w:rPr>
                <w:rFonts w:hint="eastAsia" w:eastAsiaTheme="minorEastAsia"/>
                <w:sz w:val="24"/>
                <w:lang w:eastAsia="zh-CN"/>
              </w:rPr>
              <w:t>；</w:t>
            </w:r>
            <w:r>
              <w:rPr>
                <w:rFonts w:hint="eastAsia" w:eastAsiaTheme="minorEastAsia"/>
                <w:sz w:val="24"/>
              </w:rPr>
              <w:t>南海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因作业水深等客观因素</w:t>
            </w:r>
            <w:r>
              <w:rPr>
                <w:rFonts w:hint="eastAsia" w:eastAsiaTheme="minorEastAsia"/>
                <w:sz w:val="24"/>
              </w:rPr>
              <w:t>，部分产品仍在攻关</w:t>
            </w:r>
            <w:r>
              <w:rPr>
                <w:rFonts w:hint="eastAsia" w:eastAsiaTheme="minorEastAsia"/>
                <w:sz w:val="24"/>
                <w:lang w:eastAsia="zh-CN"/>
              </w:rPr>
              <w:t>，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替代空间相对较大</w:t>
            </w:r>
            <w:r>
              <w:rPr>
                <w:rFonts w:hint="eastAsia" w:eastAsiaTheme="minorEastAsia"/>
                <w:sz w:val="24"/>
              </w:rPr>
              <w:t>。</w:t>
            </w:r>
          </w:p>
          <w:p>
            <w:pPr>
              <w:rPr>
                <w:rFonts w:hint="eastAsia" w:eastAsiaTheme="minorEastAsia"/>
                <w:sz w:val="24"/>
              </w:rPr>
            </w:pPr>
          </w:p>
          <w:p>
            <w:pPr>
              <w:rPr>
                <w:rFonts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Q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6</w:t>
            </w:r>
            <w:r>
              <w:rPr>
                <w:rFonts w:hint="eastAsia" w:eastAsiaTheme="minorEastAsia"/>
                <w:sz w:val="24"/>
              </w:rPr>
              <w:t>：能源物流板块上半年利润下滑原因及下半年修复逻辑？</w:t>
            </w:r>
          </w:p>
          <w:p>
            <w:pPr>
              <w:rPr>
                <w:rFonts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A：能源物流服务产业近年来持续为公司提供稳定的收益。上半年受地缘局势影响，国际油价大幅上涨，公司部分油气副产品采购价格同比抬升，同时下游需求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减</w:t>
            </w:r>
            <w:r>
              <w:rPr>
                <w:rFonts w:hint="eastAsia" w:eastAsiaTheme="minorEastAsia"/>
                <w:sz w:val="24"/>
              </w:rPr>
              <w:t>弱，销售价格提升空间有限，成本端上涨压力向下传导受到明显制约，购销两端走势错配、价差显著收窄。下半年，公司将从采购、市场、运营三端协同发力，推动油气副产品销售业务经营改善。</w:t>
            </w:r>
          </w:p>
          <w:p>
            <w:pPr>
              <w:rPr>
                <w:rFonts w:eastAsiaTheme="minorEastAsia"/>
                <w:sz w:val="24"/>
              </w:rPr>
            </w:pPr>
          </w:p>
          <w:p>
            <w:pPr>
              <w:rPr>
                <w:rFonts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Q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7</w:t>
            </w:r>
            <w:r>
              <w:rPr>
                <w:rFonts w:hint="eastAsia" w:eastAsiaTheme="minorEastAsia"/>
                <w:sz w:val="24"/>
              </w:rPr>
              <w:t>：凝析油销售为什么交给公司？定价机制和公司优势是什么？</w:t>
            </w:r>
          </w:p>
          <w:p>
            <w:pPr>
              <w:rPr>
                <w:rFonts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A：凝析油资源分布非常分散，南北合计约17个接收终端，规模大小不一，品质不尽相同，需要强大的销售协调能力，包括运输能力和专门协调队伍。公司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优势在于可以为客户提供</w:t>
            </w:r>
            <w:r>
              <w:rPr>
                <w:rFonts w:hint="eastAsia" w:eastAsiaTheme="minorEastAsia"/>
                <w:sz w:val="24"/>
              </w:rPr>
              <w:t>从资源获取、仓储中转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到</w:t>
            </w:r>
            <w:r>
              <w:rPr>
                <w:rFonts w:hint="eastAsia" w:eastAsiaTheme="minorEastAsia"/>
                <w:sz w:val="24"/>
              </w:rPr>
              <w:t>物流运输的全链条、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一体化的</w:t>
            </w:r>
            <w:r>
              <w:rPr>
                <w:rFonts w:hint="eastAsia" w:eastAsiaTheme="minorEastAsia"/>
                <w:sz w:val="24"/>
                <w:lang w:eastAsia="zh-CN"/>
              </w:rPr>
              <w:t>凝析油销售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服务</w:t>
            </w:r>
            <w:r>
              <w:rPr>
                <w:rFonts w:hint="eastAsia" w:eastAsiaTheme="minorEastAsia"/>
                <w:sz w:val="24"/>
              </w:rPr>
              <w:t>。</w:t>
            </w:r>
          </w:p>
          <w:p>
            <w:pPr>
              <w:rPr>
                <w:rFonts w:eastAsiaTheme="minorEastAsia"/>
                <w:sz w:val="24"/>
              </w:rPr>
            </w:pPr>
          </w:p>
          <w:p>
            <w:pPr>
              <w:rPr>
                <w:rFonts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Q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8</w:t>
            </w:r>
            <w:r>
              <w:rPr>
                <w:rFonts w:hint="eastAsia" w:eastAsiaTheme="minorEastAsia"/>
                <w:sz w:val="24"/>
              </w:rPr>
              <w:t>：LNG运输船业务的盈利模式、船队规模及在公司收入利润中的贡献？</w:t>
            </w:r>
          </w:p>
          <w:p>
            <w:pPr>
              <w:rPr>
                <w:rFonts w:hint="eastAsia"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A：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公司</w:t>
            </w:r>
            <w:r>
              <w:rPr>
                <w:rFonts w:hint="eastAsia" w:eastAsiaTheme="minorEastAsia"/>
                <w:sz w:val="24"/>
              </w:rPr>
              <w:t>LNG运力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居国内前三，</w:t>
            </w:r>
            <w:r>
              <w:rPr>
                <w:rFonts w:hint="eastAsia" w:eastAsiaTheme="minorEastAsia"/>
                <w:sz w:val="24"/>
              </w:rPr>
              <w:t>主要是通过参股方式参与大型LNG运输船，船舶主要用于集团内单位使用。相关合同都是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长期协议</w:t>
            </w:r>
            <w:r>
              <w:rPr>
                <w:rFonts w:hint="eastAsia" w:eastAsiaTheme="minorEastAsia"/>
                <w:sz w:val="24"/>
              </w:rPr>
              <w:t>，与LNG价格高低不直接挂钩，公司不会享受气价上涨带来的利润弹性，也不承担价格下跌风险，属于稳定回报型资产。</w:t>
            </w:r>
          </w:p>
          <w:p>
            <w:pPr>
              <w:rPr>
                <w:rFonts w:hint="eastAsia" w:eastAsiaTheme="minorEastAsia"/>
                <w:sz w:val="24"/>
              </w:rPr>
            </w:pPr>
          </w:p>
          <w:p>
            <w:pPr>
              <w:rPr>
                <w:rFonts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Q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9</w:t>
            </w:r>
            <w:r>
              <w:rPr>
                <w:rFonts w:hint="eastAsia" w:eastAsiaTheme="minorEastAsia"/>
                <w:sz w:val="24"/>
              </w:rPr>
              <w:t>：CCUS、氢能、储能等新能源业务进展如何？</w:t>
            </w:r>
          </w:p>
          <w:p>
            <w:pPr>
              <w:rPr>
                <w:rFonts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A：CCUS方面，公司已自主研发脱碳膜，并在脱碳膜基础上开发脱碳装置</w:t>
            </w:r>
            <w:r>
              <w:rPr>
                <w:rFonts w:hint="eastAsia" w:eastAsiaTheme="minorEastAsia"/>
                <w:sz w:val="24"/>
                <w:lang w:eastAsia="zh-CN"/>
              </w:rPr>
              <w:t>。</w:t>
            </w:r>
            <w:r>
              <w:rPr>
                <w:rFonts w:hint="eastAsia" w:eastAsiaTheme="minorEastAsia"/>
                <w:sz w:val="24"/>
              </w:rPr>
              <w:t>氢能方面，技术方面已经过关，但仍必须上规模才具备经济性，当前核心问题不在制氢技术本身，而在于制氢之后氢的运输、储存以及后端应用的价值化。储能方面，配套海上风光储一体化服务</w:t>
            </w:r>
            <w:r>
              <w:rPr>
                <w:rFonts w:hint="eastAsia" w:eastAsiaTheme="minorEastAsia"/>
                <w:sz w:val="24"/>
                <w:lang w:eastAsia="zh-CN"/>
              </w:rPr>
              <w:t>，</w:t>
            </w:r>
            <w:r>
              <w:rPr>
                <w:rFonts w:hint="eastAsia" w:eastAsiaTheme="minorEastAsia"/>
                <w:sz w:val="24"/>
              </w:rPr>
              <w:t>公司主要做海上整体设计集成、海上适用性改造与撬装，以及储能体系和电池智能化操作系统的自主开发。</w:t>
            </w:r>
          </w:p>
          <w:p>
            <w:pPr>
              <w:rPr>
                <w:rFonts w:eastAsiaTheme="minorEastAsia"/>
                <w:sz w:val="24"/>
              </w:rPr>
            </w:pPr>
          </w:p>
          <w:p>
            <w:pPr>
              <w:rPr>
                <w:rFonts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Q</w:t>
            </w:r>
            <w:r>
              <w:rPr>
                <w:rFonts w:eastAsiaTheme="minorEastAsia"/>
                <w:sz w:val="24"/>
              </w:rPr>
              <w:t>1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0</w:t>
            </w:r>
            <w:r>
              <w:rPr>
                <w:rFonts w:hint="eastAsia" w:eastAsiaTheme="minorEastAsia"/>
                <w:sz w:val="24"/>
              </w:rPr>
              <w:t>：海上风电运维业务的发展战略和利润率水平如何？</w:t>
            </w:r>
          </w:p>
          <w:p>
            <w:pPr>
              <w:rPr>
                <w:rFonts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A：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公司</w:t>
            </w:r>
            <w:r>
              <w:rPr>
                <w:rFonts w:hint="eastAsia" w:eastAsiaTheme="minorEastAsia"/>
                <w:sz w:val="24"/>
              </w:rPr>
              <w:t>作为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中国海油</w:t>
            </w:r>
            <w:r>
              <w:rPr>
                <w:rFonts w:hint="eastAsia" w:eastAsiaTheme="minorEastAsia"/>
                <w:sz w:val="24"/>
              </w:rPr>
              <w:t>内海上风电运维的主体，已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初步实现</w:t>
            </w:r>
            <w:r>
              <w:rPr>
                <w:rFonts w:hint="eastAsia" w:eastAsiaTheme="minorEastAsia"/>
                <w:sz w:val="24"/>
              </w:rPr>
              <w:t>技术、装备和人才储备。虽然风电场建设期对公司直接贡献有限，但长期的运维服务将带来可观且稳定的增量收入，是公司“第二增长曲线”重要来源。公司聚焦技术要求高、竞争壁垒较强的中远海运维市场，区别于竞争激烈的近海市场，盈利水平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相对</w:t>
            </w:r>
            <w:r>
              <w:rPr>
                <w:rFonts w:hint="eastAsia" w:eastAsiaTheme="minorEastAsia"/>
                <w:sz w:val="24"/>
              </w:rPr>
              <w:t>有保障。</w:t>
            </w:r>
          </w:p>
          <w:p>
            <w:pPr>
              <w:rPr>
                <w:rFonts w:eastAsiaTheme="minorEastAsia"/>
                <w:sz w:val="24"/>
              </w:rPr>
            </w:pPr>
          </w:p>
          <w:p>
            <w:pPr>
              <w:rPr>
                <w:rFonts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Q</w:t>
            </w:r>
            <w:r>
              <w:rPr>
                <w:rFonts w:eastAsiaTheme="minorEastAsia"/>
                <w:sz w:val="24"/>
              </w:rPr>
              <w:t>1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1</w:t>
            </w:r>
            <w:r>
              <w:rPr>
                <w:rFonts w:hint="eastAsia" w:eastAsiaTheme="minorEastAsia"/>
                <w:sz w:val="24"/>
              </w:rPr>
              <w:t>：公司出海模式是怎样的？海外业务定位与拓展方式？</w:t>
            </w:r>
          </w:p>
          <w:p>
            <w:pPr>
              <w:rPr>
                <w:rFonts w:hint="eastAsia"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A：“走出去”是公司战略选择，公司将秉持长期主义，坚持“聚焦主业、强内拓外”，深化“4+N”海外布局，推行“一区一策”差异化发展策略，按照“优先发展中东亚太、稳步推进非洲北美、积极培育拉美中亚”的战略选区思路，围绕 13 类核心产品、15 项优势技术服务分类开拓市场。</w:t>
            </w:r>
          </w:p>
          <w:p>
            <w:pPr>
              <w:rPr>
                <w:rFonts w:hint="eastAsia" w:eastAsiaTheme="minorEastAsia"/>
                <w:sz w:val="24"/>
              </w:rPr>
            </w:pPr>
          </w:p>
          <w:p>
            <w:pPr>
              <w:rPr>
                <w:rFonts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Q</w:t>
            </w:r>
            <w:r>
              <w:rPr>
                <w:rFonts w:eastAsiaTheme="minorEastAsia"/>
                <w:sz w:val="24"/>
              </w:rPr>
              <w:t>1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2</w:t>
            </w:r>
            <w:r>
              <w:rPr>
                <w:rFonts w:hint="eastAsia" w:eastAsiaTheme="minorEastAsia"/>
                <w:sz w:val="24"/>
              </w:rPr>
              <w:t>：一体化总包的价格和利润率水平如何？商业模式是怎样的？</w:t>
            </w:r>
          </w:p>
          <w:p>
            <w:pPr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 w:eastAsiaTheme="minorEastAsia"/>
                <w:sz w:val="24"/>
              </w:rPr>
              <w:t>A：公司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业务多元、产业链长，一体化总包</w:t>
            </w:r>
            <w:r>
              <w:rPr>
                <w:rFonts w:hint="eastAsia" w:eastAsiaTheme="minorEastAsia"/>
                <w:sz w:val="24"/>
              </w:rPr>
              <w:t>模式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可以充分发挥公司优势。</w:t>
            </w:r>
          </w:p>
          <w:p>
            <w:pPr>
              <w:rPr>
                <w:rFonts w:hint="eastAsia"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但目前大多数业务仍集中在以项目计费、“产品输出+服务”的解决方案模式，即产品单独定价、服务单独定价。总包模式是公司非常希望推动的方向，目前在渤海推进了两个项目，正在跟踪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其他海域及陆地相关需求</w:t>
            </w:r>
            <w:r>
              <w:rPr>
                <w:rFonts w:hint="eastAsia" w:eastAsiaTheme="minorEastAsia"/>
                <w:sz w:val="24"/>
              </w:rPr>
              <w:t>。</w:t>
            </w:r>
          </w:p>
          <w:p>
            <w:pPr>
              <w:rPr>
                <w:rFonts w:hint="eastAsia" w:eastAsiaTheme="minorEastAsia"/>
                <w:sz w:val="24"/>
              </w:rPr>
            </w:pPr>
          </w:p>
          <w:p>
            <w:pPr>
              <w:rPr>
                <w:rFonts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Q</w:t>
            </w:r>
            <w:r>
              <w:rPr>
                <w:rFonts w:eastAsiaTheme="minorEastAsia"/>
                <w:sz w:val="24"/>
              </w:rPr>
              <w:t>1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rFonts w:hint="eastAsia" w:eastAsiaTheme="minorEastAsia"/>
                <w:sz w:val="24"/>
              </w:rPr>
              <w:t>：公司分红政策、研发投入全年指引及降本增效目标如何？</w:t>
            </w:r>
          </w:p>
          <w:p>
            <w:pPr>
              <w:rPr>
                <w:rFonts w:eastAsiaTheme="minorEastAsia"/>
                <w:sz w:val="24"/>
              </w:rPr>
            </w:pPr>
            <w:r>
              <w:rPr>
                <w:rFonts w:hint="eastAsia" w:eastAsiaTheme="minorEastAsia"/>
                <w:sz w:val="24"/>
              </w:rPr>
              <w:t>A：分红方面，公司坚持长期主义，分红比例近几年基本保持30%以上</w:t>
            </w:r>
            <w:r>
              <w:rPr>
                <w:rFonts w:hint="eastAsia" w:eastAsiaTheme="minorEastAsia"/>
                <w:sz w:val="24"/>
                <w:lang w:eastAsia="zh-CN"/>
              </w:rPr>
              <w:t>，</w:t>
            </w:r>
            <w:r>
              <w:rPr>
                <w:rFonts w:hint="eastAsia" w:eastAsiaTheme="minorEastAsia"/>
                <w:sz w:val="24"/>
              </w:rPr>
              <w:t>2025年为38.5%</w:t>
            </w:r>
            <w:r>
              <w:rPr>
                <w:rFonts w:hint="eastAsia" w:eastAsiaTheme="minorEastAsia"/>
                <w:sz w:val="24"/>
                <w:lang w:eastAsia="zh-CN"/>
              </w:rPr>
              <w:t>。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公司</w:t>
            </w:r>
            <w:r>
              <w:rPr>
                <w:rFonts w:hint="eastAsia" w:eastAsiaTheme="minorEastAsia"/>
                <w:sz w:val="24"/>
              </w:rPr>
              <w:t>未来将坚持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稳健、可持续的分红政策</w:t>
            </w:r>
            <w:r>
              <w:rPr>
                <w:rFonts w:hint="eastAsia" w:eastAsiaTheme="minorEastAsia"/>
                <w:sz w:val="24"/>
              </w:rPr>
              <w:t>，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力争分红比例与绝对值的稳增长</w:t>
            </w:r>
            <w:r>
              <w:rPr>
                <w:rFonts w:hint="eastAsia" w:eastAsiaTheme="minorEastAsia"/>
                <w:sz w:val="24"/>
              </w:rPr>
              <w:t>。研发方面，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公司实施科研项目倍增计划，</w:t>
            </w:r>
            <w:r>
              <w:rPr>
                <w:rFonts w:hint="eastAsia" w:eastAsiaTheme="minorEastAsia"/>
                <w:sz w:val="24"/>
              </w:rPr>
              <w:t>上半年研发费用同比+48%，增加约2亿元，全年预计增长15%-20%。资源重点倾斜能源技术、低碳环保数字化两大板块，聚焦拳头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产品升级与</w:t>
            </w:r>
            <w:r>
              <w:rPr>
                <w:rFonts w:hint="eastAsia" w:eastAsiaTheme="minorEastAsia"/>
                <w:sz w:val="24"/>
              </w:rPr>
              <w:t>前瞻性布局。降本增效方面，三大路径：商务模式优化</w:t>
            </w:r>
            <w:r>
              <w:rPr>
                <w:rFonts w:hint="eastAsia" w:eastAsiaTheme="minorEastAsia"/>
                <w:sz w:val="24"/>
                <w:lang w:val="en-US" w:eastAsia="zh-CN"/>
              </w:rPr>
              <w:t>与</w:t>
            </w:r>
            <w:r>
              <w:rPr>
                <w:rFonts w:hint="eastAsia" w:eastAsiaTheme="minorEastAsia"/>
                <w:sz w:val="24"/>
              </w:rPr>
              <w:t>集中采购降本；智能化机械化减少外包人力；国产化替代。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hint="eastAsia" w:ascii="Arial" w:hAnsi="Arial"/>
                <w:bCs/>
                <w:sz w:val="24"/>
              </w:rPr>
              <w:t>附件清单（如有）</w:t>
            </w:r>
          </w:p>
        </w:tc>
        <w:tc>
          <w:tcPr>
            <w:tcW w:w="4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Arial" w:hAnsi="Arial"/>
                <w:bCs/>
                <w:sz w:val="24"/>
              </w:rPr>
            </w:pPr>
            <w:r>
              <w:rPr>
                <w:rFonts w:hint="eastAsia" w:ascii="Arial" w:hAnsi="Arial"/>
                <w:bCs/>
                <w:sz w:val="24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hAnsi="Arial"/>
                <w:bCs/>
                <w:sz w:val="24"/>
              </w:rPr>
            </w:pPr>
            <w:r>
              <w:rPr>
                <w:rFonts w:hint="eastAsia" w:ascii="Arial" w:hAnsi="Arial"/>
                <w:bCs/>
                <w:sz w:val="24"/>
              </w:rPr>
              <w:t>备注</w:t>
            </w:r>
          </w:p>
        </w:tc>
        <w:tc>
          <w:tcPr>
            <w:tcW w:w="4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Arial" w:hAnsi="Arial"/>
                <w:bCs/>
                <w:sz w:val="24"/>
              </w:rPr>
            </w:pPr>
          </w:p>
          <w:p>
            <w:pPr>
              <w:spacing w:line="360" w:lineRule="auto"/>
              <w:rPr>
                <w:rFonts w:ascii="Arial" w:hAnsi="Arial"/>
                <w:bCs/>
                <w:sz w:val="24"/>
              </w:rPr>
            </w:pPr>
          </w:p>
        </w:tc>
      </w:tr>
    </w:tbl>
    <w:p>
      <w:pPr>
        <w:spacing w:line="360" w:lineRule="auto"/>
      </w:pP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6AF"/>
    <w:rsid w:val="000064E8"/>
    <w:rsid w:val="00013A12"/>
    <w:rsid w:val="00014730"/>
    <w:rsid w:val="0001671F"/>
    <w:rsid w:val="000170BD"/>
    <w:rsid w:val="000249CF"/>
    <w:rsid w:val="000322B8"/>
    <w:rsid w:val="000514E2"/>
    <w:rsid w:val="00064957"/>
    <w:rsid w:val="0007152A"/>
    <w:rsid w:val="00092E77"/>
    <w:rsid w:val="000959C1"/>
    <w:rsid w:val="00095F49"/>
    <w:rsid w:val="000B2D26"/>
    <w:rsid w:val="000B5A0A"/>
    <w:rsid w:val="000C39CE"/>
    <w:rsid w:val="000C4415"/>
    <w:rsid w:val="000C57D5"/>
    <w:rsid w:val="000D0C28"/>
    <w:rsid w:val="000E3B6B"/>
    <w:rsid w:val="000E7A0D"/>
    <w:rsid w:val="000F0D13"/>
    <w:rsid w:val="000F3391"/>
    <w:rsid w:val="00102C7B"/>
    <w:rsid w:val="00120BE7"/>
    <w:rsid w:val="00131336"/>
    <w:rsid w:val="00133145"/>
    <w:rsid w:val="00133934"/>
    <w:rsid w:val="00145654"/>
    <w:rsid w:val="00145874"/>
    <w:rsid w:val="0015176B"/>
    <w:rsid w:val="00160CB4"/>
    <w:rsid w:val="001640C6"/>
    <w:rsid w:val="00166E1D"/>
    <w:rsid w:val="00172322"/>
    <w:rsid w:val="00196E68"/>
    <w:rsid w:val="001B2B5A"/>
    <w:rsid w:val="001B5980"/>
    <w:rsid w:val="001C3EE5"/>
    <w:rsid w:val="001C5E58"/>
    <w:rsid w:val="001C676C"/>
    <w:rsid w:val="001C7FAB"/>
    <w:rsid w:val="001E701A"/>
    <w:rsid w:val="001F2BC6"/>
    <w:rsid w:val="001F53CD"/>
    <w:rsid w:val="00201181"/>
    <w:rsid w:val="00205C9B"/>
    <w:rsid w:val="002138F3"/>
    <w:rsid w:val="00217AD1"/>
    <w:rsid w:val="002234F1"/>
    <w:rsid w:val="00225AE2"/>
    <w:rsid w:val="00225F72"/>
    <w:rsid w:val="00231B7C"/>
    <w:rsid w:val="00232F5E"/>
    <w:rsid w:val="00240049"/>
    <w:rsid w:val="00251396"/>
    <w:rsid w:val="00262377"/>
    <w:rsid w:val="0026628B"/>
    <w:rsid w:val="002917B0"/>
    <w:rsid w:val="00295886"/>
    <w:rsid w:val="0029714B"/>
    <w:rsid w:val="002A2354"/>
    <w:rsid w:val="002A7C64"/>
    <w:rsid w:val="002B3178"/>
    <w:rsid w:val="002B4C51"/>
    <w:rsid w:val="002B709E"/>
    <w:rsid w:val="002C37B7"/>
    <w:rsid w:val="002D2D15"/>
    <w:rsid w:val="002D7106"/>
    <w:rsid w:val="002D71D3"/>
    <w:rsid w:val="002F08B5"/>
    <w:rsid w:val="002F105B"/>
    <w:rsid w:val="002F5019"/>
    <w:rsid w:val="002F57FB"/>
    <w:rsid w:val="003045BD"/>
    <w:rsid w:val="0032142A"/>
    <w:rsid w:val="00337B48"/>
    <w:rsid w:val="00375169"/>
    <w:rsid w:val="00381350"/>
    <w:rsid w:val="0038279B"/>
    <w:rsid w:val="0038654F"/>
    <w:rsid w:val="00392023"/>
    <w:rsid w:val="00392EE5"/>
    <w:rsid w:val="003932E8"/>
    <w:rsid w:val="00396048"/>
    <w:rsid w:val="003A2701"/>
    <w:rsid w:val="003A38F1"/>
    <w:rsid w:val="003B0A80"/>
    <w:rsid w:val="003C2D07"/>
    <w:rsid w:val="003C3CB2"/>
    <w:rsid w:val="003D4279"/>
    <w:rsid w:val="003D4E0A"/>
    <w:rsid w:val="003E0FCB"/>
    <w:rsid w:val="003E50AE"/>
    <w:rsid w:val="003F0C6C"/>
    <w:rsid w:val="003F3522"/>
    <w:rsid w:val="0040026C"/>
    <w:rsid w:val="004115C5"/>
    <w:rsid w:val="00420C25"/>
    <w:rsid w:val="004225C7"/>
    <w:rsid w:val="00425AD3"/>
    <w:rsid w:val="004261A5"/>
    <w:rsid w:val="00456B57"/>
    <w:rsid w:val="00461F34"/>
    <w:rsid w:val="00483104"/>
    <w:rsid w:val="0048421B"/>
    <w:rsid w:val="0049413B"/>
    <w:rsid w:val="00494B49"/>
    <w:rsid w:val="004A2313"/>
    <w:rsid w:val="004A48AF"/>
    <w:rsid w:val="004A5953"/>
    <w:rsid w:val="004A5CD1"/>
    <w:rsid w:val="004A7354"/>
    <w:rsid w:val="004B64F0"/>
    <w:rsid w:val="004B6CCB"/>
    <w:rsid w:val="004C68C2"/>
    <w:rsid w:val="004D50EC"/>
    <w:rsid w:val="004E1560"/>
    <w:rsid w:val="004E2FB7"/>
    <w:rsid w:val="004F6986"/>
    <w:rsid w:val="004F7677"/>
    <w:rsid w:val="005028F2"/>
    <w:rsid w:val="00502AC1"/>
    <w:rsid w:val="00505C7F"/>
    <w:rsid w:val="00512930"/>
    <w:rsid w:val="00513939"/>
    <w:rsid w:val="00516029"/>
    <w:rsid w:val="0051704B"/>
    <w:rsid w:val="00520481"/>
    <w:rsid w:val="005306D2"/>
    <w:rsid w:val="005309C8"/>
    <w:rsid w:val="005329E3"/>
    <w:rsid w:val="0053346B"/>
    <w:rsid w:val="00540D89"/>
    <w:rsid w:val="005415B8"/>
    <w:rsid w:val="005569B7"/>
    <w:rsid w:val="00576C16"/>
    <w:rsid w:val="0058549E"/>
    <w:rsid w:val="005A675E"/>
    <w:rsid w:val="005B2535"/>
    <w:rsid w:val="005B2C08"/>
    <w:rsid w:val="005C0791"/>
    <w:rsid w:val="005E6060"/>
    <w:rsid w:val="005F7998"/>
    <w:rsid w:val="006061B0"/>
    <w:rsid w:val="00613CB3"/>
    <w:rsid w:val="00616DF7"/>
    <w:rsid w:val="00624A9A"/>
    <w:rsid w:val="006339AA"/>
    <w:rsid w:val="00640637"/>
    <w:rsid w:val="006408CD"/>
    <w:rsid w:val="00642E5E"/>
    <w:rsid w:val="00647EF4"/>
    <w:rsid w:val="00667668"/>
    <w:rsid w:val="00670515"/>
    <w:rsid w:val="00674B45"/>
    <w:rsid w:val="006853DC"/>
    <w:rsid w:val="006A5B5C"/>
    <w:rsid w:val="006A672C"/>
    <w:rsid w:val="006B23BF"/>
    <w:rsid w:val="006B31D9"/>
    <w:rsid w:val="006C55E7"/>
    <w:rsid w:val="006D0D9C"/>
    <w:rsid w:val="006D497F"/>
    <w:rsid w:val="006E211A"/>
    <w:rsid w:val="006E3954"/>
    <w:rsid w:val="006E6535"/>
    <w:rsid w:val="00700F38"/>
    <w:rsid w:val="007207CB"/>
    <w:rsid w:val="0074245B"/>
    <w:rsid w:val="007463C9"/>
    <w:rsid w:val="007500D3"/>
    <w:rsid w:val="00765D8E"/>
    <w:rsid w:val="00767BBE"/>
    <w:rsid w:val="007740D1"/>
    <w:rsid w:val="00781232"/>
    <w:rsid w:val="0078494D"/>
    <w:rsid w:val="00790145"/>
    <w:rsid w:val="00791A85"/>
    <w:rsid w:val="007A4BB1"/>
    <w:rsid w:val="007A5106"/>
    <w:rsid w:val="007A70FA"/>
    <w:rsid w:val="007B4526"/>
    <w:rsid w:val="007B4B1C"/>
    <w:rsid w:val="007D2AA9"/>
    <w:rsid w:val="007D2DAD"/>
    <w:rsid w:val="007D6C5F"/>
    <w:rsid w:val="007F3F8D"/>
    <w:rsid w:val="007F52F9"/>
    <w:rsid w:val="00814B49"/>
    <w:rsid w:val="00820A07"/>
    <w:rsid w:val="00837D86"/>
    <w:rsid w:val="0084183B"/>
    <w:rsid w:val="008418D3"/>
    <w:rsid w:val="00841B87"/>
    <w:rsid w:val="00842582"/>
    <w:rsid w:val="00844210"/>
    <w:rsid w:val="0084588A"/>
    <w:rsid w:val="00852F42"/>
    <w:rsid w:val="00857736"/>
    <w:rsid w:val="008673B9"/>
    <w:rsid w:val="00870841"/>
    <w:rsid w:val="00870E6D"/>
    <w:rsid w:val="00894C66"/>
    <w:rsid w:val="008A52A1"/>
    <w:rsid w:val="008D01E9"/>
    <w:rsid w:val="008D6D3B"/>
    <w:rsid w:val="008E16D4"/>
    <w:rsid w:val="008F0292"/>
    <w:rsid w:val="008F33BB"/>
    <w:rsid w:val="0090720B"/>
    <w:rsid w:val="009119E7"/>
    <w:rsid w:val="00915626"/>
    <w:rsid w:val="0092052F"/>
    <w:rsid w:val="00920A70"/>
    <w:rsid w:val="00931DF2"/>
    <w:rsid w:val="00935E6E"/>
    <w:rsid w:val="0094094D"/>
    <w:rsid w:val="00951C25"/>
    <w:rsid w:val="00952E2F"/>
    <w:rsid w:val="00953621"/>
    <w:rsid w:val="00955BD4"/>
    <w:rsid w:val="0096505E"/>
    <w:rsid w:val="009713F6"/>
    <w:rsid w:val="009734F6"/>
    <w:rsid w:val="0097646C"/>
    <w:rsid w:val="00982303"/>
    <w:rsid w:val="009837A5"/>
    <w:rsid w:val="009870C1"/>
    <w:rsid w:val="009A0AA8"/>
    <w:rsid w:val="009A0FDB"/>
    <w:rsid w:val="009A667A"/>
    <w:rsid w:val="009A6897"/>
    <w:rsid w:val="009A7E7D"/>
    <w:rsid w:val="009B0E27"/>
    <w:rsid w:val="009B0F31"/>
    <w:rsid w:val="009D0879"/>
    <w:rsid w:val="009D308E"/>
    <w:rsid w:val="009D4716"/>
    <w:rsid w:val="009D50D4"/>
    <w:rsid w:val="009F1F15"/>
    <w:rsid w:val="009F2007"/>
    <w:rsid w:val="009F4A15"/>
    <w:rsid w:val="00A016D7"/>
    <w:rsid w:val="00A06781"/>
    <w:rsid w:val="00A2008F"/>
    <w:rsid w:val="00A2669E"/>
    <w:rsid w:val="00A27FDB"/>
    <w:rsid w:val="00A32E27"/>
    <w:rsid w:val="00A46331"/>
    <w:rsid w:val="00A463D2"/>
    <w:rsid w:val="00A54A1D"/>
    <w:rsid w:val="00A56E13"/>
    <w:rsid w:val="00A64E11"/>
    <w:rsid w:val="00A73A14"/>
    <w:rsid w:val="00A749C5"/>
    <w:rsid w:val="00A7677A"/>
    <w:rsid w:val="00A7794B"/>
    <w:rsid w:val="00A80C96"/>
    <w:rsid w:val="00A91D99"/>
    <w:rsid w:val="00A9782D"/>
    <w:rsid w:val="00AA30E5"/>
    <w:rsid w:val="00AA751C"/>
    <w:rsid w:val="00AB1D47"/>
    <w:rsid w:val="00AC3F14"/>
    <w:rsid w:val="00AC4E60"/>
    <w:rsid w:val="00AE00F9"/>
    <w:rsid w:val="00AE6AAD"/>
    <w:rsid w:val="00AF0540"/>
    <w:rsid w:val="00AF50F0"/>
    <w:rsid w:val="00B02C2F"/>
    <w:rsid w:val="00B146C4"/>
    <w:rsid w:val="00B24015"/>
    <w:rsid w:val="00B266A9"/>
    <w:rsid w:val="00B32FB4"/>
    <w:rsid w:val="00B34808"/>
    <w:rsid w:val="00B366A7"/>
    <w:rsid w:val="00B51494"/>
    <w:rsid w:val="00B52C52"/>
    <w:rsid w:val="00B57DE2"/>
    <w:rsid w:val="00B61024"/>
    <w:rsid w:val="00B62DBF"/>
    <w:rsid w:val="00B63DDA"/>
    <w:rsid w:val="00B64A83"/>
    <w:rsid w:val="00B94426"/>
    <w:rsid w:val="00BA29F6"/>
    <w:rsid w:val="00BB6048"/>
    <w:rsid w:val="00BC04E8"/>
    <w:rsid w:val="00BC06D0"/>
    <w:rsid w:val="00BD605B"/>
    <w:rsid w:val="00C14210"/>
    <w:rsid w:val="00C17881"/>
    <w:rsid w:val="00C2418C"/>
    <w:rsid w:val="00C31F14"/>
    <w:rsid w:val="00C42181"/>
    <w:rsid w:val="00C61758"/>
    <w:rsid w:val="00C622EA"/>
    <w:rsid w:val="00C7176C"/>
    <w:rsid w:val="00C818BD"/>
    <w:rsid w:val="00C81F5B"/>
    <w:rsid w:val="00CA06AE"/>
    <w:rsid w:val="00CA2C89"/>
    <w:rsid w:val="00CA3859"/>
    <w:rsid w:val="00CD0EC1"/>
    <w:rsid w:val="00CD7D94"/>
    <w:rsid w:val="00CE53D2"/>
    <w:rsid w:val="00D02FF1"/>
    <w:rsid w:val="00D06044"/>
    <w:rsid w:val="00D07FB4"/>
    <w:rsid w:val="00D12A2E"/>
    <w:rsid w:val="00D140C0"/>
    <w:rsid w:val="00D22D90"/>
    <w:rsid w:val="00D3460C"/>
    <w:rsid w:val="00D44B7C"/>
    <w:rsid w:val="00D459BA"/>
    <w:rsid w:val="00D50E5F"/>
    <w:rsid w:val="00D6600B"/>
    <w:rsid w:val="00D67300"/>
    <w:rsid w:val="00D67AA4"/>
    <w:rsid w:val="00D72A6F"/>
    <w:rsid w:val="00D75EFF"/>
    <w:rsid w:val="00D762C1"/>
    <w:rsid w:val="00D87F10"/>
    <w:rsid w:val="00D915CA"/>
    <w:rsid w:val="00D91F02"/>
    <w:rsid w:val="00D92236"/>
    <w:rsid w:val="00D9302B"/>
    <w:rsid w:val="00D96AB6"/>
    <w:rsid w:val="00DA2171"/>
    <w:rsid w:val="00DA3392"/>
    <w:rsid w:val="00DA34B0"/>
    <w:rsid w:val="00DA6434"/>
    <w:rsid w:val="00DB0F03"/>
    <w:rsid w:val="00DB3D89"/>
    <w:rsid w:val="00DC1EC5"/>
    <w:rsid w:val="00DC26ED"/>
    <w:rsid w:val="00DD156D"/>
    <w:rsid w:val="00DE5486"/>
    <w:rsid w:val="00DF4270"/>
    <w:rsid w:val="00E1402E"/>
    <w:rsid w:val="00E2445B"/>
    <w:rsid w:val="00E26F36"/>
    <w:rsid w:val="00E27AE2"/>
    <w:rsid w:val="00E54867"/>
    <w:rsid w:val="00E65FD5"/>
    <w:rsid w:val="00E7621B"/>
    <w:rsid w:val="00E878A5"/>
    <w:rsid w:val="00E947C4"/>
    <w:rsid w:val="00EB501A"/>
    <w:rsid w:val="00EC087B"/>
    <w:rsid w:val="00EC140C"/>
    <w:rsid w:val="00EC4B5E"/>
    <w:rsid w:val="00ED2FEA"/>
    <w:rsid w:val="00ED5B82"/>
    <w:rsid w:val="00EF595C"/>
    <w:rsid w:val="00EF63B5"/>
    <w:rsid w:val="00F065EA"/>
    <w:rsid w:val="00F12982"/>
    <w:rsid w:val="00F46311"/>
    <w:rsid w:val="00F513C8"/>
    <w:rsid w:val="00F54829"/>
    <w:rsid w:val="00F55C2F"/>
    <w:rsid w:val="00F5728D"/>
    <w:rsid w:val="00F6363C"/>
    <w:rsid w:val="00F76932"/>
    <w:rsid w:val="00F804AA"/>
    <w:rsid w:val="00F80E18"/>
    <w:rsid w:val="00F8256E"/>
    <w:rsid w:val="00F828C0"/>
    <w:rsid w:val="00F84A96"/>
    <w:rsid w:val="00F852DF"/>
    <w:rsid w:val="00F90FBE"/>
    <w:rsid w:val="00F91EC5"/>
    <w:rsid w:val="00F930C8"/>
    <w:rsid w:val="00F9390C"/>
    <w:rsid w:val="00F94E49"/>
    <w:rsid w:val="00F959DE"/>
    <w:rsid w:val="00FA1E76"/>
    <w:rsid w:val="00FB2757"/>
    <w:rsid w:val="00FB2E13"/>
    <w:rsid w:val="00FB36AF"/>
    <w:rsid w:val="00FC63AA"/>
    <w:rsid w:val="00FD25EC"/>
    <w:rsid w:val="00FD7CDB"/>
    <w:rsid w:val="00FE3C40"/>
    <w:rsid w:val="00FE4171"/>
    <w:rsid w:val="00FF6B78"/>
    <w:rsid w:val="0130215C"/>
    <w:rsid w:val="043C35CC"/>
    <w:rsid w:val="06804512"/>
    <w:rsid w:val="06C65AE4"/>
    <w:rsid w:val="07F118A7"/>
    <w:rsid w:val="09E30FC8"/>
    <w:rsid w:val="0C654F6B"/>
    <w:rsid w:val="0D524167"/>
    <w:rsid w:val="108E0C2E"/>
    <w:rsid w:val="11E00E28"/>
    <w:rsid w:val="14B8165B"/>
    <w:rsid w:val="15E6367B"/>
    <w:rsid w:val="19B55927"/>
    <w:rsid w:val="1FD138FC"/>
    <w:rsid w:val="1FE47453"/>
    <w:rsid w:val="20B82087"/>
    <w:rsid w:val="22903F40"/>
    <w:rsid w:val="2428786F"/>
    <w:rsid w:val="250E6BFE"/>
    <w:rsid w:val="2FC015D3"/>
    <w:rsid w:val="300F2202"/>
    <w:rsid w:val="30E8054D"/>
    <w:rsid w:val="33C01926"/>
    <w:rsid w:val="34584414"/>
    <w:rsid w:val="370D1705"/>
    <w:rsid w:val="37697DF6"/>
    <w:rsid w:val="3B723B9D"/>
    <w:rsid w:val="3BC97D2E"/>
    <w:rsid w:val="3C9E1F83"/>
    <w:rsid w:val="40190FE2"/>
    <w:rsid w:val="40516596"/>
    <w:rsid w:val="424413B5"/>
    <w:rsid w:val="430420E0"/>
    <w:rsid w:val="462D28F6"/>
    <w:rsid w:val="486E3858"/>
    <w:rsid w:val="4F0A43C4"/>
    <w:rsid w:val="52EC50DE"/>
    <w:rsid w:val="56B525BD"/>
    <w:rsid w:val="579266F5"/>
    <w:rsid w:val="57CF1914"/>
    <w:rsid w:val="57DD63A7"/>
    <w:rsid w:val="57DF4838"/>
    <w:rsid w:val="5B6B7E52"/>
    <w:rsid w:val="5C9B4908"/>
    <w:rsid w:val="5E0D31DF"/>
    <w:rsid w:val="5E831ACF"/>
    <w:rsid w:val="5FCE799C"/>
    <w:rsid w:val="60A9304C"/>
    <w:rsid w:val="60D72176"/>
    <w:rsid w:val="610477C7"/>
    <w:rsid w:val="61727C75"/>
    <w:rsid w:val="6AEE7819"/>
    <w:rsid w:val="70BF5B75"/>
    <w:rsid w:val="72724C57"/>
    <w:rsid w:val="73194621"/>
    <w:rsid w:val="73D357FF"/>
    <w:rsid w:val="73E21972"/>
    <w:rsid w:val="754325AA"/>
    <w:rsid w:val="75BF06E8"/>
    <w:rsid w:val="76901005"/>
    <w:rsid w:val="776D1089"/>
    <w:rsid w:val="793A669D"/>
    <w:rsid w:val="799646AA"/>
    <w:rsid w:val="7AF74291"/>
    <w:rsid w:val="7DB33A51"/>
    <w:rsid w:val="7E9F0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semiHidden/>
    <w:unhideWhenUsed/>
    <w:qFormat/>
    <w:uiPriority w:val="99"/>
    <w:pPr>
      <w:jc w:val="left"/>
    </w:pPr>
  </w:style>
  <w:style w:type="paragraph" w:styleId="4">
    <w:name w:val="Body Text Indent 2"/>
    <w:basedOn w:val="1"/>
    <w:qFormat/>
    <w:uiPriority w:val="0"/>
    <w:pPr>
      <w:ind w:left="420"/>
    </w:pPr>
    <w:rPr>
      <w:rFonts w:asciiTheme="minorHAnsi" w:hAnsiTheme="minorHAnsi" w:eastAsiaTheme="minorEastAsia" w:cstheme="minorBidi"/>
      <w:b/>
      <w:sz w:val="24"/>
    </w:rPr>
  </w:style>
  <w:style w:type="paragraph" w:styleId="5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8"/>
    <w:semiHidden/>
    <w:unhideWhenUsed/>
    <w:qFormat/>
    <w:uiPriority w:val="99"/>
    <w:rPr>
      <w:b/>
      <w:bCs/>
    </w:rPr>
  </w:style>
  <w:style w:type="character" w:styleId="11">
    <w:name w:val="Hyperlink"/>
    <w:basedOn w:val="10"/>
    <w:semiHidden/>
    <w:unhideWhenUsed/>
    <w:uiPriority w:val="99"/>
    <w:rPr>
      <w:color w:val="0000FF"/>
      <w:u w:val="single"/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3">
    <w:name w:val="批注框文本 字符"/>
    <w:basedOn w:val="10"/>
    <w:link w:val="5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页眉 字符"/>
    <w:basedOn w:val="10"/>
    <w:link w:val="7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5">
    <w:name w:val="页脚 字符"/>
    <w:basedOn w:val="10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7">
    <w:name w:val="批注文字 字符"/>
    <w:basedOn w:val="10"/>
    <w:link w:val="3"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18">
    <w:name w:val="批注主题 字符"/>
    <w:basedOn w:val="17"/>
    <w:link w:val="8"/>
    <w:semiHidden/>
    <w:qFormat/>
    <w:uiPriority w:val="99"/>
    <w:rPr>
      <w:rFonts w:ascii="Calibri" w:hAnsi="Calibri" w:eastAsia="宋体" w:cs="Times New Roman"/>
      <w:b/>
      <w:bCs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773</Words>
  <Characters>4407</Characters>
  <Lines>36</Lines>
  <Paragraphs>10</Paragraphs>
  <TotalTime>8</TotalTime>
  <ScaleCrop>false</ScaleCrop>
  <LinksUpToDate>false</LinksUpToDate>
  <CharactersWithSpaces>5170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2026-10-08T01:47:00Z</dcterms:created>
  <dc:creator>Xu Zhengrong</dc:creator>
  <cp:lastModifiedBy>刘 辰</cp:lastModifiedBy>
  <cp:lastPrinted>2021-04-22T01:41:00Z</cp:lastPrinted>
  <dcterms:modified xsi:type="dcterms:W3CDTF">2026-10-08T04:40:11Z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EEE95A31192E4DA9B4C2FB1892E36C63</vt:lpwstr>
  </property>
  <property fmtid="{D5CDD505-2E9C-101B-9397-08002B2CF9AE}" pid="4" name="KSOTemplateDocerSaveRecord">
    <vt:lpwstr>eyJoZGlkIjoiN2QwNTFjYmIzN2RkMmFiMzk3NzZhNzQ2MTNkM2NiZTUiLCJ1c2VySWQiOiI0NDY0NTgyODUifQ==</vt:lpwstr>
  </property>
</Properties>
</file>