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A5217" w14:paraId="04BB9441" w14:textId="77777777">
        <w:trPr>
          <w:trHeight w:val="132"/>
        </w:trPr>
        <w:tc>
          <w:tcPr>
            <w:tcW w:w="4148" w:type="dxa"/>
          </w:tcPr>
          <w:p w14:paraId="75F58838" w14:textId="77777777" w:rsidR="002A5217" w:rsidRDefault="009C092B">
            <w:r>
              <w:rPr>
                <w:rFonts w:hint="eastAsia"/>
              </w:rPr>
              <w:t>证券代码：</w:t>
            </w:r>
            <w:r>
              <w:t>601607</w:t>
            </w:r>
          </w:p>
          <w:p w14:paraId="6777CCEB" w14:textId="77777777" w:rsidR="002A5217" w:rsidRDefault="002A5217"/>
        </w:tc>
        <w:tc>
          <w:tcPr>
            <w:tcW w:w="4148" w:type="dxa"/>
          </w:tcPr>
          <w:p w14:paraId="79FD47E2" w14:textId="77777777" w:rsidR="002A5217" w:rsidRDefault="009C092B">
            <w:pPr>
              <w:jc w:val="right"/>
            </w:pPr>
            <w:r>
              <w:rPr>
                <w:rFonts w:hint="eastAsia"/>
              </w:rPr>
              <w:t>证券简称：上海医药</w:t>
            </w:r>
          </w:p>
        </w:tc>
      </w:tr>
    </w:tbl>
    <w:p w14:paraId="2B332B80" w14:textId="77777777" w:rsidR="002A5217" w:rsidRDefault="009C092B">
      <w:pPr>
        <w:spacing w:line="440" w:lineRule="exact"/>
        <w:jc w:val="center"/>
        <w:rPr>
          <w:rStyle w:val="NormalCharacter"/>
          <w:rFonts w:ascii="宋体" w:hAnsi="宋体"/>
          <w:b/>
          <w:bCs/>
          <w:iCs/>
          <w:sz w:val="24"/>
        </w:rPr>
      </w:pPr>
      <w:r>
        <w:rPr>
          <w:rStyle w:val="NormalCharacter"/>
          <w:rFonts w:ascii="宋体" w:hAnsi="宋体"/>
          <w:b/>
          <w:bCs/>
          <w:iCs/>
          <w:sz w:val="24"/>
        </w:rPr>
        <w:t>上海医药</w:t>
      </w:r>
      <w:r>
        <w:rPr>
          <w:rStyle w:val="NormalCharacter"/>
          <w:rFonts w:ascii="宋体" w:hAnsi="宋体" w:hint="eastAsia"/>
          <w:b/>
          <w:bCs/>
          <w:iCs/>
          <w:sz w:val="24"/>
        </w:rPr>
        <w:t>集团</w:t>
      </w:r>
      <w:r>
        <w:rPr>
          <w:rStyle w:val="NormalCharacter"/>
          <w:rFonts w:ascii="宋体" w:hAnsi="宋体"/>
          <w:b/>
          <w:bCs/>
          <w:iCs/>
          <w:sz w:val="24"/>
        </w:rPr>
        <w:t>股份有限公司</w:t>
      </w:r>
    </w:p>
    <w:p w14:paraId="65189594" w14:textId="77777777" w:rsidR="002A5217" w:rsidRDefault="009C092B">
      <w:pPr>
        <w:spacing w:line="440" w:lineRule="exact"/>
        <w:jc w:val="center"/>
        <w:rPr>
          <w:rStyle w:val="NormalCharacter"/>
          <w:rFonts w:ascii="宋体" w:hAnsi="宋体"/>
          <w:b/>
          <w:bCs/>
          <w:iCs/>
          <w:sz w:val="24"/>
        </w:rPr>
      </w:pPr>
      <w:r>
        <w:rPr>
          <w:rStyle w:val="NormalCharacter"/>
          <w:rFonts w:ascii="宋体" w:hAnsi="宋体"/>
          <w:b/>
          <w:bCs/>
          <w:iCs/>
          <w:sz w:val="24"/>
        </w:rPr>
        <w:t>投资者关系活动记录表</w:t>
      </w:r>
    </w:p>
    <w:p w14:paraId="7B2F44ED" w14:textId="22225161" w:rsidR="002A5217" w:rsidRDefault="009C092B">
      <w:pPr>
        <w:spacing w:line="440" w:lineRule="exact"/>
        <w:rPr>
          <w:rStyle w:val="NormalCharacter"/>
          <w:rFonts w:ascii="宋体" w:hAnsi="宋体"/>
          <w:bCs/>
          <w:iCs/>
          <w:sz w:val="24"/>
        </w:rPr>
      </w:pPr>
      <w:r>
        <w:rPr>
          <w:rStyle w:val="NormalCharacter"/>
          <w:rFonts w:ascii="宋体" w:hAnsi="宋体"/>
          <w:bCs/>
          <w:iCs/>
          <w:sz w:val="24"/>
        </w:rPr>
        <w:t xml:space="preserve">                                                       编号：2026-00</w:t>
      </w:r>
      <w:r w:rsidR="007B3F51">
        <w:rPr>
          <w:rStyle w:val="NormalCharacter"/>
          <w:rFonts w:ascii="宋体" w:hAnsi="宋体"/>
          <w:bCs/>
          <w:iCs/>
          <w:sz w:val="24"/>
        </w:rPr>
        <w:t>9</w:t>
      </w:r>
    </w:p>
    <w:tbl>
      <w:tblPr>
        <w:tblW w:w="85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62"/>
        <w:gridCol w:w="7282"/>
      </w:tblGrid>
      <w:tr w:rsidR="002A5217" w14:paraId="77FBAC0D" w14:textId="77777777">
        <w:trPr>
          <w:trHeight w:val="1881"/>
          <w:jc w:val="center"/>
        </w:trPr>
        <w:tc>
          <w:tcPr>
            <w:tcW w:w="1262" w:type="dxa"/>
            <w:tcBorders>
              <w:top w:val="single" w:sz="4" w:space="0" w:color="000000"/>
              <w:left w:val="single" w:sz="4" w:space="0" w:color="000000"/>
              <w:bottom w:val="single" w:sz="4" w:space="0" w:color="000000"/>
              <w:right w:val="single" w:sz="4" w:space="0" w:color="000000"/>
            </w:tcBorders>
          </w:tcPr>
          <w:p w14:paraId="5F742318" w14:textId="77777777" w:rsidR="002A5217" w:rsidRDefault="009C092B">
            <w:pPr>
              <w:spacing w:line="440" w:lineRule="exact"/>
              <w:rPr>
                <w:rStyle w:val="NormalCharacter"/>
                <w:rFonts w:ascii="宋体" w:hAnsi="宋体"/>
                <w:bCs/>
                <w:iCs/>
                <w:sz w:val="24"/>
              </w:rPr>
            </w:pPr>
            <w:r>
              <w:rPr>
                <w:rStyle w:val="NormalCharacter"/>
                <w:rFonts w:ascii="宋体" w:hAnsi="宋体"/>
                <w:bCs/>
                <w:iCs/>
                <w:sz w:val="24"/>
              </w:rPr>
              <w:t>投资者关系活动类别</w:t>
            </w:r>
          </w:p>
          <w:p w14:paraId="0573383F" w14:textId="77777777" w:rsidR="002A5217" w:rsidRDefault="002A5217">
            <w:pPr>
              <w:spacing w:line="440" w:lineRule="exact"/>
              <w:rPr>
                <w:rStyle w:val="NormalCharacter"/>
                <w:rFonts w:ascii="宋体" w:hAnsi="宋体"/>
                <w:bCs/>
                <w:iCs/>
                <w:sz w:val="24"/>
              </w:rPr>
            </w:pPr>
          </w:p>
        </w:tc>
        <w:tc>
          <w:tcPr>
            <w:tcW w:w="7282" w:type="dxa"/>
            <w:tcBorders>
              <w:top w:val="single" w:sz="4" w:space="0" w:color="000000"/>
              <w:left w:val="single" w:sz="4" w:space="0" w:color="000000"/>
              <w:bottom w:val="single" w:sz="4" w:space="0" w:color="000000"/>
              <w:right w:val="single" w:sz="4" w:space="0" w:color="000000"/>
            </w:tcBorders>
          </w:tcPr>
          <w:p w14:paraId="30418B46" w14:textId="793619D1" w:rsidR="002A5217" w:rsidRDefault="009C092B">
            <w:pPr>
              <w:spacing w:line="440" w:lineRule="exact"/>
              <w:rPr>
                <w:rStyle w:val="NormalCharacter"/>
                <w:rFonts w:ascii="宋体" w:hAnsi="宋体"/>
                <w:bCs/>
                <w:iCs/>
                <w:sz w:val="24"/>
              </w:rPr>
            </w:pPr>
            <w:r>
              <w:rPr>
                <w:rStyle w:val="NormalCharacter"/>
                <w:rFonts w:ascii="宋体" w:hAnsi="宋体" w:hint="eastAsia"/>
                <w:bCs/>
                <w:iCs/>
                <w:sz w:val="24"/>
              </w:rPr>
              <w:t>□</w:t>
            </w:r>
            <w:r>
              <w:rPr>
                <w:rStyle w:val="NormalCharacter"/>
                <w:rFonts w:ascii="宋体" w:hAnsi="宋体"/>
                <w:sz w:val="24"/>
              </w:rPr>
              <w:t xml:space="preserve">特定对象调研        </w:t>
            </w:r>
            <w:r w:rsidR="007B3F51">
              <w:rPr>
                <w:rStyle w:val="NormalCharacter"/>
                <w:rFonts w:ascii="宋体" w:hAnsi="宋体"/>
                <w:bCs/>
                <w:iCs/>
                <w:sz w:val="24"/>
              </w:rPr>
              <w:sym w:font="Wingdings 2" w:char="F052"/>
            </w:r>
            <w:r>
              <w:rPr>
                <w:rStyle w:val="NormalCharacter"/>
                <w:rFonts w:ascii="宋体" w:hAnsi="宋体"/>
                <w:sz w:val="24"/>
              </w:rPr>
              <w:t>分析师会议</w:t>
            </w:r>
          </w:p>
          <w:p w14:paraId="5D88D3B8" w14:textId="7F3BA99F" w:rsidR="002A5217" w:rsidRDefault="009C092B">
            <w:pPr>
              <w:spacing w:line="440" w:lineRule="exact"/>
              <w:rPr>
                <w:rStyle w:val="NormalCharacter"/>
                <w:rFonts w:ascii="宋体" w:hAnsi="宋体"/>
                <w:bCs/>
                <w:iCs/>
                <w:sz w:val="24"/>
              </w:rPr>
            </w:pPr>
            <w:bookmarkStart w:id="0" w:name="OLE_LINK1"/>
            <w:r>
              <w:rPr>
                <w:rStyle w:val="NormalCharacter"/>
                <w:rFonts w:ascii="宋体" w:hAnsi="宋体" w:hint="eastAsia"/>
                <w:bCs/>
                <w:iCs/>
                <w:sz w:val="24"/>
              </w:rPr>
              <w:t>□</w:t>
            </w:r>
            <w:bookmarkEnd w:id="0"/>
            <w:r>
              <w:rPr>
                <w:rStyle w:val="NormalCharacter"/>
                <w:rFonts w:ascii="宋体" w:hAnsi="宋体"/>
                <w:sz w:val="24"/>
              </w:rPr>
              <w:t xml:space="preserve">媒体采访            </w:t>
            </w:r>
            <w:r w:rsidR="007B3F51">
              <w:rPr>
                <w:rStyle w:val="NormalCharacter"/>
                <w:rFonts w:ascii="宋体" w:hAnsi="宋体"/>
                <w:bCs/>
                <w:iCs/>
                <w:sz w:val="24"/>
              </w:rPr>
              <w:sym w:font="Wingdings 2" w:char="F052"/>
            </w:r>
            <w:r>
              <w:rPr>
                <w:rStyle w:val="NormalCharacter"/>
                <w:rFonts w:ascii="宋体" w:hAnsi="宋体"/>
                <w:sz w:val="24"/>
              </w:rPr>
              <w:t>业绩说明会</w:t>
            </w:r>
          </w:p>
          <w:p w14:paraId="652F2B22" w14:textId="77777777" w:rsidR="002A5217" w:rsidRDefault="009C092B">
            <w:pPr>
              <w:spacing w:line="440" w:lineRule="exact"/>
              <w:rPr>
                <w:rStyle w:val="NormalCharacter"/>
                <w:rFonts w:ascii="宋体" w:hAnsi="宋体"/>
                <w:bCs/>
                <w:iCs/>
                <w:sz w:val="24"/>
              </w:rPr>
            </w:pPr>
            <w:r>
              <w:rPr>
                <w:rStyle w:val="NormalCharacter"/>
                <w:rFonts w:ascii="宋体" w:hAnsi="宋体" w:hint="eastAsia"/>
                <w:bCs/>
                <w:iCs/>
                <w:sz w:val="24"/>
              </w:rPr>
              <w:t>□</w:t>
            </w:r>
            <w:r>
              <w:rPr>
                <w:rStyle w:val="NormalCharacter"/>
                <w:rFonts w:ascii="宋体" w:hAnsi="宋体"/>
                <w:sz w:val="24"/>
              </w:rPr>
              <w:t xml:space="preserve">新闻发布会          </w:t>
            </w:r>
            <w:bookmarkStart w:id="1" w:name="OLE_LINK3"/>
            <w:r>
              <w:rPr>
                <w:rStyle w:val="NormalCharacter"/>
                <w:rFonts w:ascii="宋体" w:hAnsi="宋体"/>
                <w:bCs/>
                <w:iCs/>
                <w:sz w:val="24"/>
              </w:rPr>
              <w:sym w:font="Wingdings 2" w:char="F052"/>
            </w:r>
            <w:bookmarkEnd w:id="1"/>
            <w:r>
              <w:rPr>
                <w:rStyle w:val="NormalCharacter"/>
                <w:rFonts w:ascii="宋体" w:hAnsi="宋体"/>
                <w:sz w:val="24"/>
              </w:rPr>
              <w:t>路演活动</w:t>
            </w:r>
          </w:p>
          <w:p w14:paraId="5D96A9C4" w14:textId="77777777" w:rsidR="002A5217" w:rsidRDefault="009C092B">
            <w:pPr>
              <w:tabs>
                <w:tab w:val="left" w:pos="3045"/>
                <w:tab w:val="center" w:pos="3199"/>
              </w:tabs>
              <w:spacing w:line="440" w:lineRule="exact"/>
              <w:ind w:left="1320" w:hangingChars="550" w:hanging="1320"/>
              <w:rPr>
                <w:rStyle w:val="NormalCharacter"/>
                <w:rFonts w:ascii="宋体" w:hAnsi="宋体"/>
                <w:bCs/>
                <w:iCs/>
                <w:sz w:val="24"/>
              </w:rPr>
            </w:pPr>
            <w:r>
              <w:rPr>
                <w:rStyle w:val="NormalCharacter"/>
                <w:rFonts w:ascii="宋体" w:hAnsi="宋体" w:hint="eastAsia"/>
                <w:bCs/>
                <w:iCs/>
                <w:sz w:val="24"/>
              </w:rPr>
              <w:t>□</w:t>
            </w:r>
            <w:r>
              <w:rPr>
                <w:rStyle w:val="NormalCharacter"/>
                <w:rFonts w:ascii="宋体" w:hAnsi="宋体"/>
                <w:sz w:val="24"/>
              </w:rPr>
              <w:t>现场参观</w:t>
            </w:r>
            <w:r>
              <w:rPr>
                <w:rStyle w:val="NormalCharacter"/>
                <w:rFonts w:ascii="宋体" w:hAnsi="宋体"/>
                <w:bCs/>
                <w:iCs/>
                <w:sz w:val="24"/>
              </w:rPr>
              <w:tab/>
              <w:t xml:space="preserve">           </w:t>
            </w:r>
            <w:bookmarkStart w:id="2" w:name="OLE_LINK2"/>
            <w:r>
              <w:rPr>
                <w:rStyle w:val="NormalCharacter"/>
                <w:rFonts w:ascii="宋体" w:hAnsi="宋体" w:hint="eastAsia"/>
                <w:bCs/>
                <w:iCs/>
                <w:sz w:val="24"/>
              </w:rPr>
              <w:t>□</w:t>
            </w:r>
            <w:bookmarkEnd w:id="2"/>
            <w:r>
              <w:rPr>
                <w:rStyle w:val="NormalCharacter"/>
                <w:rFonts w:ascii="宋体" w:hAnsi="宋体"/>
                <w:sz w:val="24"/>
              </w:rPr>
              <w:t>其他</w:t>
            </w:r>
            <w:r>
              <w:rPr>
                <w:rStyle w:val="NormalCharacter"/>
                <w:rFonts w:ascii="宋体" w:hAnsi="宋体" w:hint="eastAsia"/>
                <w:sz w:val="24"/>
                <w:u w:val="single"/>
              </w:rPr>
              <w:t xml:space="preserve"> </w:t>
            </w:r>
            <w:r>
              <w:rPr>
                <w:rStyle w:val="NormalCharacter"/>
                <w:rFonts w:ascii="宋体" w:hAnsi="宋体"/>
                <w:sz w:val="24"/>
                <w:u w:val="single"/>
              </w:rPr>
              <w:t xml:space="preserve">      </w:t>
            </w:r>
            <w:r>
              <w:rPr>
                <w:rStyle w:val="NormalCharacter"/>
                <w:rFonts w:ascii="宋体" w:hAnsi="宋体" w:hint="eastAsia"/>
                <w:sz w:val="24"/>
                <w:u w:val="single"/>
              </w:rPr>
              <w:t xml:space="preserve"> </w:t>
            </w:r>
            <w:r>
              <w:rPr>
                <w:rStyle w:val="NormalCharacter"/>
                <w:rFonts w:ascii="宋体" w:hAnsi="宋体"/>
                <w:sz w:val="24"/>
                <w:u w:val="single"/>
              </w:rPr>
              <w:t xml:space="preserve">       </w:t>
            </w:r>
            <w:r>
              <w:rPr>
                <w:rStyle w:val="NormalCharacter"/>
                <w:rFonts w:ascii="宋体" w:hAnsi="宋体" w:hint="eastAsia"/>
                <w:sz w:val="24"/>
                <w:u w:val="single"/>
              </w:rPr>
              <w:t xml:space="preserve"> </w:t>
            </w:r>
            <w:r>
              <w:rPr>
                <w:rStyle w:val="NormalCharacter"/>
                <w:rFonts w:ascii="宋体" w:hAnsi="宋体"/>
                <w:sz w:val="24"/>
                <w:u w:val="single"/>
              </w:rPr>
              <w:t xml:space="preserve">   </w:t>
            </w:r>
            <w:r>
              <w:rPr>
                <w:rStyle w:val="NormalCharacter"/>
                <w:rFonts w:ascii="宋体" w:hAnsi="宋体" w:hint="eastAsia"/>
                <w:sz w:val="24"/>
                <w:u w:val="single"/>
              </w:rPr>
              <w:t xml:space="preserve"> </w:t>
            </w:r>
            <w:r>
              <w:rPr>
                <w:rStyle w:val="NormalCharacter"/>
                <w:rFonts w:ascii="宋体" w:hAnsi="宋体"/>
                <w:sz w:val="24"/>
                <w:u w:val="single"/>
              </w:rPr>
              <w:t xml:space="preserve">     </w:t>
            </w:r>
          </w:p>
        </w:tc>
      </w:tr>
      <w:tr w:rsidR="002A5217" w14:paraId="71625F9A" w14:textId="77777777">
        <w:trPr>
          <w:trHeight w:val="1491"/>
          <w:jc w:val="center"/>
        </w:trPr>
        <w:tc>
          <w:tcPr>
            <w:tcW w:w="1262" w:type="dxa"/>
            <w:tcBorders>
              <w:top w:val="single" w:sz="4" w:space="0" w:color="000000"/>
              <w:left w:val="single" w:sz="4" w:space="0" w:color="000000"/>
              <w:bottom w:val="single" w:sz="4" w:space="0" w:color="000000"/>
              <w:right w:val="single" w:sz="4" w:space="0" w:color="000000"/>
            </w:tcBorders>
          </w:tcPr>
          <w:p w14:paraId="0D04657D" w14:textId="77777777" w:rsidR="002A5217" w:rsidRDefault="009C092B">
            <w:pPr>
              <w:spacing w:line="440" w:lineRule="exact"/>
              <w:rPr>
                <w:rStyle w:val="NormalCharacter"/>
                <w:rFonts w:ascii="宋体" w:hAnsi="宋体"/>
                <w:bCs/>
                <w:iCs/>
                <w:sz w:val="24"/>
              </w:rPr>
            </w:pPr>
            <w:r>
              <w:rPr>
                <w:rStyle w:val="NormalCharacter"/>
                <w:rFonts w:ascii="宋体" w:hAnsi="宋体"/>
                <w:bCs/>
                <w:iCs/>
                <w:sz w:val="24"/>
              </w:rPr>
              <w:t>参与单位名称</w:t>
            </w:r>
          </w:p>
        </w:tc>
        <w:tc>
          <w:tcPr>
            <w:tcW w:w="7282" w:type="dxa"/>
            <w:tcBorders>
              <w:top w:val="single" w:sz="4" w:space="0" w:color="000000"/>
              <w:left w:val="single" w:sz="4" w:space="0" w:color="000000"/>
              <w:bottom w:val="single" w:sz="4" w:space="0" w:color="000000"/>
              <w:right w:val="single" w:sz="4" w:space="0" w:color="000000"/>
            </w:tcBorders>
          </w:tcPr>
          <w:p w14:paraId="7CB61C23" w14:textId="0F47742F" w:rsidR="002A5217" w:rsidRDefault="009C092B">
            <w:pPr>
              <w:spacing w:line="276" w:lineRule="auto"/>
              <w:jc w:val="left"/>
              <w:rPr>
                <w:rFonts w:ascii="宋体" w:hAnsi="宋体"/>
                <w:bCs/>
                <w:sz w:val="24"/>
                <w:szCs w:val="22"/>
              </w:rPr>
            </w:pPr>
            <w:r>
              <w:rPr>
                <w:rFonts w:ascii="宋体" w:hAnsi="宋体" w:hint="eastAsia"/>
                <w:bCs/>
                <w:sz w:val="24"/>
                <w:szCs w:val="22"/>
              </w:rPr>
              <w:t>参与机构与人数：</w:t>
            </w:r>
            <w:r w:rsidR="005F6D2F">
              <w:rPr>
                <w:rFonts w:ascii="宋体" w:hAnsi="宋体" w:hint="eastAsia"/>
                <w:bCs/>
                <w:sz w:val="24"/>
                <w:szCs w:val="22"/>
              </w:rPr>
              <w:t>兴业证券、东吴证券、美银美林、银河证券、中信建投、</w:t>
            </w:r>
            <w:r w:rsidR="00114FD0">
              <w:rPr>
                <w:rFonts w:ascii="宋体" w:hAnsi="宋体" w:hint="eastAsia"/>
                <w:bCs/>
                <w:sz w:val="24"/>
                <w:szCs w:val="22"/>
              </w:rPr>
              <w:t>中信里昂、</w:t>
            </w:r>
            <w:r w:rsidR="005F6D2F">
              <w:rPr>
                <w:rFonts w:ascii="宋体" w:hAnsi="宋体" w:hint="eastAsia"/>
                <w:bCs/>
                <w:sz w:val="24"/>
                <w:szCs w:val="22"/>
              </w:rPr>
              <w:t>景顺长城、博时基金、大成基金、招商基金、华商基金、国寿资产、中信资管、农银人寿</w:t>
            </w:r>
            <w:r w:rsidR="00114FD0">
              <w:rPr>
                <w:rFonts w:ascii="宋体" w:hAnsi="宋体" w:hint="eastAsia"/>
                <w:bCs/>
                <w:sz w:val="24"/>
                <w:szCs w:val="22"/>
              </w:rPr>
              <w:t>以及多家境外投资机构，共</w:t>
            </w:r>
            <w:r w:rsidR="00114FD0" w:rsidRPr="00114FD0">
              <w:rPr>
                <w:rFonts w:ascii="宋体" w:hAnsi="宋体"/>
                <w:bCs/>
                <w:sz w:val="24"/>
                <w:szCs w:val="22"/>
              </w:rPr>
              <w:t>4</w:t>
            </w:r>
            <w:r w:rsidR="005F6D2F" w:rsidRPr="00114FD0">
              <w:rPr>
                <w:rFonts w:ascii="宋体" w:hAnsi="宋体"/>
                <w:bCs/>
                <w:sz w:val="24"/>
                <w:szCs w:val="22"/>
              </w:rPr>
              <w:t>3</w:t>
            </w:r>
            <w:r w:rsidR="002269FA" w:rsidRPr="00114FD0">
              <w:rPr>
                <w:rFonts w:ascii="宋体" w:hAnsi="宋体" w:hint="eastAsia"/>
                <w:bCs/>
                <w:sz w:val="24"/>
                <w:szCs w:val="22"/>
              </w:rPr>
              <w:t>位投资者</w:t>
            </w:r>
            <w:r w:rsidRPr="00114FD0">
              <w:rPr>
                <w:rFonts w:ascii="宋体" w:hAnsi="宋体" w:hint="eastAsia"/>
                <w:bCs/>
                <w:sz w:val="24"/>
                <w:szCs w:val="22"/>
              </w:rPr>
              <w:t>。</w:t>
            </w:r>
          </w:p>
        </w:tc>
      </w:tr>
      <w:tr w:rsidR="002A5217" w14:paraId="22517B72" w14:textId="77777777">
        <w:trPr>
          <w:trHeight w:val="774"/>
          <w:jc w:val="center"/>
        </w:trPr>
        <w:tc>
          <w:tcPr>
            <w:tcW w:w="1262" w:type="dxa"/>
            <w:tcBorders>
              <w:top w:val="single" w:sz="4" w:space="0" w:color="000000"/>
              <w:left w:val="single" w:sz="4" w:space="0" w:color="000000"/>
              <w:bottom w:val="single" w:sz="4" w:space="0" w:color="000000"/>
              <w:right w:val="single" w:sz="4" w:space="0" w:color="000000"/>
            </w:tcBorders>
            <w:vAlign w:val="center"/>
          </w:tcPr>
          <w:p w14:paraId="65FA7E92" w14:textId="77777777" w:rsidR="002A5217" w:rsidRDefault="009C092B">
            <w:pPr>
              <w:spacing w:line="440" w:lineRule="exact"/>
              <w:jc w:val="center"/>
              <w:rPr>
                <w:rStyle w:val="NormalCharacter"/>
                <w:rFonts w:ascii="宋体" w:hAnsi="宋体"/>
                <w:bCs/>
                <w:iCs/>
                <w:sz w:val="24"/>
              </w:rPr>
            </w:pPr>
            <w:r>
              <w:rPr>
                <w:rStyle w:val="NormalCharacter"/>
                <w:rFonts w:ascii="宋体" w:hAnsi="宋体" w:hint="eastAsia"/>
                <w:bCs/>
                <w:iCs/>
                <w:sz w:val="24"/>
              </w:rPr>
              <w:t>时间</w:t>
            </w:r>
          </w:p>
        </w:tc>
        <w:tc>
          <w:tcPr>
            <w:tcW w:w="7282" w:type="dxa"/>
            <w:tcBorders>
              <w:top w:val="single" w:sz="4" w:space="0" w:color="000000"/>
              <w:left w:val="single" w:sz="4" w:space="0" w:color="000000"/>
              <w:bottom w:val="single" w:sz="4" w:space="0" w:color="000000"/>
              <w:right w:val="single" w:sz="4" w:space="0" w:color="000000"/>
            </w:tcBorders>
            <w:vAlign w:val="center"/>
          </w:tcPr>
          <w:p w14:paraId="55D688F8" w14:textId="3F611EEC" w:rsidR="002A5217" w:rsidRDefault="009C092B">
            <w:pPr>
              <w:spacing w:line="276" w:lineRule="auto"/>
              <w:jc w:val="left"/>
              <w:rPr>
                <w:rStyle w:val="NormalCharacter"/>
                <w:rFonts w:ascii="宋体" w:hAnsi="宋体"/>
                <w:bCs/>
                <w:iCs/>
                <w:sz w:val="24"/>
              </w:rPr>
            </w:pPr>
            <w:r>
              <w:rPr>
                <w:rStyle w:val="NormalCharacter"/>
                <w:rFonts w:ascii="宋体" w:hAnsi="宋体" w:hint="eastAsia"/>
                <w:bCs/>
                <w:iCs/>
                <w:sz w:val="24"/>
              </w:rPr>
              <w:t>202</w:t>
            </w:r>
            <w:r>
              <w:rPr>
                <w:rStyle w:val="NormalCharacter"/>
                <w:rFonts w:ascii="宋体" w:hAnsi="宋体"/>
                <w:bCs/>
                <w:iCs/>
                <w:sz w:val="24"/>
              </w:rPr>
              <w:t>6</w:t>
            </w:r>
            <w:r>
              <w:rPr>
                <w:rStyle w:val="NormalCharacter"/>
                <w:rFonts w:ascii="宋体" w:hAnsi="宋体" w:hint="eastAsia"/>
                <w:bCs/>
                <w:iCs/>
                <w:sz w:val="24"/>
              </w:rPr>
              <w:t>年</w:t>
            </w:r>
            <w:r w:rsidR="007B3F51">
              <w:rPr>
                <w:rStyle w:val="NormalCharacter"/>
                <w:rFonts w:ascii="宋体" w:hAnsi="宋体"/>
                <w:bCs/>
                <w:iCs/>
                <w:sz w:val="24"/>
              </w:rPr>
              <w:t>9</w:t>
            </w:r>
            <w:r>
              <w:rPr>
                <w:rStyle w:val="NormalCharacter"/>
                <w:rFonts w:ascii="宋体" w:hAnsi="宋体" w:hint="eastAsia"/>
                <w:bCs/>
                <w:iCs/>
                <w:sz w:val="24"/>
              </w:rPr>
              <w:t>月</w:t>
            </w:r>
          </w:p>
        </w:tc>
      </w:tr>
      <w:tr w:rsidR="002A5217" w14:paraId="72C8E93D" w14:textId="77777777">
        <w:trPr>
          <w:trHeight w:val="670"/>
          <w:jc w:val="center"/>
        </w:trPr>
        <w:tc>
          <w:tcPr>
            <w:tcW w:w="1262" w:type="dxa"/>
            <w:tcBorders>
              <w:top w:val="single" w:sz="4" w:space="0" w:color="000000"/>
              <w:left w:val="single" w:sz="4" w:space="0" w:color="000000"/>
              <w:bottom w:val="single" w:sz="4" w:space="0" w:color="000000"/>
              <w:right w:val="single" w:sz="4" w:space="0" w:color="000000"/>
            </w:tcBorders>
            <w:vAlign w:val="center"/>
          </w:tcPr>
          <w:p w14:paraId="2AF986BA" w14:textId="77777777" w:rsidR="002A5217" w:rsidRDefault="009C092B">
            <w:pPr>
              <w:spacing w:line="440" w:lineRule="exact"/>
              <w:jc w:val="center"/>
              <w:rPr>
                <w:rStyle w:val="NormalCharacter"/>
                <w:rFonts w:ascii="宋体" w:hAnsi="宋体"/>
                <w:bCs/>
                <w:iCs/>
                <w:sz w:val="24"/>
              </w:rPr>
            </w:pPr>
            <w:r>
              <w:rPr>
                <w:rStyle w:val="NormalCharacter"/>
                <w:rFonts w:ascii="宋体" w:hAnsi="宋体"/>
                <w:bCs/>
                <w:iCs/>
                <w:sz w:val="24"/>
              </w:rPr>
              <w:t>地点</w:t>
            </w:r>
          </w:p>
        </w:tc>
        <w:tc>
          <w:tcPr>
            <w:tcW w:w="7282" w:type="dxa"/>
            <w:tcBorders>
              <w:top w:val="single" w:sz="4" w:space="0" w:color="000000"/>
              <w:left w:val="single" w:sz="4" w:space="0" w:color="000000"/>
              <w:bottom w:val="single" w:sz="4" w:space="0" w:color="000000"/>
              <w:right w:val="single" w:sz="4" w:space="0" w:color="000000"/>
            </w:tcBorders>
            <w:vAlign w:val="center"/>
          </w:tcPr>
          <w:p w14:paraId="41B25DE5" w14:textId="3C5B8C81" w:rsidR="002A5217" w:rsidRDefault="007B3F51">
            <w:pPr>
              <w:spacing w:line="276" w:lineRule="auto"/>
              <w:jc w:val="left"/>
              <w:rPr>
                <w:rStyle w:val="NormalCharacter"/>
                <w:rFonts w:ascii="宋体" w:hAnsi="宋体"/>
                <w:bCs/>
                <w:iCs/>
                <w:sz w:val="24"/>
              </w:rPr>
            </w:pPr>
            <w:r>
              <w:rPr>
                <w:rStyle w:val="NormalCharacter"/>
                <w:rFonts w:ascii="宋体" w:hAnsi="宋体" w:hint="eastAsia"/>
                <w:bCs/>
                <w:iCs/>
                <w:sz w:val="24"/>
              </w:rPr>
              <w:t>外部策略会、</w:t>
            </w:r>
            <w:r w:rsidR="005F6D2F">
              <w:rPr>
                <w:rStyle w:val="NormalCharacter"/>
                <w:rFonts w:ascii="宋体" w:hAnsi="宋体" w:hint="eastAsia"/>
                <w:bCs/>
                <w:iCs/>
                <w:sz w:val="24"/>
              </w:rPr>
              <w:t>基金公司、</w:t>
            </w:r>
            <w:r w:rsidR="0012046E">
              <w:rPr>
                <w:rStyle w:val="NormalCharacter"/>
                <w:rFonts w:ascii="宋体" w:hAnsi="宋体" w:hint="eastAsia"/>
                <w:bCs/>
                <w:iCs/>
                <w:sz w:val="24"/>
              </w:rPr>
              <w:t>线上会议</w:t>
            </w:r>
            <w:r w:rsidR="005F6D2F">
              <w:rPr>
                <w:rStyle w:val="NormalCharacter"/>
                <w:rFonts w:ascii="宋体" w:hAnsi="宋体" w:hint="eastAsia"/>
                <w:bCs/>
                <w:iCs/>
                <w:sz w:val="24"/>
              </w:rPr>
              <w:t>等</w:t>
            </w:r>
          </w:p>
        </w:tc>
      </w:tr>
      <w:tr w:rsidR="002A5217" w14:paraId="3D033AE1" w14:textId="77777777">
        <w:trPr>
          <w:trHeight w:val="1019"/>
          <w:jc w:val="center"/>
        </w:trPr>
        <w:tc>
          <w:tcPr>
            <w:tcW w:w="1262" w:type="dxa"/>
            <w:tcBorders>
              <w:top w:val="single" w:sz="4" w:space="0" w:color="000000"/>
              <w:left w:val="single" w:sz="4" w:space="0" w:color="000000"/>
              <w:bottom w:val="single" w:sz="4" w:space="0" w:color="000000"/>
              <w:right w:val="single" w:sz="4" w:space="0" w:color="000000"/>
            </w:tcBorders>
          </w:tcPr>
          <w:p w14:paraId="20A8BB34" w14:textId="77777777" w:rsidR="002A5217" w:rsidRDefault="009C092B">
            <w:pPr>
              <w:spacing w:line="440" w:lineRule="exact"/>
              <w:rPr>
                <w:rStyle w:val="NormalCharacter"/>
                <w:rFonts w:ascii="宋体" w:hAnsi="宋体"/>
                <w:bCs/>
                <w:iCs/>
                <w:sz w:val="24"/>
              </w:rPr>
            </w:pPr>
            <w:r>
              <w:rPr>
                <w:rStyle w:val="NormalCharacter"/>
                <w:rFonts w:ascii="宋体" w:hAnsi="宋体"/>
                <w:bCs/>
                <w:iCs/>
                <w:sz w:val="24"/>
              </w:rPr>
              <w:t>上市公司接待人员</w:t>
            </w:r>
          </w:p>
        </w:tc>
        <w:tc>
          <w:tcPr>
            <w:tcW w:w="7282" w:type="dxa"/>
            <w:tcBorders>
              <w:top w:val="single" w:sz="4" w:space="0" w:color="000000"/>
              <w:left w:val="single" w:sz="4" w:space="0" w:color="000000"/>
              <w:bottom w:val="single" w:sz="4" w:space="0" w:color="000000"/>
              <w:right w:val="single" w:sz="4" w:space="0" w:color="000000"/>
            </w:tcBorders>
            <w:vAlign w:val="center"/>
          </w:tcPr>
          <w:p w14:paraId="6BB5EAF2" w14:textId="58D6B468" w:rsidR="002A5217" w:rsidRDefault="0012046E">
            <w:pPr>
              <w:spacing w:line="276" w:lineRule="auto"/>
              <w:rPr>
                <w:rStyle w:val="NormalCharacter"/>
                <w:rFonts w:ascii="宋体" w:hAnsi="宋体"/>
                <w:bCs/>
                <w:iCs/>
                <w:sz w:val="24"/>
              </w:rPr>
            </w:pPr>
            <w:r w:rsidRPr="0012046E">
              <w:rPr>
                <w:rStyle w:val="NormalCharacter"/>
                <w:rFonts w:ascii="宋体" w:hAnsi="宋体" w:hint="eastAsia"/>
                <w:bCs/>
                <w:iCs/>
                <w:sz w:val="24"/>
              </w:rPr>
              <w:t>公司</w:t>
            </w:r>
            <w:r w:rsidR="004151C5">
              <w:rPr>
                <w:rStyle w:val="NormalCharacter"/>
                <w:rFonts w:ascii="宋体" w:hAnsi="宋体" w:hint="eastAsia"/>
                <w:bCs/>
                <w:iCs/>
                <w:sz w:val="24"/>
              </w:rPr>
              <w:t>部分</w:t>
            </w:r>
            <w:r w:rsidR="007B3F51">
              <w:rPr>
                <w:rStyle w:val="NormalCharacter"/>
                <w:rFonts w:ascii="宋体" w:hAnsi="宋体" w:hint="eastAsia"/>
                <w:bCs/>
                <w:iCs/>
                <w:sz w:val="24"/>
              </w:rPr>
              <w:t>董事</w:t>
            </w:r>
            <w:r w:rsidR="004151C5">
              <w:rPr>
                <w:rStyle w:val="NormalCharacter"/>
                <w:rFonts w:ascii="宋体" w:hAnsi="宋体" w:hint="eastAsia"/>
                <w:bCs/>
                <w:iCs/>
                <w:sz w:val="24"/>
              </w:rPr>
              <w:t>及高级管理人员</w:t>
            </w:r>
            <w:r w:rsidR="007B3F51">
              <w:rPr>
                <w:rStyle w:val="NormalCharacter"/>
                <w:rFonts w:ascii="宋体" w:hAnsi="宋体" w:hint="eastAsia"/>
                <w:bCs/>
                <w:iCs/>
                <w:sz w:val="24"/>
              </w:rPr>
              <w:t>、证券事务代表、I</w:t>
            </w:r>
            <w:r w:rsidR="007B3F51">
              <w:rPr>
                <w:rStyle w:val="NormalCharacter"/>
                <w:rFonts w:ascii="宋体" w:hAnsi="宋体"/>
                <w:bCs/>
                <w:iCs/>
                <w:sz w:val="24"/>
              </w:rPr>
              <w:t>R</w:t>
            </w:r>
          </w:p>
        </w:tc>
      </w:tr>
      <w:tr w:rsidR="002A5217" w14:paraId="3C670D49" w14:textId="77777777">
        <w:trPr>
          <w:jc w:val="center"/>
        </w:trPr>
        <w:tc>
          <w:tcPr>
            <w:tcW w:w="1262" w:type="dxa"/>
            <w:tcBorders>
              <w:top w:val="single" w:sz="4" w:space="0" w:color="000000"/>
              <w:left w:val="single" w:sz="4" w:space="0" w:color="000000"/>
              <w:bottom w:val="single" w:sz="4" w:space="0" w:color="000000"/>
              <w:right w:val="single" w:sz="4" w:space="0" w:color="000000"/>
            </w:tcBorders>
            <w:vAlign w:val="center"/>
          </w:tcPr>
          <w:p w14:paraId="3FF6920B" w14:textId="77777777" w:rsidR="002A5217" w:rsidRDefault="009C092B">
            <w:pPr>
              <w:spacing w:line="440" w:lineRule="exact"/>
              <w:rPr>
                <w:rStyle w:val="NormalCharacter"/>
                <w:rFonts w:ascii="宋体" w:hAnsi="宋体"/>
                <w:bCs/>
                <w:iCs/>
                <w:sz w:val="24"/>
              </w:rPr>
            </w:pPr>
            <w:r>
              <w:rPr>
                <w:rStyle w:val="NormalCharacter"/>
                <w:rFonts w:ascii="宋体" w:hAnsi="宋体"/>
                <w:bCs/>
                <w:iCs/>
                <w:sz w:val="24"/>
              </w:rPr>
              <w:t>投资者关系活动主要内容介绍</w:t>
            </w:r>
          </w:p>
        </w:tc>
        <w:tc>
          <w:tcPr>
            <w:tcW w:w="7282" w:type="dxa"/>
            <w:tcBorders>
              <w:top w:val="single" w:sz="4" w:space="0" w:color="000000"/>
              <w:left w:val="single" w:sz="4" w:space="0" w:color="000000"/>
              <w:bottom w:val="single" w:sz="4" w:space="0" w:color="000000"/>
              <w:right w:val="single" w:sz="4" w:space="0" w:color="000000"/>
            </w:tcBorders>
            <w:vAlign w:val="center"/>
          </w:tcPr>
          <w:p w14:paraId="21FE6A0E" w14:textId="7011FCB9" w:rsidR="002A5217" w:rsidRDefault="009C092B">
            <w:pPr>
              <w:spacing w:line="276" w:lineRule="auto"/>
              <w:jc w:val="left"/>
              <w:rPr>
                <w:rFonts w:ascii="宋体" w:hAnsi="宋体" w:cs="宋体"/>
                <w:b/>
                <w:bCs/>
                <w:kern w:val="0"/>
                <w:sz w:val="24"/>
              </w:rPr>
            </w:pPr>
            <w:r>
              <w:rPr>
                <w:rFonts w:ascii="宋体" w:hAnsi="宋体" w:cs="宋体" w:hint="eastAsia"/>
                <w:b/>
                <w:bCs/>
                <w:kern w:val="0"/>
                <w:sz w:val="24"/>
              </w:rPr>
              <w:t>Q：</w:t>
            </w:r>
            <w:r w:rsidR="008429F5">
              <w:rPr>
                <w:rFonts w:ascii="宋体" w:hAnsi="宋体" w:cs="宋体" w:hint="eastAsia"/>
                <w:b/>
                <w:bCs/>
                <w:kern w:val="0"/>
                <w:sz w:val="24"/>
              </w:rPr>
              <w:t>公司未来的并购方向</w:t>
            </w:r>
            <w:r w:rsidR="005D0E7F" w:rsidRPr="005D0E7F">
              <w:rPr>
                <w:rFonts w:ascii="宋体" w:hAnsi="宋体" w:cs="宋体" w:hint="eastAsia"/>
                <w:b/>
                <w:bCs/>
                <w:kern w:val="0"/>
                <w:sz w:val="24"/>
              </w:rPr>
              <w:t>？</w:t>
            </w:r>
          </w:p>
          <w:p w14:paraId="751482E5" w14:textId="3FF3C3B2" w:rsidR="002A5217" w:rsidRDefault="009C092B" w:rsidP="00AF5CEF">
            <w:pPr>
              <w:spacing w:line="276" w:lineRule="auto"/>
              <w:rPr>
                <w:rFonts w:ascii="宋体" w:hAnsi="宋体" w:cs="宋体"/>
                <w:kern w:val="0"/>
                <w:sz w:val="24"/>
              </w:rPr>
            </w:pPr>
            <w:r>
              <w:rPr>
                <w:rFonts w:ascii="宋体" w:hAnsi="宋体" w:cs="宋体" w:hint="eastAsia"/>
                <w:kern w:val="0"/>
                <w:sz w:val="24"/>
              </w:rPr>
              <w:t>A：</w:t>
            </w:r>
            <w:r w:rsidR="009602B3" w:rsidRPr="009602B3">
              <w:rPr>
                <w:rFonts w:ascii="宋体" w:hAnsi="宋体" w:cs="宋体" w:hint="eastAsia"/>
                <w:kern w:val="0"/>
                <w:sz w:val="24"/>
              </w:rPr>
              <w:t>在投资并购方面，我们重点关注那些与上海医药的发展战略、工业体系、产品管线能够形成高度协同的标的企业。其中，那些具备创新实力、能补强公司核心竞争力、提供业绩增长动能的企业将更受青睐。一方面，我们</w:t>
            </w:r>
            <w:r w:rsidR="004151C5">
              <w:rPr>
                <w:rFonts w:ascii="宋体" w:hAnsi="宋体" w:cs="宋体" w:hint="eastAsia"/>
                <w:kern w:val="0"/>
                <w:sz w:val="24"/>
              </w:rPr>
              <w:t>将重点</w:t>
            </w:r>
            <w:r w:rsidR="009602B3" w:rsidRPr="009602B3">
              <w:rPr>
                <w:rFonts w:ascii="宋体" w:hAnsi="宋体" w:cs="宋体" w:hint="eastAsia"/>
                <w:kern w:val="0"/>
                <w:sz w:val="24"/>
              </w:rPr>
              <w:t>聚焦核心治疗领域，集中资源进一步做强优势业务。另一方面，我们更加注重并购后的“整合”与“协同”。我们致力于充分发挥上海医药工商一体与“研产销”全产业链布局的核心优势。</w:t>
            </w:r>
          </w:p>
          <w:p w14:paraId="3DFF76B8" w14:textId="77777777" w:rsidR="002A5217" w:rsidRDefault="002A5217">
            <w:pPr>
              <w:spacing w:line="276" w:lineRule="auto"/>
              <w:jc w:val="left"/>
              <w:rPr>
                <w:rFonts w:ascii="宋体" w:hAnsi="宋体" w:cs="宋体"/>
                <w:kern w:val="0"/>
                <w:sz w:val="24"/>
              </w:rPr>
            </w:pPr>
          </w:p>
          <w:p w14:paraId="40CFB14B" w14:textId="54459A20" w:rsidR="002A5217" w:rsidRDefault="009C092B">
            <w:pPr>
              <w:spacing w:line="276" w:lineRule="auto"/>
              <w:jc w:val="left"/>
              <w:rPr>
                <w:rFonts w:ascii="宋体" w:hAnsi="宋体" w:cs="宋体"/>
                <w:b/>
                <w:bCs/>
                <w:kern w:val="0"/>
                <w:sz w:val="24"/>
              </w:rPr>
            </w:pPr>
            <w:r>
              <w:rPr>
                <w:rFonts w:ascii="宋体" w:hAnsi="宋体" w:cs="宋体" w:hint="eastAsia"/>
                <w:b/>
                <w:bCs/>
                <w:kern w:val="0"/>
                <w:sz w:val="24"/>
              </w:rPr>
              <w:t>Q：</w:t>
            </w:r>
            <w:r w:rsidR="006A1ED5">
              <w:rPr>
                <w:rFonts w:ascii="宋体" w:hAnsi="宋体" w:cs="宋体" w:hint="eastAsia"/>
                <w:b/>
                <w:bCs/>
                <w:kern w:val="0"/>
                <w:sz w:val="24"/>
              </w:rPr>
              <w:t>公司</w:t>
            </w:r>
            <w:r w:rsidR="00F37794">
              <w:rPr>
                <w:rFonts w:ascii="宋体" w:hAnsi="宋体" w:cs="宋体" w:hint="eastAsia"/>
                <w:b/>
                <w:bCs/>
                <w:kern w:val="0"/>
                <w:sz w:val="24"/>
              </w:rPr>
              <w:t>如何保障现金流稳定</w:t>
            </w:r>
            <w:r>
              <w:rPr>
                <w:rFonts w:ascii="宋体" w:hAnsi="宋体" w:cs="宋体" w:hint="eastAsia"/>
                <w:b/>
                <w:bCs/>
                <w:kern w:val="0"/>
                <w:sz w:val="24"/>
              </w:rPr>
              <w:t>？</w:t>
            </w:r>
          </w:p>
          <w:p w14:paraId="0152FD59" w14:textId="595E3D36" w:rsidR="002A5217" w:rsidRDefault="009C092B" w:rsidP="00D400E9">
            <w:pPr>
              <w:spacing w:line="276" w:lineRule="auto"/>
              <w:rPr>
                <w:rFonts w:ascii="宋体" w:hAnsi="宋体" w:cs="宋体"/>
                <w:kern w:val="0"/>
                <w:sz w:val="24"/>
              </w:rPr>
            </w:pPr>
            <w:r>
              <w:rPr>
                <w:rFonts w:ascii="宋体" w:hAnsi="宋体" w:cs="宋体" w:hint="eastAsia"/>
                <w:kern w:val="0"/>
                <w:sz w:val="24"/>
              </w:rPr>
              <w:t>A：</w:t>
            </w:r>
            <w:r w:rsidR="004F59DA">
              <w:rPr>
                <w:rFonts w:ascii="宋体" w:hAnsi="宋体" w:cs="宋体" w:hint="eastAsia"/>
                <w:kern w:val="0"/>
                <w:sz w:val="24"/>
              </w:rPr>
              <w:t>2</w:t>
            </w:r>
            <w:r w:rsidR="004F59DA">
              <w:rPr>
                <w:rFonts w:ascii="宋体" w:hAnsi="宋体" w:cs="宋体"/>
                <w:kern w:val="0"/>
                <w:sz w:val="24"/>
              </w:rPr>
              <w:t>026</w:t>
            </w:r>
            <w:r w:rsidR="004F59DA">
              <w:rPr>
                <w:rFonts w:ascii="宋体" w:hAnsi="宋体" w:cs="宋体" w:hint="eastAsia"/>
                <w:kern w:val="0"/>
                <w:sz w:val="24"/>
              </w:rPr>
              <w:t>年上半年</w:t>
            </w:r>
            <w:r w:rsidR="004F59DA" w:rsidRPr="004F59DA">
              <w:rPr>
                <w:rFonts w:ascii="宋体" w:hAnsi="宋体" w:cs="宋体" w:hint="eastAsia"/>
                <w:kern w:val="0"/>
                <w:sz w:val="24"/>
              </w:rPr>
              <w:t>，公司经营性</w:t>
            </w:r>
            <w:proofErr w:type="gramStart"/>
            <w:r w:rsidR="004F59DA" w:rsidRPr="004F59DA">
              <w:rPr>
                <w:rFonts w:ascii="宋体" w:hAnsi="宋体" w:cs="宋体" w:hint="eastAsia"/>
                <w:kern w:val="0"/>
                <w:sz w:val="24"/>
              </w:rPr>
              <w:t>现金流净流入</w:t>
            </w:r>
            <w:proofErr w:type="gramEnd"/>
            <w:r w:rsidR="004F59DA" w:rsidRPr="004F59DA">
              <w:rPr>
                <w:rFonts w:ascii="宋体" w:hAnsi="宋体" w:cs="宋体" w:hint="eastAsia"/>
                <w:kern w:val="0"/>
                <w:sz w:val="24"/>
              </w:rPr>
              <w:t>44.50亿元，持续保持高质量发展。</w:t>
            </w:r>
            <w:r w:rsidR="00F37794" w:rsidRPr="00F37794">
              <w:rPr>
                <w:rFonts w:ascii="宋体" w:hAnsi="宋体" w:cs="宋体" w:hint="eastAsia"/>
                <w:kern w:val="0"/>
                <w:sz w:val="24"/>
              </w:rPr>
              <w:t>公司始终高度重视现金流安全</w:t>
            </w:r>
            <w:r w:rsidR="00F37794">
              <w:rPr>
                <w:rFonts w:ascii="宋体" w:hAnsi="宋体" w:cs="宋体" w:hint="eastAsia"/>
                <w:kern w:val="0"/>
                <w:sz w:val="24"/>
              </w:rPr>
              <w:t>，</w:t>
            </w:r>
            <w:r w:rsidR="00F37794" w:rsidRPr="00F37794">
              <w:rPr>
                <w:rFonts w:ascii="宋体" w:hAnsi="宋体" w:cs="宋体" w:hint="eastAsia"/>
                <w:kern w:val="0"/>
                <w:sz w:val="24"/>
              </w:rPr>
              <w:t>坚持审慎稳健的财务管控原则，保障公司持续健康运营。在现金流管理方面，公司以经营性现金流为管理核心，多</w:t>
            </w:r>
            <w:proofErr w:type="gramStart"/>
            <w:r w:rsidR="00F37794" w:rsidRPr="00F37794">
              <w:rPr>
                <w:rFonts w:ascii="宋体" w:hAnsi="宋体" w:cs="宋体" w:hint="eastAsia"/>
                <w:kern w:val="0"/>
                <w:sz w:val="24"/>
              </w:rPr>
              <w:t>措</w:t>
            </w:r>
            <w:proofErr w:type="gramEnd"/>
            <w:r w:rsidR="00F37794" w:rsidRPr="00F37794">
              <w:rPr>
                <w:rFonts w:ascii="宋体" w:hAnsi="宋体" w:cs="宋体" w:hint="eastAsia"/>
                <w:kern w:val="0"/>
                <w:sz w:val="24"/>
              </w:rPr>
              <w:t>并举筑牢资金安全底线。一是强化应收账款的全流程管控；二是强化资金预算与动态调度的精细化；三是优化营运资金周转，保障经营性现金流稳健充裕。未来，公司将继续严控债务规模、优化资本结构，保持资产负债率与融资成本处</w:t>
            </w:r>
            <w:r w:rsidR="00F37794" w:rsidRPr="00F37794">
              <w:rPr>
                <w:rFonts w:ascii="宋体" w:hAnsi="宋体" w:cs="宋体" w:hint="eastAsia"/>
                <w:kern w:val="0"/>
                <w:sz w:val="24"/>
              </w:rPr>
              <w:lastRenderedPageBreak/>
              <w:t>于稳健合理区间，持续提升现金流质量与财务抗风险能力，切实维护全体股东利益。</w:t>
            </w:r>
          </w:p>
          <w:p w14:paraId="64055411" w14:textId="77777777" w:rsidR="002A5217" w:rsidRDefault="002A5217">
            <w:pPr>
              <w:spacing w:line="276" w:lineRule="auto"/>
              <w:jc w:val="left"/>
              <w:rPr>
                <w:rFonts w:ascii="宋体" w:hAnsi="宋体" w:cs="宋体"/>
                <w:kern w:val="0"/>
                <w:sz w:val="24"/>
                <w:highlight w:val="yellow"/>
              </w:rPr>
            </w:pPr>
          </w:p>
          <w:p w14:paraId="452F9167" w14:textId="5155AA39" w:rsidR="002A5217" w:rsidRDefault="009C092B">
            <w:pPr>
              <w:spacing w:line="276" w:lineRule="auto"/>
              <w:jc w:val="left"/>
              <w:rPr>
                <w:rFonts w:ascii="宋体" w:hAnsi="宋体" w:cs="宋体"/>
                <w:b/>
                <w:bCs/>
                <w:kern w:val="0"/>
                <w:sz w:val="24"/>
              </w:rPr>
            </w:pPr>
            <w:r>
              <w:rPr>
                <w:rFonts w:ascii="宋体" w:hAnsi="宋体" w:cs="宋体" w:hint="eastAsia"/>
                <w:b/>
                <w:bCs/>
                <w:kern w:val="0"/>
                <w:sz w:val="24"/>
              </w:rPr>
              <w:t>Q：</w:t>
            </w:r>
            <w:r w:rsidR="005D0E7F" w:rsidRPr="005D0E7F">
              <w:rPr>
                <w:rFonts w:ascii="宋体" w:hAnsi="宋体" w:cs="宋体" w:hint="eastAsia"/>
                <w:b/>
                <w:bCs/>
                <w:kern w:val="0"/>
                <w:sz w:val="24"/>
              </w:rPr>
              <w:t>公司</w:t>
            </w:r>
            <w:r w:rsidR="008429F5">
              <w:rPr>
                <w:rFonts w:ascii="宋体" w:hAnsi="宋体" w:cs="宋体" w:hint="eastAsia"/>
                <w:b/>
                <w:bCs/>
                <w:kern w:val="0"/>
                <w:sz w:val="24"/>
              </w:rPr>
              <w:t>商业板块</w:t>
            </w:r>
            <w:proofErr w:type="gramStart"/>
            <w:r w:rsidR="008429F5">
              <w:rPr>
                <w:rFonts w:ascii="宋体" w:hAnsi="宋体" w:cs="宋体" w:hint="eastAsia"/>
                <w:b/>
                <w:bCs/>
                <w:kern w:val="0"/>
                <w:sz w:val="24"/>
              </w:rPr>
              <w:t>进口总代</w:t>
            </w:r>
            <w:proofErr w:type="gramEnd"/>
            <w:r w:rsidR="008429F5">
              <w:rPr>
                <w:rFonts w:ascii="宋体" w:hAnsi="宋体" w:cs="宋体" w:hint="eastAsia"/>
                <w:b/>
                <w:bCs/>
                <w:kern w:val="0"/>
                <w:sz w:val="24"/>
              </w:rPr>
              <w:t>业务的优势</w:t>
            </w:r>
            <w:r w:rsidR="005D0E7F" w:rsidRPr="005D0E7F">
              <w:rPr>
                <w:rFonts w:ascii="宋体" w:hAnsi="宋体" w:cs="宋体" w:hint="eastAsia"/>
                <w:b/>
                <w:bCs/>
                <w:kern w:val="0"/>
                <w:sz w:val="24"/>
              </w:rPr>
              <w:t>？</w:t>
            </w:r>
          </w:p>
          <w:p w14:paraId="50459104" w14:textId="05A76347" w:rsidR="005D0E7F" w:rsidRDefault="009C092B" w:rsidP="00B20C79">
            <w:pPr>
              <w:spacing w:line="276" w:lineRule="auto"/>
              <w:rPr>
                <w:rFonts w:ascii="宋体" w:hAnsi="宋体" w:cs="宋体"/>
                <w:kern w:val="0"/>
                <w:sz w:val="24"/>
              </w:rPr>
            </w:pPr>
            <w:r>
              <w:rPr>
                <w:rFonts w:ascii="宋体" w:hAnsi="宋体" w:cs="宋体" w:hint="eastAsia"/>
                <w:kern w:val="0"/>
                <w:sz w:val="24"/>
              </w:rPr>
              <w:t>A：</w:t>
            </w:r>
            <w:r w:rsidR="00B20C79" w:rsidRPr="00B20C79">
              <w:rPr>
                <w:rFonts w:ascii="宋体" w:hAnsi="宋体" w:cs="宋体" w:hint="eastAsia"/>
                <w:kern w:val="0"/>
                <w:sz w:val="24"/>
              </w:rPr>
              <w:t>公司</w:t>
            </w:r>
            <w:r w:rsidR="00B20C79">
              <w:rPr>
                <w:rFonts w:ascii="宋体" w:hAnsi="宋体" w:cs="宋体" w:hint="eastAsia"/>
                <w:kern w:val="0"/>
                <w:sz w:val="24"/>
              </w:rPr>
              <w:t>持续</w:t>
            </w:r>
            <w:r w:rsidR="00B20C79" w:rsidRPr="00B20C79">
              <w:rPr>
                <w:rFonts w:ascii="宋体" w:hAnsi="宋体" w:cs="宋体" w:hint="eastAsia"/>
                <w:kern w:val="0"/>
                <w:sz w:val="24"/>
              </w:rPr>
              <w:t>打造一体化、专业化</w:t>
            </w:r>
            <w:r w:rsidR="00B20C79">
              <w:rPr>
                <w:rFonts w:ascii="宋体" w:hAnsi="宋体" w:cs="宋体" w:hint="eastAsia"/>
                <w:kern w:val="0"/>
                <w:sz w:val="24"/>
              </w:rPr>
              <w:t>的</w:t>
            </w:r>
            <w:r w:rsidR="00B20C79" w:rsidRPr="00B20C79">
              <w:rPr>
                <w:rFonts w:ascii="宋体" w:hAnsi="宋体" w:cs="宋体" w:hint="eastAsia"/>
                <w:kern w:val="0"/>
                <w:sz w:val="24"/>
              </w:rPr>
              <w:t>供应</w:t>
            </w:r>
            <w:proofErr w:type="gramStart"/>
            <w:r w:rsidR="00B20C79" w:rsidRPr="00B20C79">
              <w:rPr>
                <w:rFonts w:ascii="宋体" w:hAnsi="宋体" w:cs="宋体" w:hint="eastAsia"/>
                <w:kern w:val="0"/>
                <w:sz w:val="24"/>
              </w:rPr>
              <w:t>链综合</w:t>
            </w:r>
            <w:proofErr w:type="gramEnd"/>
            <w:r w:rsidR="00B20C79" w:rsidRPr="00B20C79">
              <w:rPr>
                <w:rFonts w:ascii="宋体" w:hAnsi="宋体" w:cs="宋体" w:hint="eastAsia"/>
                <w:kern w:val="0"/>
                <w:sz w:val="24"/>
              </w:rPr>
              <w:t>服务体系，为合作伙伴提供优质可靠的商业化解决方案</w:t>
            </w:r>
            <w:r w:rsidR="00B20C79">
              <w:rPr>
                <w:rFonts w:ascii="宋体" w:hAnsi="宋体" w:cs="宋体" w:hint="eastAsia"/>
                <w:kern w:val="0"/>
                <w:sz w:val="24"/>
              </w:rPr>
              <w:t>。2</w:t>
            </w:r>
            <w:r w:rsidR="00B20C79">
              <w:rPr>
                <w:rFonts w:ascii="宋体" w:hAnsi="宋体" w:cs="宋体"/>
                <w:kern w:val="0"/>
                <w:sz w:val="24"/>
              </w:rPr>
              <w:t>026</w:t>
            </w:r>
            <w:r w:rsidR="00B20C79">
              <w:rPr>
                <w:rFonts w:ascii="宋体" w:hAnsi="宋体" w:cs="宋体" w:hint="eastAsia"/>
                <w:kern w:val="0"/>
                <w:sz w:val="24"/>
              </w:rPr>
              <w:t>年1</w:t>
            </w:r>
            <w:r w:rsidR="00B20C79">
              <w:rPr>
                <w:rFonts w:ascii="宋体" w:hAnsi="宋体" w:cs="宋体"/>
                <w:kern w:val="0"/>
                <w:sz w:val="24"/>
              </w:rPr>
              <w:t>-6</w:t>
            </w:r>
            <w:r w:rsidR="00B20C79">
              <w:rPr>
                <w:rFonts w:ascii="宋体" w:hAnsi="宋体" w:cs="宋体" w:hint="eastAsia"/>
                <w:kern w:val="0"/>
                <w:sz w:val="24"/>
              </w:rPr>
              <w:t>月，公司</w:t>
            </w:r>
            <w:r w:rsidR="00B20C79" w:rsidRPr="00B20C79">
              <w:rPr>
                <w:rFonts w:ascii="宋体" w:hAnsi="宋体" w:cs="宋体" w:hint="eastAsia"/>
                <w:kern w:val="0"/>
                <w:sz w:val="24"/>
              </w:rPr>
              <w:t>新增</w:t>
            </w:r>
            <w:proofErr w:type="gramStart"/>
            <w:r w:rsidR="00B20C79" w:rsidRPr="00B20C79">
              <w:rPr>
                <w:rFonts w:ascii="宋体" w:hAnsi="宋体" w:cs="宋体" w:hint="eastAsia"/>
                <w:kern w:val="0"/>
                <w:sz w:val="24"/>
              </w:rPr>
              <w:t>进口总代品规</w:t>
            </w:r>
            <w:proofErr w:type="gramEnd"/>
            <w:r w:rsidR="00B20C79" w:rsidRPr="00B20C79">
              <w:rPr>
                <w:rFonts w:ascii="宋体" w:hAnsi="宋体" w:cs="宋体" w:hint="eastAsia"/>
                <w:kern w:val="0"/>
                <w:sz w:val="24"/>
              </w:rPr>
              <w:t>16个，实现销售收入超过200亿元，同比增长超15%。</w:t>
            </w:r>
          </w:p>
          <w:p w14:paraId="2DBD01B3" w14:textId="46F6E96C" w:rsidR="0078788F" w:rsidRDefault="0078788F" w:rsidP="005D0E7F">
            <w:pPr>
              <w:spacing w:line="276" w:lineRule="auto"/>
              <w:rPr>
                <w:rFonts w:ascii="宋体" w:hAnsi="宋体" w:cs="宋体"/>
                <w:kern w:val="0"/>
                <w:sz w:val="24"/>
              </w:rPr>
            </w:pPr>
          </w:p>
          <w:p w14:paraId="39AF682A" w14:textId="3C6F5543" w:rsidR="0078788F" w:rsidRDefault="0078788F" w:rsidP="0078788F">
            <w:pPr>
              <w:spacing w:line="276" w:lineRule="auto"/>
              <w:jc w:val="left"/>
              <w:rPr>
                <w:rFonts w:ascii="宋体" w:hAnsi="宋体" w:cs="宋体"/>
                <w:b/>
                <w:bCs/>
                <w:kern w:val="0"/>
                <w:sz w:val="24"/>
              </w:rPr>
            </w:pPr>
            <w:r>
              <w:rPr>
                <w:rFonts w:ascii="宋体" w:hAnsi="宋体" w:cs="宋体"/>
                <w:b/>
                <w:bCs/>
                <w:kern w:val="0"/>
                <w:sz w:val="24"/>
              </w:rPr>
              <w:t>Q</w:t>
            </w:r>
            <w:r>
              <w:rPr>
                <w:rFonts w:ascii="宋体" w:hAnsi="宋体" w:cs="宋体" w:hint="eastAsia"/>
                <w:b/>
                <w:bCs/>
                <w:kern w:val="0"/>
                <w:sz w:val="24"/>
              </w:rPr>
              <w:t>：</w:t>
            </w:r>
            <w:r w:rsidRPr="005D0E7F">
              <w:rPr>
                <w:rFonts w:ascii="宋体" w:hAnsi="宋体" w:cs="宋体" w:hint="eastAsia"/>
                <w:b/>
                <w:bCs/>
                <w:kern w:val="0"/>
                <w:sz w:val="24"/>
              </w:rPr>
              <w:t xml:space="preserve"> </w:t>
            </w:r>
            <w:r w:rsidR="005D758C">
              <w:rPr>
                <w:rFonts w:ascii="宋体" w:hAnsi="宋体" w:cs="宋体" w:hint="eastAsia"/>
                <w:b/>
                <w:bCs/>
                <w:kern w:val="0"/>
                <w:sz w:val="24"/>
              </w:rPr>
              <w:t>公司</w:t>
            </w:r>
            <w:r w:rsidR="008429F5">
              <w:rPr>
                <w:rFonts w:ascii="宋体" w:hAnsi="宋体" w:cs="宋体" w:hint="eastAsia"/>
                <w:b/>
                <w:bCs/>
                <w:kern w:val="0"/>
                <w:sz w:val="24"/>
              </w:rPr>
              <w:t>的创新体系建设情况</w:t>
            </w:r>
            <w:r w:rsidR="005D758C">
              <w:rPr>
                <w:rFonts w:ascii="宋体" w:hAnsi="宋体" w:cs="宋体" w:hint="eastAsia"/>
                <w:b/>
                <w:bCs/>
                <w:kern w:val="0"/>
                <w:sz w:val="24"/>
              </w:rPr>
              <w:t>？</w:t>
            </w:r>
          </w:p>
          <w:p w14:paraId="0965B352" w14:textId="01984595" w:rsidR="0078788F" w:rsidRPr="0078788F" w:rsidRDefault="0078788F" w:rsidP="00B20C79">
            <w:pPr>
              <w:spacing w:line="276" w:lineRule="auto"/>
              <w:rPr>
                <w:rFonts w:ascii="宋体" w:hAnsi="宋体" w:cs="宋体"/>
                <w:kern w:val="0"/>
                <w:sz w:val="24"/>
              </w:rPr>
            </w:pPr>
            <w:r>
              <w:rPr>
                <w:rFonts w:ascii="宋体" w:hAnsi="宋体" w:cs="宋体" w:hint="eastAsia"/>
                <w:kern w:val="0"/>
                <w:sz w:val="24"/>
              </w:rPr>
              <w:t>A：</w:t>
            </w:r>
            <w:r w:rsidR="00990586" w:rsidRPr="00990586">
              <w:rPr>
                <w:rFonts w:ascii="宋体" w:hAnsi="宋体" w:cs="宋体" w:hint="eastAsia"/>
                <w:kern w:val="0"/>
                <w:sz w:val="24"/>
              </w:rPr>
              <w:t>在研发体系上，公司一方面着力打造开源创新生态圈，持续推进创新生态的建设，不断提升研发效率与协同效能。比如，</w:t>
            </w:r>
            <w:r w:rsidR="00B20C79">
              <w:rPr>
                <w:rFonts w:ascii="宋体" w:hAnsi="宋体" w:cs="宋体" w:hint="eastAsia"/>
                <w:kern w:val="0"/>
                <w:sz w:val="24"/>
              </w:rPr>
              <w:t>公司的孵化平台</w:t>
            </w:r>
            <w:r w:rsidR="00990586" w:rsidRPr="00990586">
              <w:rPr>
                <w:rFonts w:ascii="宋体" w:hAnsi="宋体" w:cs="宋体" w:hint="eastAsia"/>
                <w:kern w:val="0"/>
                <w:sz w:val="24"/>
              </w:rPr>
              <w:t>上海前沿围绕打造“没有围墙”的研发创新与孵化转化平台，正式推出“INNO Agile”敏捷创投模式，构建“科学家PI+孵化主理人+前沿团队”三方协同、权责清晰、轻资产前置验证平台，打通从学术概念到工业级数据的转化通道。另一方面，公司不断强化自主研发能力，加强多肽、大分子、转化、小核酸等技术平台建设，进一步夯实自</w:t>
            </w:r>
            <w:proofErr w:type="gramStart"/>
            <w:r w:rsidR="00990586" w:rsidRPr="00990586">
              <w:rPr>
                <w:rFonts w:ascii="宋体" w:hAnsi="宋体" w:cs="宋体" w:hint="eastAsia"/>
                <w:kern w:val="0"/>
                <w:sz w:val="24"/>
              </w:rPr>
              <w:t>研</w:t>
            </w:r>
            <w:proofErr w:type="gramEnd"/>
            <w:r w:rsidR="00990586" w:rsidRPr="00990586">
              <w:rPr>
                <w:rFonts w:ascii="宋体" w:hAnsi="宋体" w:cs="宋体" w:hint="eastAsia"/>
                <w:kern w:val="0"/>
                <w:sz w:val="24"/>
              </w:rPr>
              <w:t>体系基础</w:t>
            </w:r>
            <w:r w:rsidR="00B20C79">
              <w:rPr>
                <w:rFonts w:ascii="宋体" w:hAnsi="宋体" w:cs="宋体" w:hint="eastAsia"/>
                <w:kern w:val="0"/>
                <w:sz w:val="24"/>
              </w:rPr>
              <w:t>，截至2</w:t>
            </w:r>
            <w:r w:rsidR="00B20C79">
              <w:rPr>
                <w:rFonts w:ascii="宋体" w:hAnsi="宋体" w:cs="宋体"/>
                <w:kern w:val="0"/>
                <w:sz w:val="24"/>
              </w:rPr>
              <w:t>026</w:t>
            </w:r>
            <w:r w:rsidR="00B20C79">
              <w:rPr>
                <w:rFonts w:ascii="宋体" w:hAnsi="宋体" w:cs="宋体" w:hint="eastAsia"/>
                <w:kern w:val="0"/>
                <w:sz w:val="24"/>
              </w:rPr>
              <w:t>年6月</w:t>
            </w:r>
            <w:r w:rsidR="004151C5">
              <w:rPr>
                <w:rFonts w:ascii="宋体" w:hAnsi="宋体" w:cs="宋体" w:hint="eastAsia"/>
                <w:kern w:val="0"/>
                <w:sz w:val="24"/>
              </w:rPr>
              <w:t>末</w:t>
            </w:r>
            <w:r w:rsidR="00B20C79">
              <w:rPr>
                <w:rFonts w:ascii="宋体" w:hAnsi="宋体" w:cs="宋体" w:hint="eastAsia"/>
                <w:kern w:val="0"/>
                <w:sz w:val="24"/>
              </w:rPr>
              <w:t>，</w:t>
            </w:r>
            <w:r w:rsidR="00B20C79" w:rsidRPr="00B20C79">
              <w:rPr>
                <w:rFonts w:ascii="宋体" w:hAnsi="宋体" w:cs="宋体" w:hint="eastAsia"/>
                <w:kern w:val="0"/>
                <w:sz w:val="24"/>
              </w:rPr>
              <w:t>公司提交临床试验申请获得受理及进入后续临床试验阶段的新药管线共计61项，包括创新药管线49项</w:t>
            </w:r>
            <w:r w:rsidR="00990586" w:rsidRPr="00990586">
              <w:rPr>
                <w:rFonts w:ascii="宋体" w:hAnsi="宋体" w:cs="宋体" w:hint="eastAsia"/>
                <w:kern w:val="0"/>
                <w:sz w:val="24"/>
              </w:rPr>
              <w:t>。</w:t>
            </w:r>
          </w:p>
          <w:p w14:paraId="3F500FEB" w14:textId="17D916C8" w:rsidR="000D45F8" w:rsidRDefault="000D45F8" w:rsidP="000D45F8">
            <w:pPr>
              <w:spacing w:line="276" w:lineRule="auto"/>
              <w:rPr>
                <w:rFonts w:ascii="宋体" w:hAnsi="宋体" w:cs="宋体"/>
                <w:kern w:val="0"/>
                <w:sz w:val="24"/>
              </w:rPr>
            </w:pPr>
          </w:p>
          <w:p w14:paraId="7E4BB658" w14:textId="2546E2B2" w:rsidR="005D0E7F" w:rsidRDefault="005D0E7F" w:rsidP="005D0E7F">
            <w:pPr>
              <w:spacing w:line="276" w:lineRule="auto"/>
              <w:jc w:val="left"/>
              <w:rPr>
                <w:rFonts w:ascii="宋体" w:hAnsi="宋体" w:cs="宋体"/>
                <w:b/>
                <w:bCs/>
                <w:kern w:val="0"/>
                <w:sz w:val="24"/>
              </w:rPr>
            </w:pPr>
            <w:r>
              <w:rPr>
                <w:rFonts w:ascii="宋体" w:hAnsi="宋体" w:cs="宋体"/>
                <w:b/>
                <w:bCs/>
                <w:kern w:val="0"/>
                <w:sz w:val="24"/>
              </w:rPr>
              <w:t>Q</w:t>
            </w:r>
            <w:r>
              <w:rPr>
                <w:rFonts w:ascii="宋体" w:hAnsi="宋体" w:cs="宋体" w:hint="eastAsia"/>
                <w:b/>
                <w:bCs/>
                <w:kern w:val="0"/>
                <w:sz w:val="24"/>
              </w:rPr>
              <w:t>：</w:t>
            </w:r>
            <w:r w:rsidRPr="005D0E7F">
              <w:rPr>
                <w:rFonts w:ascii="宋体" w:hAnsi="宋体" w:cs="宋体" w:hint="eastAsia"/>
                <w:b/>
                <w:bCs/>
                <w:kern w:val="0"/>
                <w:sz w:val="24"/>
              </w:rPr>
              <w:t>公司</w:t>
            </w:r>
            <w:r w:rsidR="008429F5">
              <w:rPr>
                <w:rFonts w:ascii="宋体" w:hAnsi="宋体" w:cs="宋体" w:hint="eastAsia"/>
                <w:b/>
                <w:bCs/>
                <w:kern w:val="0"/>
                <w:sz w:val="24"/>
              </w:rPr>
              <w:t>的分红计划</w:t>
            </w:r>
            <w:r w:rsidRPr="005D0E7F">
              <w:rPr>
                <w:rFonts w:ascii="宋体" w:hAnsi="宋体" w:cs="宋体" w:hint="eastAsia"/>
                <w:b/>
                <w:bCs/>
                <w:kern w:val="0"/>
                <w:sz w:val="24"/>
              </w:rPr>
              <w:t>？</w:t>
            </w:r>
          </w:p>
          <w:p w14:paraId="399F36F2" w14:textId="2D754E5D" w:rsidR="008429F5" w:rsidRPr="000D45F8" w:rsidRDefault="005D0E7F" w:rsidP="008429F5">
            <w:pPr>
              <w:spacing w:line="276" w:lineRule="auto"/>
              <w:rPr>
                <w:rFonts w:ascii="宋体" w:hAnsi="宋体" w:cs="宋体"/>
                <w:kern w:val="0"/>
                <w:sz w:val="24"/>
              </w:rPr>
            </w:pPr>
            <w:r>
              <w:rPr>
                <w:rFonts w:ascii="宋体" w:hAnsi="宋体" w:cs="宋体" w:hint="eastAsia"/>
                <w:kern w:val="0"/>
                <w:sz w:val="24"/>
              </w:rPr>
              <w:t>A</w:t>
            </w:r>
            <w:r w:rsidR="008429F5">
              <w:rPr>
                <w:rFonts w:ascii="宋体" w:hAnsi="宋体" w:cs="宋体" w:hint="eastAsia"/>
                <w:kern w:val="0"/>
                <w:sz w:val="24"/>
              </w:rPr>
              <w:t>：</w:t>
            </w:r>
            <w:r w:rsidR="008429F5" w:rsidRPr="008429F5">
              <w:rPr>
                <w:rFonts w:ascii="宋体" w:hAnsi="宋体" w:cs="宋体" w:hint="eastAsia"/>
                <w:kern w:val="0"/>
                <w:sz w:val="24"/>
              </w:rPr>
              <w:t>在分红方面，</w:t>
            </w:r>
            <w:r w:rsidR="008429F5">
              <w:rPr>
                <w:rFonts w:ascii="宋体" w:hAnsi="宋体" w:cs="宋体" w:hint="eastAsia"/>
                <w:kern w:val="0"/>
                <w:sz w:val="24"/>
              </w:rPr>
              <w:t>公司在</w:t>
            </w:r>
            <w:r w:rsidR="008429F5" w:rsidRPr="008429F5">
              <w:rPr>
                <w:rFonts w:ascii="宋体" w:hAnsi="宋体" w:cs="宋体" w:hint="eastAsia"/>
                <w:kern w:val="0"/>
                <w:sz w:val="24"/>
              </w:rPr>
              <w:t>确保</w:t>
            </w:r>
            <w:r w:rsidR="005B74E2" w:rsidRPr="005B74E2">
              <w:rPr>
                <w:rFonts w:ascii="宋体" w:hAnsi="宋体" w:cs="宋体" w:hint="eastAsia"/>
                <w:kern w:val="0"/>
                <w:sz w:val="24"/>
              </w:rPr>
              <w:t>最近三年现金分红累计分配的利润不少于最近三年实现的年均可分配利润</w:t>
            </w:r>
            <w:r w:rsidR="004C0F56">
              <w:rPr>
                <w:rFonts w:ascii="宋体" w:hAnsi="宋体" w:cs="宋体" w:hint="eastAsia"/>
                <w:kern w:val="0"/>
                <w:sz w:val="24"/>
              </w:rPr>
              <w:t>的</w:t>
            </w:r>
            <w:r w:rsidR="005B74E2">
              <w:rPr>
                <w:rFonts w:ascii="宋体" w:hAnsi="宋体" w:cs="宋体" w:hint="eastAsia"/>
                <w:kern w:val="0"/>
                <w:sz w:val="24"/>
              </w:rPr>
              <w:t>3</w:t>
            </w:r>
            <w:r w:rsidR="005B74E2">
              <w:rPr>
                <w:rFonts w:ascii="宋体" w:hAnsi="宋体" w:cs="宋体"/>
                <w:kern w:val="0"/>
                <w:sz w:val="24"/>
              </w:rPr>
              <w:t>0%</w:t>
            </w:r>
            <w:r w:rsidR="004C0F56">
              <w:rPr>
                <w:rFonts w:ascii="宋体" w:hAnsi="宋体" w:cs="宋体" w:hint="eastAsia"/>
                <w:kern w:val="0"/>
                <w:sz w:val="24"/>
              </w:rPr>
              <w:t>这一</w:t>
            </w:r>
            <w:r w:rsidR="008429F5" w:rsidRPr="008429F5">
              <w:rPr>
                <w:rFonts w:ascii="宋体" w:hAnsi="宋体" w:cs="宋体" w:hint="eastAsia"/>
                <w:kern w:val="0"/>
                <w:sz w:val="24"/>
              </w:rPr>
              <w:t>基础上</w:t>
            </w:r>
            <w:r w:rsidR="008429F5">
              <w:rPr>
                <w:rFonts w:ascii="宋体" w:hAnsi="宋体" w:cs="宋体" w:hint="eastAsia"/>
                <w:kern w:val="0"/>
                <w:sz w:val="24"/>
              </w:rPr>
              <w:t>，</w:t>
            </w:r>
            <w:r w:rsidR="008429F5" w:rsidRPr="008429F5">
              <w:rPr>
                <w:rFonts w:ascii="宋体" w:hAnsi="宋体" w:cs="宋体" w:hint="eastAsia"/>
                <w:kern w:val="0"/>
                <w:sz w:val="24"/>
              </w:rPr>
              <w:t>综合考虑公司盈利情况、发展阶段、资金安排、未来成长需要和对股东的合理回报等因素后</w:t>
            </w:r>
            <w:r w:rsidR="008429F5">
              <w:rPr>
                <w:rFonts w:ascii="宋体" w:hAnsi="宋体" w:cs="宋体" w:hint="eastAsia"/>
                <w:kern w:val="0"/>
                <w:sz w:val="24"/>
              </w:rPr>
              <w:t>，</w:t>
            </w:r>
            <w:r w:rsidR="008429F5" w:rsidRPr="008429F5">
              <w:rPr>
                <w:rFonts w:ascii="宋体" w:hAnsi="宋体" w:cs="宋体" w:hint="eastAsia"/>
                <w:kern w:val="0"/>
                <w:sz w:val="24"/>
              </w:rPr>
              <w:t>制定</w:t>
            </w:r>
            <w:r w:rsidR="008429F5">
              <w:rPr>
                <w:rFonts w:ascii="宋体" w:hAnsi="宋体" w:cs="宋体" w:hint="eastAsia"/>
                <w:kern w:val="0"/>
                <w:sz w:val="24"/>
              </w:rPr>
              <w:t>未来的</w:t>
            </w:r>
            <w:r w:rsidR="008429F5" w:rsidRPr="008429F5">
              <w:rPr>
                <w:rFonts w:ascii="宋体" w:hAnsi="宋体" w:cs="宋体" w:hint="eastAsia"/>
                <w:kern w:val="0"/>
                <w:sz w:val="24"/>
              </w:rPr>
              <w:t>分红方案</w:t>
            </w:r>
            <w:r w:rsidR="008429F5">
              <w:rPr>
                <w:rFonts w:ascii="宋体" w:hAnsi="宋体" w:cs="宋体" w:hint="eastAsia"/>
                <w:kern w:val="0"/>
                <w:sz w:val="24"/>
              </w:rPr>
              <w:t>。目前</w:t>
            </w:r>
            <w:r w:rsidR="008429F5" w:rsidRPr="008429F5">
              <w:rPr>
                <w:rFonts w:ascii="宋体" w:hAnsi="宋体" w:cs="宋体" w:hint="eastAsia"/>
                <w:kern w:val="0"/>
                <w:sz w:val="24"/>
              </w:rPr>
              <w:t>，</w:t>
            </w:r>
            <w:r w:rsidR="008429F5">
              <w:rPr>
                <w:rFonts w:ascii="宋体" w:hAnsi="宋体" w:cs="宋体" w:hint="eastAsia"/>
                <w:kern w:val="0"/>
                <w:sz w:val="24"/>
              </w:rPr>
              <w:t>公司已</w:t>
            </w:r>
            <w:r w:rsidR="008429F5" w:rsidRPr="008429F5">
              <w:rPr>
                <w:rFonts w:ascii="宋体" w:hAnsi="宋体" w:cs="宋体" w:hint="eastAsia"/>
                <w:kern w:val="0"/>
                <w:sz w:val="24"/>
              </w:rPr>
              <w:t>于2024年-2026年增加了分红频次</w:t>
            </w:r>
            <w:r w:rsidR="004151C5">
              <w:rPr>
                <w:rFonts w:ascii="宋体" w:hAnsi="宋体" w:cs="宋体" w:hint="eastAsia"/>
                <w:kern w:val="0"/>
                <w:sz w:val="24"/>
              </w:rPr>
              <w:t>。</w:t>
            </w:r>
            <w:r w:rsidR="008429F5" w:rsidRPr="008429F5">
              <w:rPr>
                <w:rFonts w:ascii="宋体" w:hAnsi="宋体" w:cs="宋体" w:hint="eastAsia"/>
                <w:kern w:val="0"/>
                <w:sz w:val="24"/>
              </w:rPr>
              <w:t>其中，2025年年度分红已</w:t>
            </w:r>
            <w:r w:rsidR="00C71533">
              <w:rPr>
                <w:rFonts w:ascii="宋体" w:hAnsi="宋体" w:cs="宋体" w:hint="eastAsia"/>
                <w:kern w:val="0"/>
                <w:sz w:val="24"/>
              </w:rPr>
              <w:t>于</w:t>
            </w:r>
            <w:r w:rsidR="008429F5" w:rsidRPr="008429F5">
              <w:rPr>
                <w:rFonts w:ascii="宋体" w:hAnsi="宋体" w:cs="宋体" w:hint="eastAsia"/>
                <w:kern w:val="0"/>
                <w:sz w:val="24"/>
              </w:rPr>
              <w:t>今年</w:t>
            </w:r>
            <w:r w:rsidR="004151C5">
              <w:rPr>
                <w:rFonts w:ascii="宋体" w:hAnsi="宋体" w:cs="宋体"/>
                <w:kern w:val="0"/>
                <w:sz w:val="24"/>
              </w:rPr>
              <w:t>8</w:t>
            </w:r>
            <w:r w:rsidR="008429F5" w:rsidRPr="008429F5">
              <w:rPr>
                <w:rFonts w:ascii="宋体" w:hAnsi="宋体" w:cs="宋体" w:hint="eastAsia"/>
                <w:kern w:val="0"/>
                <w:sz w:val="24"/>
              </w:rPr>
              <w:t>月</w:t>
            </w:r>
            <w:r w:rsidR="004151C5">
              <w:rPr>
                <w:rFonts w:ascii="宋体" w:hAnsi="宋体" w:cs="宋体" w:hint="eastAsia"/>
                <w:kern w:val="0"/>
                <w:sz w:val="24"/>
              </w:rPr>
              <w:t>前完成</w:t>
            </w:r>
            <w:r w:rsidR="008429F5" w:rsidRPr="008429F5">
              <w:rPr>
                <w:rFonts w:ascii="宋体" w:hAnsi="宋体" w:cs="宋体" w:hint="eastAsia"/>
                <w:kern w:val="0"/>
                <w:sz w:val="24"/>
              </w:rPr>
              <w:t>分配</w:t>
            </w:r>
            <w:r w:rsidR="004151C5">
              <w:rPr>
                <w:rFonts w:ascii="宋体" w:hAnsi="宋体" w:cs="宋体" w:hint="eastAsia"/>
                <w:kern w:val="0"/>
                <w:sz w:val="24"/>
              </w:rPr>
              <w:t>；</w:t>
            </w:r>
            <w:r w:rsidR="008429F5" w:rsidRPr="008429F5">
              <w:rPr>
                <w:rFonts w:ascii="宋体" w:hAnsi="宋体" w:cs="宋体" w:hint="eastAsia"/>
                <w:kern w:val="0"/>
                <w:sz w:val="24"/>
              </w:rPr>
              <w:t>2026年中期分红</w:t>
            </w:r>
            <w:r w:rsidR="004151C5">
              <w:rPr>
                <w:rFonts w:ascii="宋体" w:hAnsi="宋体" w:cs="宋体" w:hint="eastAsia"/>
                <w:kern w:val="0"/>
                <w:sz w:val="24"/>
              </w:rPr>
              <w:t>的A股部分已</w:t>
            </w:r>
            <w:r w:rsidR="008429F5">
              <w:rPr>
                <w:rFonts w:ascii="宋体" w:hAnsi="宋体" w:cs="宋体" w:hint="eastAsia"/>
                <w:kern w:val="0"/>
                <w:sz w:val="24"/>
              </w:rPr>
              <w:t>于9月</w:t>
            </w:r>
            <w:r w:rsidR="004151C5">
              <w:rPr>
                <w:rFonts w:ascii="宋体" w:hAnsi="宋体" w:cs="宋体" w:hint="eastAsia"/>
                <w:kern w:val="0"/>
                <w:sz w:val="24"/>
              </w:rPr>
              <w:t>底前完成</w:t>
            </w:r>
            <w:r w:rsidR="008429F5">
              <w:rPr>
                <w:rFonts w:ascii="宋体" w:hAnsi="宋体" w:cs="宋体" w:hint="eastAsia"/>
                <w:kern w:val="0"/>
                <w:sz w:val="24"/>
              </w:rPr>
              <w:t>分配</w:t>
            </w:r>
            <w:r w:rsidR="004151C5">
              <w:rPr>
                <w:rFonts w:ascii="宋体" w:hAnsi="宋体" w:cs="宋体" w:hint="eastAsia"/>
                <w:kern w:val="0"/>
                <w:sz w:val="24"/>
              </w:rPr>
              <w:t>（H股的部分将于1</w:t>
            </w:r>
            <w:r w:rsidR="004151C5">
              <w:rPr>
                <w:rFonts w:ascii="宋体" w:hAnsi="宋体" w:cs="宋体"/>
                <w:kern w:val="0"/>
                <w:sz w:val="24"/>
              </w:rPr>
              <w:t>0</w:t>
            </w:r>
            <w:r w:rsidR="004151C5">
              <w:rPr>
                <w:rFonts w:ascii="宋体" w:hAnsi="宋体" w:cs="宋体" w:hint="eastAsia"/>
                <w:kern w:val="0"/>
                <w:sz w:val="24"/>
              </w:rPr>
              <w:t>月底前完成分配）</w:t>
            </w:r>
            <w:r w:rsidR="008429F5" w:rsidRPr="008429F5">
              <w:rPr>
                <w:rFonts w:ascii="宋体" w:hAnsi="宋体" w:cs="宋体" w:hint="eastAsia"/>
                <w:kern w:val="0"/>
                <w:sz w:val="24"/>
              </w:rPr>
              <w:t>。</w:t>
            </w:r>
            <w:r w:rsidR="00C71533">
              <w:rPr>
                <w:rFonts w:ascii="宋体" w:hAnsi="宋体" w:cs="宋体" w:hint="eastAsia"/>
                <w:kern w:val="0"/>
                <w:sz w:val="24"/>
              </w:rPr>
              <w:t>未来，公司</w:t>
            </w:r>
            <w:r w:rsidR="008429F5" w:rsidRPr="008429F5">
              <w:rPr>
                <w:rFonts w:ascii="宋体" w:hAnsi="宋体" w:cs="宋体" w:hint="eastAsia"/>
                <w:kern w:val="0"/>
                <w:sz w:val="24"/>
              </w:rPr>
              <w:t>将根据实际经营状况以及现金需求来确定未来的分红比例。</w:t>
            </w:r>
          </w:p>
          <w:p w14:paraId="2B176AC0" w14:textId="2B738F0C" w:rsidR="0078788F" w:rsidRPr="000D45F8" w:rsidRDefault="0078788F" w:rsidP="00BD11B6">
            <w:pPr>
              <w:spacing w:line="276" w:lineRule="auto"/>
              <w:rPr>
                <w:rFonts w:ascii="宋体" w:hAnsi="宋体" w:cs="宋体"/>
                <w:kern w:val="0"/>
                <w:sz w:val="24"/>
              </w:rPr>
            </w:pPr>
          </w:p>
        </w:tc>
      </w:tr>
      <w:tr w:rsidR="002A5217" w14:paraId="5C1AF499" w14:textId="77777777">
        <w:trPr>
          <w:trHeight w:val="1024"/>
          <w:jc w:val="center"/>
        </w:trPr>
        <w:tc>
          <w:tcPr>
            <w:tcW w:w="1262" w:type="dxa"/>
            <w:tcBorders>
              <w:top w:val="single" w:sz="4" w:space="0" w:color="000000"/>
              <w:left w:val="single" w:sz="4" w:space="0" w:color="000000"/>
              <w:bottom w:val="single" w:sz="4" w:space="0" w:color="000000"/>
              <w:right w:val="single" w:sz="4" w:space="0" w:color="000000"/>
            </w:tcBorders>
            <w:vAlign w:val="center"/>
          </w:tcPr>
          <w:p w14:paraId="58757293" w14:textId="77777777" w:rsidR="002A5217" w:rsidRDefault="009C092B">
            <w:pPr>
              <w:spacing w:line="440" w:lineRule="exact"/>
              <w:ind w:firstLineChars="50" w:firstLine="120"/>
              <w:rPr>
                <w:rStyle w:val="NormalCharacter"/>
                <w:rFonts w:ascii="宋体" w:hAnsi="宋体"/>
                <w:bCs/>
                <w:iCs/>
                <w:sz w:val="24"/>
              </w:rPr>
            </w:pPr>
            <w:r>
              <w:rPr>
                <w:rStyle w:val="NormalCharacter"/>
                <w:rFonts w:ascii="宋体" w:hAnsi="宋体"/>
                <w:bCs/>
                <w:iCs/>
                <w:sz w:val="24"/>
              </w:rPr>
              <w:lastRenderedPageBreak/>
              <w:t>附件清单（如有）</w:t>
            </w:r>
          </w:p>
        </w:tc>
        <w:tc>
          <w:tcPr>
            <w:tcW w:w="7282" w:type="dxa"/>
            <w:tcBorders>
              <w:top w:val="single" w:sz="4" w:space="0" w:color="000000"/>
              <w:left w:val="single" w:sz="4" w:space="0" w:color="000000"/>
              <w:bottom w:val="single" w:sz="4" w:space="0" w:color="000000"/>
              <w:right w:val="single" w:sz="4" w:space="0" w:color="000000"/>
            </w:tcBorders>
          </w:tcPr>
          <w:p w14:paraId="2CB94F10" w14:textId="77777777" w:rsidR="002A5217" w:rsidRDefault="009C092B">
            <w:pPr>
              <w:spacing w:line="440" w:lineRule="exact"/>
              <w:rPr>
                <w:rStyle w:val="NormalCharacter"/>
                <w:rFonts w:ascii="宋体" w:hAnsi="宋体"/>
                <w:bCs/>
                <w:iCs/>
                <w:sz w:val="24"/>
              </w:rPr>
            </w:pPr>
            <w:r>
              <w:rPr>
                <w:rStyle w:val="NormalCharacter"/>
                <w:rFonts w:ascii="宋体" w:hAnsi="宋体"/>
                <w:bCs/>
                <w:iCs/>
                <w:sz w:val="24"/>
              </w:rPr>
              <w:t>无</w:t>
            </w:r>
          </w:p>
        </w:tc>
      </w:tr>
      <w:tr w:rsidR="002A5217" w14:paraId="59AB9622" w14:textId="77777777">
        <w:trPr>
          <w:jc w:val="center"/>
        </w:trPr>
        <w:tc>
          <w:tcPr>
            <w:tcW w:w="1262" w:type="dxa"/>
            <w:tcBorders>
              <w:top w:val="single" w:sz="4" w:space="0" w:color="000000"/>
              <w:left w:val="single" w:sz="4" w:space="0" w:color="000000"/>
              <w:bottom w:val="single" w:sz="4" w:space="0" w:color="000000"/>
              <w:right w:val="single" w:sz="4" w:space="0" w:color="000000"/>
            </w:tcBorders>
            <w:vAlign w:val="center"/>
          </w:tcPr>
          <w:p w14:paraId="11267EFB" w14:textId="77777777" w:rsidR="002A5217" w:rsidRDefault="009C092B">
            <w:pPr>
              <w:spacing w:line="440" w:lineRule="exact"/>
              <w:rPr>
                <w:rStyle w:val="NormalCharacter"/>
                <w:rFonts w:ascii="宋体" w:hAnsi="宋体"/>
                <w:bCs/>
                <w:iCs/>
                <w:sz w:val="24"/>
              </w:rPr>
            </w:pPr>
            <w:r>
              <w:rPr>
                <w:rStyle w:val="NormalCharacter"/>
                <w:rFonts w:ascii="宋体" w:hAnsi="宋体" w:hint="eastAsia"/>
                <w:bCs/>
                <w:iCs/>
                <w:sz w:val="24"/>
              </w:rPr>
              <w:t>注意事项</w:t>
            </w:r>
          </w:p>
        </w:tc>
        <w:tc>
          <w:tcPr>
            <w:tcW w:w="7282" w:type="dxa"/>
            <w:tcBorders>
              <w:top w:val="single" w:sz="4" w:space="0" w:color="000000"/>
              <w:left w:val="single" w:sz="4" w:space="0" w:color="000000"/>
              <w:bottom w:val="single" w:sz="4" w:space="0" w:color="000000"/>
              <w:right w:val="single" w:sz="4" w:space="0" w:color="000000"/>
            </w:tcBorders>
          </w:tcPr>
          <w:p w14:paraId="0CE21E28" w14:textId="77777777" w:rsidR="002A5217" w:rsidRDefault="009C092B">
            <w:pPr>
              <w:spacing w:line="276" w:lineRule="auto"/>
              <w:rPr>
                <w:rStyle w:val="NormalCharacter"/>
                <w:rFonts w:ascii="宋体" w:hAnsi="宋体"/>
                <w:bCs/>
                <w:iCs/>
                <w:sz w:val="24"/>
              </w:rPr>
            </w:pPr>
            <w:r>
              <w:rPr>
                <w:rFonts w:hint="eastAsia"/>
                <w:sz w:val="24"/>
              </w:rPr>
              <w:t>公司严格</w:t>
            </w:r>
            <w:proofErr w:type="gramStart"/>
            <w:r>
              <w:rPr>
                <w:rFonts w:hint="eastAsia"/>
                <w:sz w:val="24"/>
              </w:rPr>
              <w:t>遵守信披</w:t>
            </w:r>
            <w:proofErr w:type="gramEnd"/>
            <w:r>
              <w:rPr>
                <w:rFonts w:hint="eastAsia"/>
                <w:sz w:val="24"/>
              </w:rPr>
              <w:t>规则进行投资者交流，如涉及公司未来计划、发展战略等前瞻性描述，不构成公司对投资者的实质性承诺。</w:t>
            </w:r>
          </w:p>
        </w:tc>
      </w:tr>
    </w:tbl>
    <w:p w14:paraId="26AB79A2" w14:textId="77777777" w:rsidR="002A5217" w:rsidRDefault="002A5217">
      <w:pPr>
        <w:spacing w:line="440" w:lineRule="exact"/>
        <w:rPr>
          <w:rStyle w:val="NormalCharacter"/>
          <w:rFonts w:ascii="宋体" w:hAnsi="宋体"/>
          <w:sz w:val="24"/>
        </w:rPr>
      </w:pPr>
    </w:p>
    <w:sectPr w:rsidR="002A5217">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5238D" w14:textId="77777777" w:rsidR="00B63E43" w:rsidRDefault="00B63E43">
      <w:r>
        <w:separator/>
      </w:r>
    </w:p>
  </w:endnote>
  <w:endnote w:type="continuationSeparator" w:id="0">
    <w:p w14:paraId="180CFC55" w14:textId="77777777" w:rsidR="00B63E43" w:rsidRDefault="00B6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E390" w14:textId="77777777" w:rsidR="002A5217" w:rsidRDefault="002A5217">
    <w:pPr>
      <w:pStyle w:val="a9"/>
      <w:framePr w:wrap="around" w:hAnchor="text" w:xAlign="center" w:y="1"/>
      <w:rPr>
        <w:rStyle w:val="PageNumber"/>
      </w:rPr>
    </w:pPr>
  </w:p>
  <w:p w14:paraId="7914E9DE" w14:textId="77777777" w:rsidR="002A5217" w:rsidRDefault="002A5217">
    <w:pPr>
      <w:pStyle w:val="a9"/>
      <w:rPr>
        <w:rStyle w:val="NormalCharact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52AF" w14:textId="77777777" w:rsidR="002A5217" w:rsidRDefault="009C092B">
    <w:pPr>
      <w:pStyle w:val="a9"/>
      <w:jc w:val="center"/>
    </w:pPr>
    <w:r>
      <w:fldChar w:fldCharType="begin"/>
    </w:r>
    <w:r>
      <w:instrText xml:space="preserve"> PAGE   \* MERGEFORMAT </w:instrText>
    </w:r>
    <w:r>
      <w:fldChar w:fldCharType="separate"/>
    </w:r>
    <w:r>
      <w:rPr>
        <w:lang w:val="zh-CN"/>
      </w:rPr>
      <w:t>3</w:t>
    </w:r>
    <w:r>
      <w:rPr>
        <w:lang w:val="zh-CN"/>
      </w:rPr>
      <w:fldChar w:fldCharType="end"/>
    </w:r>
  </w:p>
  <w:p w14:paraId="098BCA03" w14:textId="77777777" w:rsidR="002A5217" w:rsidRDefault="002A5217">
    <w:pPr>
      <w:pStyle w:val="a9"/>
      <w:rPr>
        <w:rStyle w:val="NormalCharac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E4E1C" w14:textId="77777777" w:rsidR="00B63E43" w:rsidRDefault="00B63E43">
      <w:r>
        <w:separator/>
      </w:r>
    </w:p>
  </w:footnote>
  <w:footnote w:type="continuationSeparator" w:id="0">
    <w:p w14:paraId="4DF239FA" w14:textId="77777777" w:rsidR="00B63E43" w:rsidRDefault="00B63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AFDF" w14:textId="77777777" w:rsidR="002A5217" w:rsidRDefault="002A5217">
    <w:pPr>
      <w:pStyle w:val="ab"/>
      <w:pBdr>
        <w:bottom w:val="none" w:sz="0" w:space="0" w:color="auto"/>
      </w:pBdr>
      <w:rPr>
        <w:rStyle w:val="NormalCharacte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420"/>
  <w:doNotUseMarginsForDrawingGridOrigin/>
  <w:drawingGridHorizontalOrigin w:val="1800"/>
  <w:drawingGridVerticalOrigin w:val="1440"/>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1D"/>
    <w:rsid w:val="00002C55"/>
    <w:rsid w:val="000106BF"/>
    <w:rsid w:val="00016EAE"/>
    <w:rsid w:val="000176D7"/>
    <w:rsid w:val="00031563"/>
    <w:rsid w:val="0003334F"/>
    <w:rsid w:val="00033A55"/>
    <w:rsid w:val="00040C5D"/>
    <w:rsid w:val="00043366"/>
    <w:rsid w:val="00052197"/>
    <w:rsid w:val="000564B0"/>
    <w:rsid w:val="000767B8"/>
    <w:rsid w:val="000867C7"/>
    <w:rsid w:val="00095809"/>
    <w:rsid w:val="000A0CB1"/>
    <w:rsid w:val="000C227F"/>
    <w:rsid w:val="000C281C"/>
    <w:rsid w:val="000C74D8"/>
    <w:rsid w:val="000D45F8"/>
    <w:rsid w:val="000D4D91"/>
    <w:rsid w:val="000E1D70"/>
    <w:rsid w:val="000E5E07"/>
    <w:rsid w:val="00114FD0"/>
    <w:rsid w:val="0012046E"/>
    <w:rsid w:val="001209B2"/>
    <w:rsid w:val="001221D9"/>
    <w:rsid w:val="00125BDA"/>
    <w:rsid w:val="001273E4"/>
    <w:rsid w:val="001423EA"/>
    <w:rsid w:val="0015162D"/>
    <w:rsid w:val="00162E1B"/>
    <w:rsid w:val="00173E79"/>
    <w:rsid w:val="001801D1"/>
    <w:rsid w:val="00191176"/>
    <w:rsid w:val="001B7189"/>
    <w:rsid w:val="001C5440"/>
    <w:rsid w:val="001F77A7"/>
    <w:rsid w:val="002165E9"/>
    <w:rsid w:val="00223643"/>
    <w:rsid w:val="00223D7B"/>
    <w:rsid w:val="002269FA"/>
    <w:rsid w:val="00233822"/>
    <w:rsid w:val="002343C0"/>
    <w:rsid w:val="00236E34"/>
    <w:rsid w:val="0024381D"/>
    <w:rsid w:val="00263447"/>
    <w:rsid w:val="00285714"/>
    <w:rsid w:val="00292E82"/>
    <w:rsid w:val="002A5217"/>
    <w:rsid w:val="002A5E05"/>
    <w:rsid w:val="002B163F"/>
    <w:rsid w:val="002B2DFE"/>
    <w:rsid w:val="002B58AA"/>
    <w:rsid w:val="002B65B4"/>
    <w:rsid w:val="002C42AB"/>
    <w:rsid w:val="002C6B79"/>
    <w:rsid w:val="002F1713"/>
    <w:rsid w:val="002F3053"/>
    <w:rsid w:val="002F7159"/>
    <w:rsid w:val="00307DBE"/>
    <w:rsid w:val="00321F3A"/>
    <w:rsid w:val="00327A2B"/>
    <w:rsid w:val="003452E5"/>
    <w:rsid w:val="00346511"/>
    <w:rsid w:val="003574FC"/>
    <w:rsid w:val="00371FFD"/>
    <w:rsid w:val="00372916"/>
    <w:rsid w:val="0038018B"/>
    <w:rsid w:val="00380974"/>
    <w:rsid w:val="00390461"/>
    <w:rsid w:val="003A2CB1"/>
    <w:rsid w:val="003C3AAB"/>
    <w:rsid w:val="003C4F10"/>
    <w:rsid w:val="003C5D1E"/>
    <w:rsid w:val="003C767A"/>
    <w:rsid w:val="003D4770"/>
    <w:rsid w:val="003E6A30"/>
    <w:rsid w:val="003F54AA"/>
    <w:rsid w:val="004117E0"/>
    <w:rsid w:val="004151C5"/>
    <w:rsid w:val="004167A3"/>
    <w:rsid w:val="0042255F"/>
    <w:rsid w:val="0044657F"/>
    <w:rsid w:val="004611B6"/>
    <w:rsid w:val="004642AD"/>
    <w:rsid w:val="004732AE"/>
    <w:rsid w:val="0048115A"/>
    <w:rsid w:val="00485133"/>
    <w:rsid w:val="00490438"/>
    <w:rsid w:val="0049785A"/>
    <w:rsid w:val="004B3699"/>
    <w:rsid w:val="004C0F56"/>
    <w:rsid w:val="004C324D"/>
    <w:rsid w:val="004C3851"/>
    <w:rsid w:val="004C7F2D"/>
    <w:rsid w:val="004D1335"/>
    <w:rsid w:val="004E2C16"/>
    <w:rsid w:val="004E500B"/>
    <w:rsid w:val="004F59DA"/>
    <w:rsid w:val="005009F0"/>
    <w:rsid w:val="00506348"/>
    <w:rsid w:val="005064E8"/>
    <w:rsid w:val="0051714D"/>
    <w:rsid w:val="00517951"/>
    <w:rsid w:val="0054105C"/>
    <w:rsid w:val="00541826"/>
    <w:rsid w:val="00545187"/>
    <w:rsid w:val="00547FC7"/>
    <w:rsid w:val="005831D8"/>
    <w:rsid w:val="005B0843"/>
    <w:rsid w:val="005B2473"/>
    <w:rsid w:val="005B74E2"/>
    <w:rsid w:val="005C51BA"/>
    <w:rsid w:val="005D0E7F"/>
    <w:rsid w:val="005D37C3"/>
    <w:rsid w:val="005D758C"/>
    <w:rsid w:val="005E5816"/>
    <w:rsid w:val="005E779E"/>
    <w:rsid w:val="005F66A3"/>
    <w:rsid w:val="005F6D2F"/>
    <w:rsid w:val="00604096"/>
    <w:rsid w:val="0060732D"/>
    <w:rsid w:val="00654E82"/>
    <w:rsid w:val="00667C5C"/>
    <w:rsid w:val="00670FF2"/>
    <w:rsid w:val="0068469E"/>
    <w:rsid w:val="00684A43"/>
    <w:rsid w:val="006A04CD"/>
    <w:rsid w:val="006A1ED5"/>
    <w:rsid w:val="006B0979"/>
    <w:rsid w:val="006C7D17"/>
    <w:rsid w:val="006D32C2"/>
    <w:rsid w:val="00701239"/>
    <w:rsid w:val="00707663"/>
    <w:rsid w:val="007139E4"/>
    <w:rsid w:val="00720FD7"/>
    <w:rsid w:val="007220FC"/>
    <w:rsid w:val="00722D51"/>
    <w:rsid w:val="0072437E"/>
    <w:rsid w:val="0073265E"/>
    <w:rsid w:val="00733A5A"/>
    <w:rsid w:val="00735B26"/>
    <w:rsid w:val="0074282E"/>
    <w:rsid w:val="00744D17"/>
    <w:rsid w:val="00745663"/>
    <w:rsid w:val="007554F2"/>
    <w:rsid w:val="00756FF9"/>
    <w:rsid w:val="007611E2"/>
    <w:rsid w:val="00770160"/>
    <w:rsid w:val="0078788F"/>
    <w:rsid w:val="007B3F51"/>
    <w:rsid w:val="007C767D"/>
    <w:rsid w:val="008429F5"/>
    <w:rsid w:val="00881D7A"/>
    <w:rsid w:val="00885FE2"/>
    <w:rsid w:val="008C0901"/>
    <w:rsid w:val="008C5203"/>
    <w:rsid w:val="008F7B79"/>
    <w:rsid w:val="0093246F"/>
    <w:rsid w:val="00952A31"/>
    <w:rsid w:val="009602B3"/>
    <w:rsid w:val="00962079"/>
    <w:rsid w:val="009652FF"/>
    <w:rsid w:val="0097541E"/>
    <w:rsid w:val="009762B3"/>
    <w:rsid w:val="00990586"/>
    <w:rsid w:val="009B014C"/>
    <w:rsid w:val="009C092B"/>
    <w:rsid w:val="00A07D3A"/>
    <w:rsid w:val="00A20F79"/>
    <w:rsid w:val="00A2283F"/>
    <w:rsid w:val="00A31E51"/>
    <w:rsid w:val="00A40C32"/>
    <w:rsid w:val="00A53B84"/>
    <w:rsid w:val="00A8351D"/>
    <w:rsid w:val="00A86522"/>
    <w:rsid w:val="00A934AA"/>
    <w:rsid w:val="00AA0504"/>
    <w:rsid w:val="00AA0D98"/>
    <w:rsid w:val="00AB4FB7"/>
    <w:rsid w:val="00AC2889"/>
    <w:rsid w:val="00AC3736"/>
    <w:rsid w:val="00AD36AC"/>
    <w:rsid w:val="00AE5D7E"/>
    <w:rsid w:val="00AF09C3"/>
    <w:rsid w:val="00AF0F25"/>
    <w:rsid w:val="00AF5CEF"/>
    <w:rsid w:val="00B03EF8"/>
    <w:rsid w:val="00B13F37"/>
    <w:rsid w:val="00B14369"/>
    <w:rsid w:val="00B20C79"/>
    <w:rsid w:val="00B3209A"/>
    <w:rsid w:val="00B454CB"/>
    <w:rsid w:val="00B52F84"/>
    <w:rsid w:val="00B60FF5"/>
    <w:rsid w:val="00B63E43"/>
    <w:rsid w:val="00B722EB"/>
    <w:rsid w:val="00B83D45"/>
    <w:rsid w:val="00BA0014"/>
    <w:rsid w:val="00BA1E4C"/>
    <w:rsid w:val="00BA48DD"/>
    <w:rsid w:val="00BA6BBB"/>
    <w:rsid w:val="00BB2E68"/>
    <w:rsid w:val="00BD11B6"/>
    <w:rsid w:val="00BD4000"/>
    <w:rsid w:val="00BE31D8"/>
    <w:rsid w:val="00C14789"/>
    <w:rsid w:val="00C242EB"/>
    <w:rsid w:val="00C36353"/>
    <w:rsid w:val="00C4177A"/>
    <w:rsid w:val="00C4569F"/>
    <w:rsid w:val="00C6565B"/>
    <w:rsid w:val="00C71533"/>
    <w:rsid w:val="00CA1744"/>
    <w:rsid w:val="00CA3A36"/>
    <w:rsid w:val="00CB5C96"/>
    <w:rsid w:val="00CB7D45"/>
    <w:rsid w:val="00CE08CC"/>
    <w:rsid w:val="00D2297A"/>
    <w:rsid w:val="00D33D69"/>
    <w:rsid w:val="00D400E9"/>
    <w:rsid w:val="00D56194"/>
    <w:rsid w:val="00D61FE4"/>
    <w:rsid w:val="00D642F8"/>
    <w:rsid w:val="00D64C28"/>
    <w:rsid w:val="00D73FC5"/>
    <w:rsid w:val="00D819BC"/>
    <w:rsid w:val="00D868F4"/>
    <w:rsid w:val="00D92A51"/>
    <w:rsid w:val="00DA6E11"/>
    <w:rsid w:val="00DB4A2B"/>
    <w:rsid w:val="00E02835"/>
    <w:rsid w:val="00E1629C"/>
    <w:rsid w:val="00E32873"/>
    <w:rsid w:val="00E43EB3"/>
    <w:rsid w:val="00E44277"/>
    <w:rsid w:val="00E47BCF"/>
    <w:rsid w:val="00E57BD0"/>
    <w:rsid w:val="00E62AFA"/>
    <w:rsid w:val="00E76B31"/>
    <w:rsid w:val="00E81462"/>
    <w:rsid w:val="00E905C1"/>
    <w:rsid w:val="00EC3152"/>
    <w:rsid w:val="00EC3263"/>
    <w:rsid w:val="00EE016C"/>
    <w:rsid w:val="00EE63EC"/>
    <w:rsid w:val="00F01F02"/>
    <w:rsid w:val="00F02F49"/>
    <w:rsid w:val="00F04AE7"/>
    <w:rsid w:val="00F12697"/>
    <w:rsid w:val="00F23045"/>
    <w:rsid w:val="00F246BA"/>
    <w:rsid w:val="00F24DF8"/>
    <w:rsid w:val="00F37794"/>
    <w:rsid w:val="00F61DCD"/>
    <w:rsid w:val="00F80429"/>
    <w:rsid w:val="00F8425D"/>
    <w:rsid w:val="00F84368"/>
    <w:rsid w:val="00F871BE"/>
    <w:rsid w:val="00F93F41"/>
    <w:rsid w:val="00F94783"/>
    <w:rsid w:val="00F97CF0"/>
    <w:rsid w:val="00FA2046"/>
    <w:rsid w:val="00FB1E69"/>
    <w:rsid w:val="00FB6A09"/>
    <w:rsid w:val="00FC1FA4"/>
    <w:rsid w:val="00FC4A73"/>
    <w:rsid w:val="00FD4BD0"/>
    <w:rsid w:val="00FE16D0"/>
    <w:rsid w:val="00FF19BD"/>
    <w:rsid w:val="2B746E5B"/>
    <w:rsid w:val="5D8E5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0B7688"/>
  <w15:docId w15:val="{42B799FB-7024-4E36-95FA-FB1C3536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textAlignment w:val="baseline"/>
    </w:pPr>
    <w:rPr>
      <w:kern w:val="2"/>
      <w:sz w:val="21"/>
      <w:szCs w:val="24"/>
    </w:rPr>
  </w:style>
  <w:style w:type="paragraph" w:styleId="4">
    <w:name w:val="heading 4"/>
    <w:basedOn w:val="a"/>
    <w:next w:val="a"/>
    <w:uiPriority w:val="9"/>
    <w:semiHidden/>
    <w:unhideWhenUsed/>
    <w:qFormat/>
    <w:pPr>
      <w:spacing w:beforeAutospacing="1" w:afterAutospacing="1"/>
      <w:jc w:val="left"/>
      <w:outlineLvl w:val="3"/>
    </w:pPr>
    <w:rPr>
      <w:rFonts w:ascii="宋体" w:hAnsi="宋体"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Date"/>
    <w:basedOn w:val="a"/>
    <w:next w:val="a"/>
    <w:link w:val="a6"/>
    <w:uiPriority w:val="99"/>
    <w:qFormat/>
    <w:pPr>
      <w:widowControl w:val="0"/>
      <w:ind w:leftChars="2500" w:left="100"/>
      <w:textAlignment w:val="auto"/>
    </w:pPr>
    <w:rPr>
      <w:rFonts w:ascii="等线" w:eastAsia="等线" w:hAnsi="等线" w:cs="宋体"/>
      <w:szCs w:val="22"/>
    </w:rPr>
  </w:style>
  <w:style w:type="paragraph" w:styleId="a7">
    <w:name w:val="Balloon Text"/>
    <w:basedOn w:val="a"/>
    <w:link w:val="a8"/>
    <w:uiPriority w:val="99"/>
    <w:qFormat/>
    <w:pPr>
      <w:widowControl w:val="0"/>
      <w:textAlignment w:val="auto"/>
    </w:pPr>
    <w:rPr>
      <w:rFonts w:ascii="等线" w:eastAsia="等线" w:hAnsi="等线" w:cs="宋体"/>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000000"/>
      </w:pBdr>
      <w:tabs>
        <w:tab w:val="center" w:pos="4153"/>
        <w:tab w:val="right" w:pos="8306"/>
      </w:tabs>
      <w:snapToGrid w:val="0"/>
      <w:jc w:val="center"/>
    </w:pPr>
    <w:rPr>
      <w:sz w:val="18"/>
      <w:szCs w:val="18"/>
    </w:rPr>
  </w:style>
  <w:style w:type="paragraph" w:styleId="ad">
    <w:name w:val="annotation subject"/>
    <w:basedOn w:val="a3"/>
    <w:next w:val="a3"/>
    <w:link w:val="ae"/>
    <w:uiPriority w:val="99"/>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uiPriority w:val="20"/>
    <w:qFormat/>
    <w:rPr>
      <w:color w:val="CC0000"/>
    </w:rPr>
  </w:style>
  <w:style w:type="character" w:styleId="af1">
    <w:name w:val="Hyperlink"/>
    <w:basedOn w:val="a0"/>
    <w:uiPriority w:val="99"/>
    <w:qFormat/>
    <w:rPr>
      <w:color w:val="0000FF"/>
      <w:u w:val="single"/>
    </w:rPr>
  </w:style>
  <w:style w:type="character" w:styleId="af2">
    <w:name w:val="annotation reference"/>
    <w:basedOn w:val="a0"/>
    <w:uiPriority w:val="99"/>
    <w:qFormat/>
    <w:rPr>
      <w:sz w:val="21"/>
      <w:szCs w:val="21"/>
    </w:rPr>
  </w:style>
  <w:style w:type="character" w:customStyle="1" w:styleId="NormalCharacter">
    <w:name w:val="NormalCharacter"/>
    <w:qFormat/>
  </w:style>
  <w:style w:type="table" w:customStyle="1" w:styleId="TableNormal">
    <w:name w:val="TableNormal"/>
    <w:qFormat/>
    <w:tblPr>
      <w:tblCellMar>
        <w:top w:w="0" w:type="dxa"/>
        <w:left w:w="0" w:type="dxa"/>
        <w:bottom w:w="0" w:type="dxa"/>
        <w:right w:w="0" w:type="dxa"/>
      </w:tblCellMar>
    </w:tblPr>
  </w:style>
  <w:style w:type="character" w:customStyle="1" w:styleId="PageNumber">
    <w:name w:val="PageNumber"/>
    <w:basedOn w:val="NormalCharacter"/>
    <w:qFormat/>
  </w:style>
  <w:style w:type="character" w:customStyle="1" w:styleId="UserStyle0">
    <w:name w:val="UserStyle_0"/>
    <w:link w:val="Acetate"/>
    <w:qFormat/>
    <w:rPr>
      <w:kern w:val="2"/>
      <w:sz w:val="18"/>
      <w:szCs w:val="18"/>
    </w:rPr>
  </w:style>
  <w:style w:type="paragraph" w:customStyle="1" w:styleId="Acetate">
    <w:name w:val="Acetate"/>
    <w:basedOn w:val="a"/>
    <w:link w:val="UserStyle0"/>
    <w:qFormat/>
    <w:rPr>
      <w:sz w:val="18"/>
      <w:szCs w:val="18"/>
    </w:rPr>
  </w:style>
  <w:style w:type="character" w:customStyle="1" w:styleId="ac">
    <w:name w:val="页眉 字符"/>
    <w:link w:val="ab"/>
    <w:uiPriority w:val="99"/>
    <w:qFormat/>
    <w:rPr>
      <w:kern w:val="2"/>
      <w:sz w:val="18"/>
      <w:szCs w:val="18"/>
    </w:rPr>
  </w:style>
  <w:style w:type="paragraph" w:customStyle="1" w:styleId="BodyTextIndent">
    <w:name w:val="BodyTextIndent"/>
    <w:basedOn w:val="a"/>
    <w:qFormat/>
    <w:pPr>
      <w:spacing w:after="120"/>
      <w:ind w:leftChars="200" w:left="200"/>
    </w:pPr>
    <w:rPr>
      <w:szCs w:val="20"/>
    </w:rPr>
  </w:style>
  <w:style w:type="paragraph" w:customStyle="1" w:styleId="179">
    <w:name w:val="179"/>
    <w:basedOn w:val="a"/>
    <w:qFormat/>
    <w:pPr>
      <w:ind w:firstLineChars="200" w:firstLine="420"/>
    </w:pPr>
    <w:rPr>
      <w:rFonts w:ascii="Calibri" w:hAnsi="Calibri"/>
      <w:szCs w:val="22"/>
    </w:rPr>
  </w:style>
  <w:style w:type="paragraph" w:customStyle="1" w:styleId="UserStyle2">
    <w:name w:val="UserStyle_2"/>
    <w:basedOn w:val="a"/>
    <w:qFormat/>
    <w:pPr>
      <w:tabs>
        <w:tab w:val="left" w:pos="720"/>
      </w:tabs>
      <w:ind w:left="720" w:hanging="720"/>
    </w:pPr>
    <w:rPr>
      <w:sz w:val="18"/>
      <w:szCs w:val="18"/>
    </w:rPr>
  </w:style>
  <w:style w:type="paragraph" w:customStyle="1" w:styleId="UserStyle3">
    <w:name w:val="UserStyle_3"/>
    <w:basedOn w:val="a"/>
    <w:qFormat/>
    <w:rPr>
      <w:rFonts w:ascii="仿宋_GB2312" w:eastAsia="仿宋_GB2312"/>
      <w:sz w:val="32"/>
      <w:szCs w:val="32"/>
    </w:rPr>
  </w:style>
  <w:style w:type="table" w:customStyle="1" w:styleId="TableGrid">
    <w:name w:val="TableGrid"/>
    <w:basedOn w:val="TableNormal"/>
    <w:qFormat/>
    <w:tblPr/>
  </w:style>
  <w:style w:type="character" w:customStyle="1" w:styleId="aa">
    <w:name w:val="页脚 字符"/>
    <w:basedOn w:val="a0"/>
    <w:link w:val="a9"/>
    <w:uiPriority w:val="99"/>
    <w:qFormat/>
    <w:rPr>
      <w:kern w:val="2"/>
      <w:sz w:val="18"/>
      <w:szCs w:val="18"/>
    </w:rPr>
  </w:style>
  <w:style w:type="paragraph" w:customStyle="1" w:styleId="1">
    <w:name w:val="列出段落1"/>
    <w:basedOn w:val="a"/>
    <w:link w:val="Char"/>
    <w:uiPriority w:val="34"/>
    <w:qFormat/>
    <w:pPr>
      <w:widowControl w:val="0"/>
      <w:ind w:firstLineChars="200" w:firstLine="420"/>
      <w:textAlignment w:val="auto"/>
    </w:pPr>
    <w:rPr>
      <w:rFonts w:ascii="等线" w:eastAsia="等线" w:hAnsi="等线" w:cs="宋体"/>
      <w:szCs w:val="22"/>
    </w:rPr>
  </w:style>
  <w:style w:type="character" w:customStyle="1" w:styleId="a6">
    <w:name w:val="日期 字符"/>
    <w:basedOn w:val="a0"/>
    <w:link w:val="a5"/>
    <w:uiPriority w:val="99"/>
    <w:qFormat/>
    <w:rPr>
      <w:rFonts w:ascii="等线" w:eastAsia="等线" w:hAnsi="等线" w:cs="宋体"/>
      <w:kern w:val="2"/>
      <w:sz w:val="21"/>
      <w:szCs w:val="22"/>
    </w:rPr>
  </w:style>
  <w:style w:type="character" w:customStyle="1" w:styleId="a8">
    <w:name w:val="批注框文本 字符"/>
    <w:basedOn w:val="a0"/>
    <w:link w:val="a7"/>
    <w:uiPriority w:val="99"/>
    <w:qFormat/>
    <w:rPr>
      <w:rFonts w:ascii="等线" w:eastAsia="等线" w:hAnsi="等线" w:cs="宋体"/>
      <w:kern w:val="2"/>
      <w:sz w:val="18"/>
      <w:szCs w:val="18"/>
    </w:rPr>
  </w:style>
  <w:style w:type="paragraph" w:customStyle="1" w:styleId="10">
    <w:name w:val="列表段落1"/>
    <w:basedOn w:val="a"/>
    <w:uiPriority w:val="34"/>
    <w:qFormat/>
    <w:pPr>
      <w:ind w:firstLineChars="200" w:firstLine="420"/>
    </w:pPr>
  </w:style>
  <w:style w:type="character" w:customStyle="1" w:styleId="bjh-p">
    <w:name w:val="bjh-p"/>
    <w:basedOn w:val="a0"/>
    <w:qFormat/>
  </w:style>
  <w:style w:type="paragraph" w:customStyle="1" w:styleId="11">
    <w:name w:val="修订1"/>
    <w:uiPriority w:val="99"/>
    <w:qFormat/>
    <w:rPr>
      <w:kern w:val="2"/>
      <w:sz w:val="21"/>
      <w:szCs w:val="24"/>
    </w:rPr>
  </w:style>
  <w:style w:type="character" w:customStyle="1" w:styleId="Char">
    <w:name w:val="列出段落 Char"/>
    <w:link w:val="1"/>
    <w:uiPriority w:val="34"/>
    <w:qFormat/>
    <w:rPr>
      <w:rFonts w:ascii="等线" w:eastAsia="等线" w:hAnsi="等线" w:cs="宋体"/>
      <w:kern w:val="2"/>
      <w:sz w:val="21"/>
      <w:szCs w:val="22"/>
    </w:rPr>
  </w:style>
  <w:style w:type="paragraph" w:customStyle="1" w:styleId="2">
    <w:name w:val="修订2"/>
    <w:uiPriority w:val="99"/>
    <w:qFormat/>
    <w:rPr>
      <w:kern w:val="2"/>
      <w:sz w:val="21"/>
      <w:szCs w:val="24"/>
    </w:rPr>
  </w:style>
  <w:style w:type="character" w:customStyle="1" w:styleId="a4">
    <w:name w:val="批注文字 字符"/>
    <w:basedOn w:val="a0"/>
    <w:link w:val="a3"/>
    <w:uiPriority w:val="99"/>
    <w:qFormat/>
    <w:rPr>
      <w:kern w:val="2"/>
      <w:sz w:val="21"/>
      <w:szCs w:val="24"/>
    </w:rPr>
  </w:style>
  <w:style w:type="character" w:customStyle="1" w:styleId="ae">
    <w:name w:val="批注主题 字符"/>
    <w:basedOn w:val="a4"/>
    <w:link w:val="ad"/>
    <w:uiPriority w:val="99"/>
    <w:qFormat/>
    <w:rPr>
      <w:b/>
      <w:bCs/>
      <w:kern w:val="2"/>
      <w:sz w:val="21"/>
      <w:szCs w:val="24"/>
    </w:rPr>
  </w:style>
  <w:style w:type="paragraph" w:customStyle="1" w:styleId="3">
    <w:name w:val="修订3"/>
    <w:uiPriority w:val="99"/>
    <w:qFormat/>
    <w:rPr>
      <w:kern w:val="2"/>
      <w:sz w:val="21"/>
      <w:szCs w:val="24"/>
    </w:rPr>
  </w:style>
  <w:style w:type="paragraph" w:customStyle="1" w:styleId="40">
    <w:name w:val="修订4"/>
    <w:uiPriority w:val="99"/>
    <w:qFormat/>
    <w:rPr>
      <w:kern w:val="2"/>
      <w:sz w:val="21"/>
      <w:szCs w:val="24"/>
    </w:rPr>
  </w:style>
  <w:style w:type="paragraph" w:customStyle="1" w:styleId="paragraph">
    <w:name w:val="paragraph"/>
    <w:basedOn w:val="a"/>
    <w:pPr>
      <w:spacing w:before="100" w:beforeAutospacing="1" w:after="100" w:afterAutospacing="1"/>
      <w:jc w:val="left"/>
      <w:textAlignment w:val="auto"/>
    </w:pPr>
    <w:rPr>
      <w:rFonts w:ascii="等线" w:eastAsia="等线" w:hAnsi="等线"/>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C471-B316-432E-AE28-B268D7AC6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241</Words>
  <Characters>1380</Characters>
  <Application>Microsoft Office Word</Application>
  <DocSecurity>0</DocSecurity>
  <Lines>11</Lines>
  <Paragraphs>3</Paragraphs>
  <ScaleCrop>false</ScaleCrop>
  <Company>SPH</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王梓安</cp:lastModifiedBy>
  <cp:revision>4</cp:revision>
  <cp:lastPrinted>2026-02-27T02:58:00Z</cp:lastPrinted>
  <dcterms:created xsi:type="dcterms:W3CDTF">2026-10-08T08:15:00Z</dcterms:created>
  <dcterms:modified xsi:type="dcterms:W3CDTF">2026-10-08T08:20:00Z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B4058139E80146D28D3F792A598555CF_13</vt:lpwstr>
  </property>
  <property fmtid="{D5CDD505-2E9C-101B-9397-08002B2CF9AE}" pid="4" name="KSOTemplateDocerSaveRecord">
    <vt:lpwstr>eyJoZGlkIjoiZjkyMTkyOTY2M2JkNTY4ZThkNTA2NmRjZWI3OWUxMzIiLCJ1c2VySWQiOiIxNzMyNzYwMjE0In0=</vt:lpwstr>
  </property>
</Properties>
</file>