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211C62">
      <w:pPr>
        <w:rPr>
          <w:rFonts w:ascii="宋体" w:hAnsi="宋体" w:eastAsia="宋体"/>
          <w:sz w:val="24"/>
          <w:szCs w:val="24"/>
        </w:rPr>
      </w:pPr>
      <w:r>
        <w:rPr>
          <w:rFonts w:hint="eastAsia" w:ascii="宋体" w:hAnsi="宋体" w:eastAsia="宋体"/>
          <w:sz w:val="24"/>
          <w:szCs w:val="24"/>
        </w:rPr>
        <w:t>证券代码：</w:t>
      </w:r>
      <w:r>
        <w:rPr>
          <w:rFonts w:ascii="宋体" w:hAnsi="宋体" w:eastAsia="宋体"/>
          <w:sz w:val="24"/>
          <w:szCs w:val="24"/>
        </w:rPr>
        <w:t xml:space="preserve">600332                                     </w:t>
      </w:r>
      <w:r>
        <w:rPr>
          <w:rFonts w:hint="eastAsia" w:ascii="宋体" w:hAnsi="宋体" w:eastAsia="宋体"/>
          <w:sz w:val="24"/>
          <w:szCs w:val="24"/>
        </w:rPr>
        <w:t>证券简称：白云山</w:t>
      </w:r>
    </w:p>
    <w:p w14:paraId="127F6F20">
      <w:pPr>
        <w:rPr>
          <w:rFonts w:ascii="宋体" w:hAnsi="宋体" w:eastAsia="宋体"/>
          <w:sz w:val="24"/>
          <w:szCs w:val="24"/>
        </w:rPr>
      </w:pPr>
    </w:p>
    <w:p w14:paraId="65BCB62A">
      <w:pPr>
        <w:jc w:val="center"/>
        <w:rPr>
          <w:rFonts w:ascii="宋体" w:hAnsi="宋体" w:eastAsia="宋体"/>
          <w:b/>
          <w:sz w:val="28"/>
          <w:szCs w:val="24"/>
        </w:rPr>
      </w:pPr>
      <w:r>
        <w:rPr>
          <w:rFonts w:hint="eastAsia" w:ascii="宋体" w:hAnsi="宋体" w:eastAsia="宋体"/>
          <w:b/>
          <w:sz w:val="28"/>
          <w:szCs w:val="24"/>
        </w:rPr>
        <w:t>广州白云山医药集团股份有限公司</w:t>
      </w:r>
    </w:p>
    <w:p w14:paraId="27289ED4">
      <w:pPr>
        <w:jc w:val="center"/>
        <w:rPr>
          <w:rFonts w:ascii="宋体" w:hAnsi="宋体" w:eastAsia="宋体"/>
          <w:b/>
          <w:sz w:val="28"/>
          <w:szCs w:val="24"/>
        </w:rPr>
      </w:pPr>
      <w:r>
        <w:rPr>
          <w:rFonts w:hint="eastAsia" w:ascii="宋体" w:hAnsi="宋体" w:eastAsia="宋体"/>
          <w:b/>
          <w:sz w:val="28"/>
          <w:szCs w:val="24"/>
        </w:rPr>
        <w:t>投资者关系活动记录表</w:t>
      </w:r>
    </w:p>
    <w:p w14:paraId="35A40147">
      <w:pPr>
        <w:rPr>
          <w:rFonts w:ascii="宋体" w:hAnsi="宋体" w:eastAsia="宋体"/>
          <w:sz w:val="24"/>
          <w:szCs w:val="24"/>
        </w:rPr>
      </w:pP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96"/>
        <w:gridCol w:w="6600"/>
      </w:tblGrid>
      <w:tr w14:paraId="4A24A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1" w:hRule="atLeast"/>
        </w:trPr>
        <w:tc>
          <w:tcPr>
            <w:tcW w:w="1696" w:type="dxa"/>
            <w:vAlign w:val="center"/>
          </w:tcPr>
          <w:p w14:paraId="0E6775B3">
            <w:pPr>
              <w:jc w:val="center"/>
              <w:rPr>
                <w:rFonts w:ascii="宋体" w:hAnsi="宋体" w:eastAsia="宋体"/>
                <w:sz w:val="24"/>
                <w:szCs w:val="24"/>
              </w:rPr>
            </w:pPr>
            <w:r>
              <w:rPr>
                <w:rFonts w:hint="eastAsia" w:ascii="宋体" w:hAnsi="宋体" w:eastAsia="宋体"/>
                <w:sz w:val="24"/>
                <w:szCs w:val="24"/>
              </w:rPr>
              <w:t>投资者关系活动类别</w:t>
            </w:r>
          </w:p>
        </w:tc>
        <w:tc>
          <w:tcPr>
            <w:tcW w:w="6600" w:type="dxa"/>
          </w:tcPr>
          <w:p w14:paraId="085E8532">
            <w:pPr>
              <w:spacing w:line="360" w:lineRule="auto"/>
              <w:rPr>
                <w:rFonts w:ascii="宋体" w:hAnsi="宋体" w:eastAsia="宋体"/>
                <w:sz w:val="24"/>
                <w:szCs w:val="24"/>
              </w:rPr>
            </w:pPr>
            <w:r>
              <w:rPr>
                <w:rFonts w:ascii="宋体" w:hAnsi="宋体" w:eastAsia="宋体"/>
                <w:sz w:val="24"/>
                <w:szCs w:val="24"/>
              </w:rPr>
              <w:sym w:font="Wingdings 2" w:char="0052"/>
            </w:r>
            <w:r>
              <w:rPr>
                <w:rFonts w:ascii="宋体" w:hAnsi="宋体" w:eastAsia="宋体"/>
                <w:sz w:val="24"/>
                <w:szCs w:val="24"/>
              </w:rPr>
              <w:t xml:space="preserve">特定对象调研 </w:t>
            </w:r>
            <w:r>
              <w:rPr>
                <w:rFonts w:ascii="宋体" w:hAnsi="宋体" w:eastAsia="宋体"/>
                <w:sz w:val="24"/>
                <w:szCs w:val="24"/>
              </w:rPr>
              <w:sym w:font="Wingdings 2" w:char="0052"/>
            </w:r>
            <w:r>
              <w:rPr>
                <w:rFonts w:ascii="宋体" w:hAnsi="宋体" w:eastAsia="宋体"/>
                <w:sz w:val="24"/>
                <w:szCs w:val="24"/>
              </w:rPr>
              <w:t xml:space="preserve">分析师会议 </w:t>
            </w:r>
          </w:p>
          <w:p w14:paraId="06C7171F">
            <w:pPr>
              <w:spacing w:line="360" w:lineRule="auto"/>
              <w:rPr>
                <w:rFonts w:ascii="宋体" w:hAnsi="宋体" w:eastAsia="宋体"/>
                <w:sz w:val="24"/>
                <w:szCs w:val="24"/>
              </w:rPr>
            </w:pPr>
            <w:r>
              <w:rPr>
                <w:rFonts w:ascii="宋体" w:hAnsi="宋体" w:eastAsia="宋体"/>
                <w:sz w:val="24"/>
                <w:szCs w:val="24"/>
              </w:rPr>
              <w:sym w:font="Wingdings 2" w:char="00A3"/>
            </w:r>
            <w:r>
              <w:rPr>
                <w:rFonts w:ascii="宋体" w:hAnsi="宋体" w:eastAsia="宋体"/>
                <w:sz w:val="24"/>
                <w:szCs w:val="24"/>
              </w:rPr>
              <w:t xml:space="preserve">媒体采访 </w:t>
            </w:r>
            <w:r>
              <w:rPr>
                <w:rFonts w:ascii="宋体" w:hAnsi="宋体" w:eastAsia="宋体"/>
                <w:sz w:val="24"/>
                <w:szCs w:val="24"/>
              </w:rPr>
              <w:sym w:font="Wingdings 2" w:char="00A3"/>
            </w:r>
            <w:r>
              <w:rPr>
                <w:rFonts w:ascii="宋体" w:hAnsi="宋体" w:eastAsia="宋体"/>
                <w:sz w:val="24"/>
                <w:szCs w:val="24"/>
              </w:rPr>
              <w:t xml:space="preserve">业绩说明会 </w:t>
            </w:r>
          </w:p>
          <w:p w14:paraId="22D3BE0A">
            <w:pPr>
              <w:spacing w:line="360" w:lineRule="auto"/>
              <w:rPr>
                <w:rFonts w:ascii="宋体" w:hAnsi="宋体" w:eastAsia="宋体"/>
                <w:sz w:val="24"/>
                <w:szCs w:val="24"/>
              </w:rPr>
            </w:pPr>
            <w:r>
              <w:rPr>
                <w:rFonts w:ascii="宋体" w:hAnsi="宋体" w:eastAsia="宋体"/>
                <w:sz w:val="24"/>
                <w:szCs w:val="24"/>
              </w:rPr>
              <w:t>□新闻发布会</w:t>
            </w:r>
            <w:r>
              <w:rPr>
                <w:rFonts w:hint="eastAsia" w:ascii="宋体" w:hAnsi="宋体" w:eastAsia="宋体"/>
                <w:sz w:val="24"/>
                <w:szCs w:val="24"/>
              </w:rPr>
              <w:t xml:space="preserve"> </w:t>
            </w:r>
            <w:r>
              <w:rPr>
                <w:rFonts w:ascii="宋体" w:hAnsi="宋体" w:eastAsia="宋体"/>
                <w:sz w:val="24"/>
                <w:szCs w:val="24"/>
              </w:rPr>
              <w:sym w:font="Wingdings 2" w:char="00A3"/>
            </w:r>
            <w:r>
              <w:rPr>
                <w:rFonts w:ascii="宋体" w:hAnsi="宋体" w:eastAsia="宋体"/>
                <w:sz w:val="24"/>
                <w:szCs w:val="24"/>
              </w:rPr>
              <w:t xml:space="preserve">路演活动 </w:t>
            </w:r>
          </w:p>
          <w:p w14:paraId="5CE86780">
            <w:pPr>
              <w:spacing w:line="360" w:lineRule="auto"/>
              <w:rPr>
                <w:rFonts w:ascii="宋体" w:hAnsi="宋体" w:eastAsia="宋体"/>
                <w:sz w:val="24"/>
                <w:szCs w:val="24"/>
              </w:rPr>
            </w:pPr>
            <w:r>
              <w:rPr>
                <w:rFonts w:ascii="宋体" w:hAnsi="宋体" w:eastAsia="宋体"/>
                <w:sz w:val="24"/>
                <w:szCs w:val="24"/>
              </w:rPr>
              <w:sym w:font="Wingdings 2" w:char="00A3"/>
            </w:r>
            <w:r>
              <w:rPr>
                <w:rFonts w:ascii="宋体" w:hAnsi="宋体" w:eastAsia="宋体"/>
                <w:sz w:val="24"/>
                <w:szCs w:val="24"/>
              </w:rPr>
              <w:t>现场参观</w:t>
            </w:r>
            <w:r>
              <w:rPr>
                <w:rFonts w:hint="eastAsia" w:ascii="宋体" w:hAnsi="宋体" w:eastAsia="宋体"/>
                <w:sz w:val="24"/>
                <w:szCs w:val="24"/>
              </w:rPr>
              <w:t xml:space="preserve"> </w:t>
            </w:r>
            <w:r>
              <w:rPr>
                <w:rFonts w:ascii="宋体" w:hAnsi="宋体" w:eastAsia="宋体"/>
                <w:sz w:val="24"/>
                <w:szCs w:val="24"/>
              </w:rPr>
              <w:sym w:font="Wingdings 2" w:char="00A3"/>
            </w:r>
            <w:r>
              <w:rPr>
                <w:rFonts w:ascii="宋体" w:hAnsi="宋体" w:eastAsia="宋体"/>
                <w:sz w:val="24"/>
                <w:szCs w:val="24"/>
              </w:rPr>
              <w:t>其他</w:t>
            </w:r>
          </w:p>
        </w:tc>
      </w:tr>
      <w:tr w14:paraId="02393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6" w:type="dxa"/>
            <w:vAlign w:val="center"/>
          </w:tcPr>
          <w:p w14:paraId="5E5F811C">
            <w:pPr>
              <w:jc w:val="center"/>
              <w:rPr>
                <w:rFonts w:ascii="宋体" w:hAnsi="宋体" w:eastAsia="宋体"/>
                <w:sz w:val="24"/>
                <w:szCs w:val="24"/>
              </w:rPr>
            </w:pPr>
            <w:r>
              <w:rPr>
                <w:rFonts w:ascii="宋体" w:hAnsi="宋体" w:eastAsia="宋体"/>
                <w:sz w:val="24"/>
                <w:szCs w:val="24"/>
              </w:rPr>
              <w:t>召开方式</w:t>
            </w:r>
          </w:p>
        </w:tc>
        <w:tc>
          <w:tcPr>
            <w:tcW w:w="6600" w:type="dxa"/>
          </w:tcPr>
          <w:p w14:paraId="2F42643B">
            <w:pPr>
              <w:spacing w:line="360" w:lineRule="auto"/>
              <w:rPr>
                <w:rFonts w:hint="default" w:ascii="宋体" w:hAnsi="宋体" w:eastAsia="宋体"/>
                <w:sz w:val="24"/>
                <w:szCs w:val="24"/>
                <w:lang w:val="en-US" w:eastAsia="zh-CN"/>
              </w:rPr>
            </w:pPr>
            <w:r>
              <w:rPr>
                <w:rFonts w:hint="eastAsia" w:ascii="宋体" w:hAnsi="宋体" w:eastAsia="宋体"/>
                <w:sz w:val="24"/>
                <w:szCs w:val="24"/>
              </w:rPr>
              <w:t>现场会议</w:t>
            </w:r>
            <w:r>
              <w:rPr>
                <w:rFonts w:hint="eastAsia" w:ascii="宋体" w:hAnsi="宋体" w:eastAsia="宋体"/>
                <w:sz w:val="24"/>
                <w:szCs w:val="24"/>
                <w:lang w:val="en-US" w:eastAsia="zh-CN"/>
              </w:rPr>
              <w:t>及线上会议</w:t>
            </w:r>
          </w:p>
        </w:tc>
      </w:tr>
      <w:tr w14:paraId="3935C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6" w:type="dxa"/>
            <w:vAlign w:val="center"/>
          </w:tcPr>
          <w:p w14:paraId="5955FDB2">
            <w:pPr>
              <w:jc w:val="center"/>
              <w:rPr>
                <w:rFonts w:ascii="宋体" w:hAnsi="宋体" w:eastAsia="宋体"/>
                <w:sz w:val="24"/>
                <w:szCs w:val="24"/>
              </w:rPr>
            </w:pPr>
            <w:r>
              <w:rPr>
                <w:rFonts w:hint="eastAsia" w:ascii="宋体" w:hAnsi="宋体" w:eastAsia="宋体"/>
                <w:sz w:val="24"/>
                <w:szCs w:val="24"/>
              </w:rPr>
              <w:t>时间</w:t>
            </w:r>
          </w:p>
        </w:tc>
        <w:tc>
          <w:tcPr>
            <w:tcW w:w="6600" w:type="dxa"/>
          </w:tcPr>
          <w:p w14:paraId="36786B79">
            <w:pPr>
              <w:spacing w:line="360" w:lineRule="auto"/>
              <w:rPr>
                <w:rFonts w:hint="default" w:ascii="宋体" w:hAnsi="宋体" w:eastAsia="宋体"/>
                <w:sz w:val="24"/>
                <w:szCs w:val="24"/>
                <w:lang w:val="en-US" w:eastAsia="zh-CN"/>
              </w:rPr>
            </w:pPr>
            <w:r>
              <w:rPr>
                <w:rFonts w:ascii="宋体" w:hAnsi="宋体" w:eastAsia="宋体"/>
                <w:sz w:val="24"/>
                <w:szCs w:val="24"/>
              </w:rPr>
              <w:t>202</w:t>
            </w:r>
            <w:r>
              <w:rPr>
                <w:rFonts w:hint="eastAsia" w:ascii="宋体" w:hAnsi="宋体" w:eastAsia="宋体"/>
                <w:sz w:val="24"/>
                <w:szCs w:val="24"/>
              </w:rPr>
              <w:t>6</w:t>
            </w:r>
            <w:r>
              <w:rPr>
                <w:rFonts w:ascii="宋体" w:hAnsi="宋体" w:eastAsia="宋体"/>
                <w:sz w:val="24"/>
                <w:szCs w:val="24"/>
              </w:rPr>
              <w:t>年</w:t>
            </w:r>
            <w:r>
              <w:rPr>
                <w:rFonts w:hint="eastAsia" w:ascii="宋体" w:hAnsi="宋体" w:eastAsia="宋体"/>
                <w:sz w:val="24"/>
                <w:szCs w:val="24"/>
                <w:lang w:val="en-US" w:eastAsia="zh-CN"/>
              </w:rPr>
              <w:t>9</w:t>
            </w:r>
            <w:r>
              <w:rPr>
                <w:rFonts w:hint="eastAsia" w:ascii="宋体" w:hAnsi="宋体" w:eastAsia="宋体"/>
                <w:sz w:val="24"/>
                <w:szCs w:val="24"/>
              </w:rPr>
              <w:t>月</w:t>
            </w:r>
            <w:r>
              <w:rPr>
                <w:rFonts w:hint="eastAsia" w:ascii="宋体" w:hAnsi="宋体" w:eastAsia="宋体"/>
                <w:sz w:val="24"/>
                <w:szCs w:val="24"/>
                <w:lang w:val="en-US" w:eastAsia="zh-CN"/>
              </w:rPr>
              <w:t>1</w:t>
            </w:r>
            <w:r>
              <w:rPr>
                <w:rFonts w:hint="eastAsia" w:ascii="宋体" w:hAnsi="宋体" w:eastAsia="宋体"/>
                <w:sz w:val="24"/>
                <w:szCs w:val="24"/>
              </w:rPr>
              <w:t>日</w:t>
            </w:r>
            <w:r>
              <w:rPr>
                <w:rFonts w:hint="eastAsia" w:ascii="宋体" w:hAnsi="宋体" w:eastAsia="宋体"/>
                <w:sz w:val="24"/>
                <w:szCs w:val="24"/>
                <w:lang w:val="en-US" w:eastAsia="zh-CN"/>
              </w:rPr>
              <w:t>至9月30日</w:t>
            </w:r>
          </w:p>
        </w:tc>
      </w:tr>
      <w:tr w14:paraId="18EA9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6" w:type="dxa"/>
            <w:vAlign w:val="center"/>
          </w:tcPr>
          <w:p w14:paraId="181ECF82">
            <w:pPr>
              <w:jc w:val="center"/>
              <w:rPr>
                <w:rFonts w:ascii="宋体" w:hAnsi="宋体" w:eastAsia="宋体"/>
                <w:sz w:val="24"/>
                <w:szCs w:val="24"/>
              </w:rPr>
            </w:pPr>
            <w:r>
              <w:rPr>
                <w:rFonts w:hint="eastAsia" w:ascii="宋体" w:hAnsi="宋体" w:eastAsia="宋体"/>
                <w:sz w:val="24"/>
                <w:szCs w:val="24"/>
              </w:rPr>
              <w:t>地点</w:t>
            </w:r>
          </w:p>
        </w:tc>
        <w:tc>
          <w:tcPr>
            <w:tcW w:w="6600" w:type="dxa"/>
          </w:tcPr>
          <w:p w14:paraId="3FC3FCF1">
            <w:pPr>
              <w:spacing w:line="360" w:lineRule="auto"/>
              <w:rPr>
                <w:rFonts w:hint="default" w:ascii="宋体" w:hAnsi="宋体" w:eastAsia="宋体"/>
                <w:sz w:val="24"/>
                <w:szCs w:val="24"/>
                <w:lang w:val="en-US" w:eastAsia="zh-Hans"/>
              </w:rPr>
            </w:pPr>
            <w:r>
              <w:rPr>
                <w:rFonts w:hint="eastAsia" w:ascii="宋体" w:hAnsi="宋体" w:eastAsia="宋体"/>
                <w:sz w:val="24"/>
                <w:szCs w:val="24"/>
                <w:lang w:val="en-US" w:eastAsia="zh-CN"/>
              </w:rPr>
              <w:t>公司会议室及其他场所会议室</w:t>
            </w:r>
          </w:p>
        </w:tc>
      </w:tr>
      <w:tr w14:paraId="38458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1696" w:type="dxa"/>
            <w:vAlign w:val="center"/>
          </w:tcPr>
          <w:p w14:paraId="339140B8">
            <w:pPr>
              <w:jc w:val="center"/>
              <w:rPr>
                <w:rFonts w:ascii="宋体" w:hAnsi="宋体" w:eastAsia="宋体"/>
                <w:sz w:val="24"/>
                <w:szCs w:val="24"/>
              </w:rPr>
            </w:pPr>
            <w:r>
              <w:rPr>
                <w:rFonts w:hint="eastAsia" w:ascii="宋体" w:hAnsi="宋体" w:eastAsia="宋体"/>
                <w:sz w:val="24"/>
                <w:szCs w:val="24"/>
              </w:rPr>
              <w:t>公司参与人员</w:t>
            </w:r>
          </w:p>
        </w:tc>
        <w:tc>
          <w:tcPr>
            <w:tcW w:w="6600" w:type="dxa"/>
          </w:tcPr>
          <w:p w14:paraId="071A9704">
            <w:pPr>
              <w:spacing w:line="360" w:lineRule="auto"/>
              <w:rPr>
                <w:rFonts w:hint="default" w:ascii="宋体" w:hAnsi="宋体" w:eastAsia="宋体"/>
                <w:sz w:val="24"/>
                <w:szCs w:val="24"/>
                <w:lang w:val="en-US" w:eastAsia="zh-CN"/>
              </w:rPr>
            </w:pPr>
            <w:r>
              <w:rPr>
                <w:rFonts w:hint="eastAsia" w:ascii="宋体" w:hAnsi="宋体" w:eastAsia="宋体"/>
                <w:sz w:val="24"/>
                <w:szCs w:val="24"/>
              </w:rPr>
              <w:t>董秘室副主任陈文霞</w:t>
            </w:r>
            <w:r>
              <w:rPr>
                <w:rFonts w:hint="eastAsia" w:ascii="宋体" w:hAnsi="宋体" w:eastAsia="宋体"/>
                <w:sz w:val="24"/>
                <w:szCs w:val="24"/>
                <w:lang w:eastAsia="zh-CN"/>
              </w:rPr>
              <w:t>，</w:t>
            </w:r>
            <w:r>
              <w:rPr>
                <w:rFonts w:hint="eastAsia" w:ascii="宋体" w:hAnsi="宋体" w:eastAsia="宋体"/>
                <w:sz w:val="24"/>
                <w:szCs w:val="24"/>
              </w:rPr>
              <w:t>董秘室经理李春瑶</w:t>
            </w:r>
          </w:p>
        </w:tc>
      </w:tr>
      <w:tr w14:paraId="39CA6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1696" w:type="dxa"/>
            <w:vAlign w:val="center"/>
          </w:tcPr>
          <w:p w14:paraId="6C1FA352">
            <w:pPr>
              <w:spacing w:line="360" w:lineRule="auto"/>
              <w:jc w:val="center"/>
              <w:rPr>
                <w:rFonts w:ascii="宋体" w:hAnsi="宋体" w:eastAsia="宋体"/>
                <w:sz w:val="24"/>
                <w:szCs w:val="24"/>
                <w:lang w:eastAsia="zh-Hans"/>
              </w:rPr>
            </w:pPr>
            <w:r>
              <w:rPr>
                <w:rFonts w:hint="eastAsia" w:ascii="宋体" w:hAnsi="宋体" w:eastAsia="宋体"/>
                <w:sz w:val="24"/>
                <w:szCs w:val="24"/>
                <w:lang w:eastAsia="zh-Hans"/>
              </w:rPr>
              <w:t>接待人员</w:t>
            </w:r>
          </w:p>
        </w:tc>
        <w:tc>
          <w:tcPr>
            <w:tcW w:w="6600" w:type="dxa"/>
          </w:tcPr>
          <w:p w14:paraId="0D5EA35B">
            <w:pPr>
              <w:spacing w:line="360" w:lineRule="auto"/>
              <w:rPr>
                <w:rFonts w:hint="eastAsia" w:ascii="宋体" w:hAnsi="宋体" w:eastAsia="宋体"/>
                <w:sz w:val="24"/>
                <w:szCs w:val="24"/>
                <w:lang w:val="en-US" w:eastAsia="zh-CN"/>
              </w:rPr>
            </w:pPr>
            <w:r>
              <w:rPr>
                <w:rFonts w:hint="eastAsia" w:ascii="宋体" w:hAnsi="宋体" w:eastAsia="宋体"/>
                <w:sz w:val="24"/>
                <w:szCs w:val="24"/>
                <w:lang w:val="en-US" w:eastAsia="zh-CN"/>
              </w:rPr>
              <w:t>9月2日：东吴自营，美银美林， WT Asset Management Limited</w:t>
            </w:r>
          </w:p>
          <w:p w14:paraId="450BBB20">
            <w:pPr>
              <w:spacing w:line="360" w:lineRule="auto"/>
              <w:rPr>
                <w:rFonts w:hint="eastAsia" w:ascii="宋体" w:hAnsi="宋体" w:eastAsia="宋体"/>
                <w:sz w:val="24"/>
                <w:szCs w:val="24"/>
                <w:lang w:val="en-US" w:eastAsia="zh-CN"/>
              </w:rPr>
            </w:pPr>
            <w:r>
              <w:rPr>
                <w:rFonts w:hint="eastAsia" w:ascii="宋体" w:hAnsi="宋体" w:eastAsia="宋体"/>
                <w:sz w:val="24"/>
                <w:szCs w:val="24"/>
                <w:lang w:val="en-US" w:eastAsia="zh-CN"/>
              </w:rPr>
              <w:t>, China Asset Management (Hong Kong) Limited</w:t>
            </w:r>
          </w:p>
          <w:p w14:paraId="0410E69A">
            <w:pPr>
              <w:spacing w:line="360" w:lineRule="auto"/>
              <w:rPr>
                <w:rFonts w:hint="eastAsia" w:ascii="宋体" w:hAnsi="宋体" w:eastAsia="宋体"/>
                <w:sz w:val="24"/>
                <w:szCs w:val="24"/>
                <w:lang w:val="en-US" w:eastAsia="zh-CN"/>
              </w:rPr>
            </w:pPr>
            <w:r>
              <w:rPr>
                <w:rFonts w:hint="eastAsia" w:ascii="宋体" w:hAnsi="宋体" w:eastAsia="宋体"/>
                <w:sz w:val="24"/>
                <w:szCs w:val="24"/>
                <w:lang w:val="en-US" w:eastAsia="zh-CN"/>
              </w:rPr>
              <w:t>9月3日：乾阳投资</w:t>
            </w:r>
          </w:p>
          <w:p w14:paraId="2EC7A6E7">
            <w:pPr>
              <w:spacing w:line="360" w:lineRule="auto"/>
              <w:rPr>
                <w:rFonts w:hint="eastAsia" w:ascii="宋体" w:hAnsi="宋体" w:eastAsia="宋体"/>
                <w:sz w:val="24"/>
                <w:szCs w:val="24"/>
                <w:lang w:val="en-US" w:eastAsia="zh-CN"/>
              </w:rPr>
            </w:pPr>
            <w:r>
              <w:rPr>
                <w:rFonts w:hint="eastAsia" w:ascii="宋体" w:hAnsi="宋体" w:eastAsia="宋体"/>
                <w:sz w:val="24"/>
                <w:szCs w:val="24"/>
                <w:lang w:val="en-US" w:eastAsia="zh-CN"/>
              </w:rPr>
              <w:t>9月9日：华创证券、国联民生、国任保险、招商基金</w:t>
            </w:r>
          </w:p>
          <w:p w14:paraId="13F63B92">
            <w:pPr>
              <w:spacing w:line="360" w:lineRule="auto"/>
              <w:rPr>
                <w:rFonts w:hint="eastAsia" w:ascii="宋体" w:hAnsi="宋体" w:eastAsia="宋体"/>
                <w:sz w:val="24"/>
                <w:szCs w:val="24"/>
                <w:lang w:val="en-US" w:eastAsia="zh-CN"/>
              </w:rPr>
            </w:pPr>
            <w:r>
              <w:rPr>
                <w:rFonts w:hint="eastAsia" w:ascii="宋体" w:hAnsi="宋体" w:eastAsia="宋体"/>
                <w:sz w:val="24"/>
                <w:szCs w:val="24"/>
                <w:lang w:val="en-US" w:eastAsia="zh-CN"/>
              </w:rPr>
              <w:t>9月10日：国金证券、太平洋资产、宏鼎投资 、上海国际信托、上海文多资管</w:t>
            </w:r>
          </w:p>
          <w:p w14:paraId="0D050EE7">
            <w:pPr>
              <w:spacing w:line="360" w:lineRule="auto"/>
              <w:rPr>
                <w:rFonts w:hint="eastAsia" w:ascii="宋体" w:hAnsi="宋体" w:eastAsia="宋体"/>
                <w:sz w:val="24"/>
                <w:szCs w:val="24"/>
                <w:lang w:val="en-US" w:eastAsia="zh-CN"/>
              </w:rPr>
            </w:pPr>
            <w:r>
              <w:rPr>
                <w:rFonts w:hint="eastAsia" w:ascii="宋体" w:hAnsi="宋体" w:eastAsia="宋体"/>
                <w:sz w:val="24"/>
                <w:szCs w:val="24"/>
                <w:lang w:val="en-US" w:eastAsia="zh-CN"/>
              </w:rPr>
              <w:t>9月18日：华西证券、万方达资管、正圆投资、招证自营、华夏基金</w:t>
            </w:r>
          </w:p>
          <w:p w14:paraId="1AB8E235">
            <w:pPr>
              <w:spacing w:line="360" w:lineRule="auto"/>
              <w:rPr>
                <w:rFonts w:hint="default" w:ascii="宋体" w:hAnsi="宋体" w:eastAsia="宋体"/>
                <w:sz w:val="24"/>
                <w:szCs w:val="24"/>
                <w:lang w:val="en-US" w:eastAsia="zh-CN"/>
              </w:rPr>
            </w:pPr>
            <w:r>
              <w:rPr>
                <w:rFonts w:hint="eastAsia" w:ascii="宋体" w:hAnsi="宋体" w:eastAsia="宋体"/>
                <w:sz w:val="24"/>
                <w:szCs w:val="24"/>
                <w:lang w:val="en-US" w:eastAsia="zh-CN"/>
              </w:rPr>
              <w:t>9月23日：浙商证券、point72、天创资本、广州泽恩投资、深商总会、麻王投资集团</w:t>
            </w:r>
          </w:p>
        </w:tc>
      </w:tr>
      <w:tr w14:paraId="20F58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8" w:hRule="atLeast"/>
        </w:trPr>
        <w:tc>
          <w:tcPr>
            <w:tcW w:w="1696" w:type="dxa"/>
            <w:vAlign w:val="center"/>
          </w:tcPr>
          <w:p w14:paraId="616F96AF">
            <w:pPr>
              <w:jc w:val="center"/>
              <w:rPr>
                <w:rFonts w:ascii="宋体" w:hAnsi="宋体" w:eastAsia="宋体"/>
                <w:sz w:val="24"/>
                <w:szCs w:val="24"/>
              </w:rPr>
            </w:pPr>
            <w:r>
              <w:rPr>
                <w:rFonts w:ascii="宋体" w:hAnsi="宋体" w:eastAsia="宋体"/>
                <w:sz w:val="24"/>
                <w:szCs w:val="24"/>
              </w:rPr>
              <w:t>投资者关系活动主要内容介绍</w:t>
            </w:r>
          </w:p>
        </w:tc>
        <w:tc>
          <w:tcPr>
            <w:tcW w:w="6600" w:type="dxa"/>
          </w:tcPr>
          <w:p w14:paraId="64015FF5">
            <w:pPr>
              <w:widowControl/>
              <w:spacing w:line="500" w:lineRule="exact"/>
              <w:ind w:firstLine="480" w:firstLineChars="200"/>
              <w:jc w:val="left"/>
              <w:rPr>
                <w:rFonts w:ascii="Times New Roman" w:hAnsi="Times New Roman" w:eastAsia="仿宋_GB2312"/>
                <w:sz w:val="24"/>
                <w:szCs w:val="24"/>
              </w:rPr>
            </w:pPr>
            <w:r>
              <w:rPr>
                <w:rFonts w:ascii="Times New Roman" w:hAnsi="Times New Roman" w:eastAsia="仿宋_GB2312"/>
                <w:sz w:val="24"/>
                <w:szCs w:val="24"/>
              </w:rPr>
              <w:t>主要内容包括：</w:t>
            </w:r>
          </w:p>
          <w:p w14:paraId="7CC2B05C">
            <w:pPr>
              <w:pStyle w:val="2"/>
              <w:spacing w:line="500" w:lineRule="exact"/>
              <w:ind w:firstLine="482" w:firstLineChars="200"/>
              <w:rPr>
                <w:rFonts w:ascii="Times New Roman" w:hAnsi="Times New Roman" w:eastAsia="仿宋_GB2312"/>
                <w:kern w:val="0"/>
                <w:sz w:val="24"/>
                <w:szCs w:val="24"/>
                <w:lang w:bidi="ar"/>
              </w:rPr>
            </w:pPr>
            <w:bookmarkStart w:id="0" w:name="OLE_LINK7"/>
            <w:bookmarkStart w:id="1" w:name="OLE_LINK8"/>
            <w:r>
              <w:rPr>
                <w:rFonts w:ascii="Times New Roman" w:hAnsi="Times New Roman" w:eastAsia="仿宋_GB2312"/>
                <w:b/>
                <w:bCs/>
                <w:kern w:val="0"/>
                <w:sz w:val="24"/>
                <w:szCs w:val="24"/>
                <w:lang w:bidi="ar"/>
              </w:rPr>
              <w:t>（一）公司202</w:t>
            </w:r>
            <w:r>
              <w:rPr>
                <w:rFonts w:hint="eastAsia" w:ascii="Times New Roman" w:hAnsi="Times New Roman" w:eastAsia="仿宋_GB2312"/>
                <w:b/>
                <w:bCs/>
                <w:kern w:val="0"/>
                <w:sz w:val="24"/>
                <w:szCs w:val="24"/>
                <w:lang w:val="en-US" w:eastAsia="zh-CN" w:bidi="ar"/>
              </w:rPr>
              <w:t>6</w:t>
            </w:r>
            <w:r>
              <w:rPr>
                <w:rFonts w:ascii="Times New Roman" w:hAnsi="Times New Roman" w:eastAsia="仿宋_GB2312"/>
                <w:b/>
                <w:bCs/>
                <w:kern w:val="0"/>
                <w:sz w:val="24"/>
                <w:szCs w:val="24"/>
                <w:lang w:bidi="ar"/>
              </w:rPr>
              <w:t>年</w:t>
            </w:r>
            <w:r>
              <w:rPr>
                <w:rFonts w:hint="eastAsia" w:ascii="Times New Roman" w:hAnsi="Times New Roman" w:eastAsia="仿宋_GB2312"/>
                <w:b/>
                <w:bCs/>
                <w:kern w:val="0"/>
                <w:sz w:val="24"/>
                <w:szCs w:val="24"/>
                <w:lang w:val="en-US" w:eastAsia="zh-CN" w:bidi="ar"/>
              </w:rPr>
              <w:t>上半年</w:t>
            </w:r>
            <w:r>
              <w:rPr>
                <w:rFonts w:ascii="Times New Roman" w:hAnsi="Times New Roman" w:eastAsia="仿宋_GB2312"/>
                <w:b/>
                <w:bCs/>
                <w:kern w:val="0"/>
                <w:sz w:val="24"/>
                <w:szCs w:val="24"/>
                <w:lang w:bidi="ar"/>
              </w:rPr>
              <w:t>经营业绩情况如何？</w:t>
            </w:r>
          </w:p>
          <w:bookmarkEnd w:id="0"/>
          <w:bookmarkEnd w:id="1"/>
          <w:p w14:paraId="5256482E">
            <w:pPr>
              <w:pStyle w:val="2"/>
              <w:spacing w:line="500" w:lineRule="exact"/>
              <w:ind w:firstLine="480" w:firstLineChars="200"/>
              <w:rPr>
                <w:rFonts w:hint="default" w:ascii="Times New Roman" w:hAnsi="Times New Roman" w:eastAsia="仿宋_GB2312"/>
                <w:kern w:val="0"/>
                <w:sz w:val="24"/>
                <w:szCs w:val="24"/>
                <w:lang w:val="en-US" w:eastAsia="zh-CN" w:bidi="ar"/>
              </w:rPr>
            </w:pPr>
            <w:r>
              <w:rPr>
                <w:rFonts w:hint="eastAsia" w:ascii="Times New Roman" w:hAnsi="Times New Roman" w:eastAsia="仿宋_GB2312"/>
                <w:kern w:val="0"/>
                <w:sz w:val="24"/>
                <w:szCs w:val="24"/>
                <w:lang w:bidi="ar"/>
              </w:rPr>
              <w:t>答：2026年上半年，公司实现营业收入约420.91亿元，同比增长0.61%；归属于本公司股东的净利润为20.96亿元，同比下降16.70%；扣非后归属于本公司股东的净利润约19.39亿元，同比下降12.10%。</w:t>
            </w:r>
            <w:r>
              <w:rPr>
                <w:rFonts w:hint="eastAsia" w:ascii="Times New Roman" w:hAnsi="Times New Roman" w:eastAsia="仿宋_GB2312"/>
                <w:kern w:val="0"/>
                <w:sz w:val="24"/>
                <w:szCs w:val="24"/>
                <w:lang w:val="en-US" w:eastAsia="zh-CN" w:bidi="ar"/>
              </w:rPr>
              <w:t>公司持续盘活内部资源与资产，统筹推进生产经营全链条各项重点任务，助力各项业务稳步发展：聚焦恶性肿瘤、慢病管理、大呼吸、免疫系统及男科用药五大优势领域，强化研发投入力度，加快在研项目进度；医药产品与天然饮品不断深化与国际企业的合作，医药商业一体化跨境供应链综合服务能力持续提升，公司国际化布局进一步拓展；医药流通业务相关收购项目已完成交割，外用药新型透皮贴剂收购项目顺利落地，资本运作有序开展；设立数科公司，推动人工智能、大数据等前沿技术与医药健康产业深度融合，加快公司数字化转型进程。</w:t>
            </w:r>
          </w:p>
          <w:p w14:paraId="74A86682">
            <w:pPr>
              <w:pStyle w:val="2"/>
              <w:spacing w:line="500" w:lineRule="exact"/>
              <w:ind w:firstLine="480" w:firstLineChars="200"/>
              <w:rPr>
                <w:rFonts w:hint="eastAsia" w:ascii="Times New Roman" w:hAnsi="Times New Roman" w:eastAsia="仿宋_GB2312"/>
                <w:kern w:val="0"/>
                <w:sz w:val="24"/>
                <w:szCs w:val="24"/>
                <w:lang w:bidi="ar"/>
              </w:rPr>
            </w:pPr>
          </w:p>
          <w:p w14:paraId="53E69097">
            <w:pPr>
              <w:pStyle w:val="2"/>
              <w:spacing w:line="500" w:lineRule="exact"/>
              <w:ind w:firstLine="482" w:firstLineChars="200"/>
              <w:rPr>
                <w:rFonts w:hint="eastAsia" w:ascii="Times New Roman" w:hAnsi="Times New Roman" w:eastAsia="仿宋_GB2312"/>
                <w:b/>
                <w:bCs/>
                <w:kern w:val="0"/>
                <w:sz w:val="24"/>
                <w:szCs w:val="24"/>
                <w:lang w:val="en-US" w:eastAsia="zh-CN" w:bidi="ar"/>
              </w:rPr>
            </w:pPr>
            <w:r>
              <w:rPr>
                <w:rFonts w:hint="eastAsia" w:ascii="Times New Roman" w:hAnsi="Times New Roman" w:eastAsia="仿宋_GB2312"/>
                <w:b/>
                <w:bCs/>
                <w:kern w:val="0"/>
                <w:sz w:val="24"/>
                <w:szCs w:val="24"/>
                <w:lang w:eastAsia="zh-CN" w:bidi="ar"/>
              </w:rPr>
              <w:t>（</w:t>
            </w:r>
            <w:r>
              <w:rPr>
                <w:rFonts w:hint="eastAsia" w:ascii="Times New Roman" w:hAnsi="Times New Roman" w:eastAsia="仿宋_GB2312"/>
                <w:b/>
                <w:bCs/>
                <w:kern w:val="0"/>
                <w:sz w:val="24"/>
                <w:szCs w:val="24"/>
                <w:lang w:val="en-US" w:eastAsia="zh-CN" w:bidi="ar"/>
              </w:rPr>
              <w:t>二</w:t>
            </w:r>
            <w:r>
              <w:rPr>
                <w:rFonts w:hint="eastAsia" w:ascii="Times New Roman" w:hAnsi="Times New Roman" w:eastAsia="仿宋_GB2312"/>
                <w:b/>
                <w:bCs/>
                <w:kern w:val="0"/>
                <w:sz w:val="24"/>
                <w:szCs w:val="24"/>
                <w:lang w:eastAsia="zh-CN" w:bidi="ar"/>
              </w:rPr>
              <w:t>）</w:t>
            </w:r>
            <w:r>
              <w:rPr>
                <w:rFonts w:hint="eastAsia" w:ascii="Times New Roman" w:hAnsi="Times New Roman" w:eastAsia="仿宋_GB2312"/>
                <w:b/>
                <w:bCs/>
                <w:kern w:val="0"/>
                <w:sz w:val="24"/>
                <w:szCs w:val="24"/>
                <w:lang w:val="en-US" w:eastAsia="zh-CN" w:bidi="ar"/>
              </w:rPr>
              <w:t>2026年，公司医药商业板块营业收入增长、毛利率有所改善的原因是什么？</w:t>
            </w:r>
          </w:p>
          <w:p w14:paraId="65CF2297">
            <w:pPr>
              <w:pStyle w:val="2"/>
              <w:spacing w:line="500" w:lineRule="exact"/>
              <w:ind w:firstLine="480" w:firstLineChars="200"/>
              <w:rPr>
                <w:rFonts w:hint="eastAsia" w:ascii="Times New Roman" w:hAnsi="Times New Roman" w:eastAsia="仿宋_GB2312"/>
                <w:b w:val="0"/>
                <w:bCs w:val="0"/>
                <w:kern w:val="0"/>
                <w:sz w:val="24"/>
                <w:szCs w:val="24"/>
                <w:lang w:val="en-US" w:eastAsia="zh-CN" w:bidi="ar"/>
              </w:rPr>
            </w:pPr>
            <w:r>
              <w:rPr>
                <w:rFonts w:hint="eastAsia" w:ascii="Times New Roman" w:hAnsi="Times New Roman" w:eastAsia="仿宋_GB2312"/>
                <w:b w:val="0"/>
                <w:bCs w:val="0"/>
                <w:kern w:val="0"/>
                <w:sz w:val="24"/>
                <w:szCs w:val="24"/>
                <w:lang w:val="en-US" w:eastAsia="zh-CN" w:bidi="ar"/>
              </w:rPr>
              <w:t>答：2026年上半年，公司医药商业营业收入、毛利率同比增长得益于浙江医工并表，以及自身分销业务和零售业务的稳定发展。其中，分销业务的增长主要源于持续优化产品结构、整合线上线下渠道资源；零售业务的增长主要源于“双通道”、跨境电商及即时零售这三大驱动因素。</w:t>
            </w:r>
          </w:p>
          <w:p w14:paraId="1D726819">
            <w:pPr>
              <w:pStyle w:val="2"/>
              <w:spacing w:line="500" w:lineRule="exact"/>
              <w:ind w:firstLine="480" w:firstLineChars="200"/>
              <w:rPr>
                <w:rFonts w:hint="eastAsia" w:ascii="Times New Roman" w:hAnsi="Times New Roman" w:eastAsia="仿宋_GB2312"/>
                <w:b w:val="0"/>
                <w:bCs w:val="0"/>
                <w:kern w:val="0"/>
                <w:sz w:val="24"/>
                <w:szCs w:val="24"/>
                <w:lang w:val="en-US" w:eastAsia="zh-CN" w:bidi="ar"/>
              </w:rPr>
            </w:pPr>
          </w:p>
          <w:p w14:paraId="2348A661">
            <w:pPr>
              <w:pStyle w:val="2"/>
              <w:spacing w:line="500" w:lineRule="exact"/>
              <w:ind w:firstLine="482" w:firstLineChars="200"/>
              <w:rPr>
                <w:rFonts w:hint="eastAsia" w:ascii="Times New Roman" w:hAnsi="Times New Roman" w:eastAsia="仿宋_GB2312"/>
                <w:b/>
                <w:bCs/>
                <w:kern w:val="0"/>
                <w:sz w:val="24"/>
                <w:szCs w:val="24"/>
                <w:lang w:bidi="ar"/>
              </w:rPr>
            </w:pPr>
            <w:r>
              <w:rPr>
                <w:rFonts w:hint="eastAsia" w:ascii="Times New Roman" w:hAnsi="Times New Roman" w:eastAsia="仿宋_GB2312"/>
                <w:b/>
                <w:bCs/>
                <w:kern w:val="0"/>
                <w:sz w:val="24"/>
                <w:szCs w:val="24"/>
                <w:lang w:eastAsia="zh-CN" w:bidi="ar"/>
              </w:rPr>
              <w:t>（</w:t>
            </w:r>
            <w:r>
              <w:rPr>
                <w:rFonts w:hint="eastAsia" w:ascii="Times New Roman" w:hAnsi="Times New Roman" w:eastAsia="仿宋_GB2312"/>
                <w:b/>
                <w:bCs/>
                <w:kern w:val="0"/>
                <w:sz w:val="24"/>
                <w:szCs w:val="24"/>
                <w:lang w:val="en-US" w:eastAsia="zh-CN" w:bidi="ar"/>
              </w:rPr>
              <w:t>三</w:t>
            </w:r>
            <w:r>
              <w:rPr>
                <w:rFonts w:hint="eastAsia" w:ascii="Times New Roman" w:hAnsi="Times New Roman" w:eastAsia="仿宋_GB2312"/>
                <w:b/>
                <w:bCs/>
                <w:kern w:val="0"/>
                <w:sz w:val="24"/>
                <w:szCs w:val="24"/>
                <w:lang w:eastAsia="zh-CN" w:bidi="ar"/>
              </w:rPr>
              <w:t>）</w:t>
            </w:r>
            <w:r>
              <w:rPr>
                <w:rFonts w:hint="eastAsia" w:ascii="Times New Roman" w:hAnsi="Times New Roman" w:eastAsia="仿宋_GB2312"/>
                <w:b/>
                <w:bCs/>
                <w:kern w:val="0"/>
                <w:sz w:val="24"/>
                <w:szCs w:val="24"/>
                <w:lang w:bidi="ar"/>
              </w:rPr>
              <w:t>公司是否会考虑提高分红？</w:t>
            </w:r>
          </w:p>
          <w:p w14:paraId="67B31E41">
            <w:pPr>
              <w:pStyle w:val="2"/>
              <w:spacing w:line="500" w:lineRule="exact"/>
              <w:ind w:firstLine="480" w:firstLineChars="200"/>
              <w:rPr>
                <w:rFonts w:hint="default" w:ascii="Times New Roman" w:hAnsi="Times New Roman" w:eastAsia="仿宋_GB2312"/>
                <w:b w:val="0"/>
                <w:bCs w:val="0"/>
                <w:kern w:val="0"/>
                <w:sz w:val="24"/>
                <w:szCs w:val="24"/>
                <w:lang w:val="en-US" w:eastAsia="zh-CN" w:bidi="ar"/>
              </w:rPr>
            </w:pPr>
            <w:r>
              <w:rPr>
                <w:rFonts w:hint="eastAsia" w:ascii="Times New Roman" w:hAnsi="Times New Roman" w:eastAsia="仿宋_GB2312"/>
                <w:kern w:val="0"/>
                <w:sz w:val="24"/>
                <w:szCs w:val="24"/>
                <w:lang w:bidi="ar"/>
              </w:rPr>
              <w:t>答：公司已制定2026年中期现金分红</w:t>
            </w:r>
            <w:r>
              <w:rPr>
                <w:rFonts w:hint="eastAsia" w:ascii="Times New Roman" w:hAnsi="Times New Roman" w:eastAsia="仿宋_GB2312"/>
                <w:kern w:val="0"/>
                <w:sz w:val="24"/>
                <w:szCs w:val="24"/>
                <w:lang w:val="en-US" w:eastAsia="zh-CN" w:bidi="ar"/>
              </w:rPr>
              <w:t>方案</w:t>
            </w:r>
            <w:r>
              <w:rPr>
                <w:rFonts w:hint="eastAsia" w:ascii="Times New Roman" w:hAnsi="Times New Roman" w:eastAsia="仿宋_GB2312"/>
                <w:kern w:val="0"/>
                <w:sz w:val="24"/>
                <w:szCs w:val="24"/>
                <w:lang w:bidi="ar"/>
              </w:rPr>
              <w:t>，每股派发现金红利</w:t>
            </w:r>
            <w:r>
              <w:rPr>
                <w:rFonts w:hint="eastAsia" w:ascii="Times New Roman" w:hAnsi="Times New Roman" w:eastAsia="仿宋_GB2312"/>
                <w:kern w:val="0"/>
                <w:sz w:val="24"/>
                <w:szCs w:val="24"/>
                <w:lang w:val="en-US" w:eastAsia="zh-CN" w:bidi="ar"/>
              </w:rPr>
              <w:t>人民币</w:t>
            </w:r>
            <w:r>
              <w:rPr>
                <w:rFonts w:hint="eastAsia" w:ascii="Times New Roman" w:hAnsi="Times New Roman" w:eastAsia="仿宋_GB2312"/>
                <w:kern w:val="0"/>
                <w:sz w:val="24"/>
                <w:szCs w:val="24"/>
                <w:lang w:bidi="ar"/>
              </w:rPr>
              <w:t>0.</w:t>
            </w:r>
            <w:r>
              <w:rPr>
                <w:rFonts w:hint="eastAsia" w:ascii="Times New Roman" w:hAnsi="Times New Roman" w:eastAsia="仿宋_GB2312"/>
                <w:kern w:val="0"/>
                <w:sz w:val="24"/>
                <w:szCs w:val="24"/>
                <w:lang w:val="en-US" w:eastAsia="zh-CN" w:bidi="ar"/>
              </w:rPr>
              <w:t>30</w:t>
            </w:r>
            <w:r>
              <w:rPr>
                <w:rFonts w:hint="eastAsia" w:ascii="Times New Roman" w:hAnsi="Times New Roman" w:eastAsia="仿宋_GB2312"/>
                <w:kern w:val="0"/>
                <w:sz w:val="24"/>
                <w:szCs w:val="24"/>
                <w:lang w:bidi="ar"/>
              </w:rPr>
              <w:t>元（含税）</w:t>
            </w:r>
            <w:r>
              <w:rPr>
                <w:rFonts w:hint="eastAsia" w:ascii="Times New Roman" w:hAnsi="Times New Roman" w:eastAsia="仿宋_GB2312"/>
                <w:kern w:val="0"/>
                <w:sz w:val="24"/>
                <w:szCs w:val="24"/>
                <w:lang w:eastAsia="zh-CN" w:bidi="ar"/>
              </w:rPr>
              <w:t>，合计派发现金红利人民币</w:t>
            </w:r>
            <w:r>
              <w:rPr>
                <w:rFonts w:hint="eastAsia" w:ascii="Times New Roman" w:hAnsi="Times New Roman" w:eastAsia="仿宋_GB2312"/>
                <w:kern w:val="0"/>
                <w:sz w:val="24"/>
                <w:szCs w:val="24"/>
                <w:lang w:val="en-US" w:eastAsia="zh-CN" w:bidi="ar"/>
              </w:rPr>
              <w:t>约4.88亿元</w:t>
            </w:r>
            <w:r>
              <w:rPr>
                <w:rFonts w:hint="eastAsia" w:ascii="Times New Roman" w:hAnsi="Times New Roman" w:eastAsia="仿宋_GB2312"/>
                <w:kern w:val="0"/>
                <w:sz w:val="24"/>
                <w:szCs w:val="24"/>
                <w:lang w:bidi="ar"/>
              </w:rPr>
              <w:t>。未来，公司将继续保证利润分配政策的连续性和稳定性，平衡业务发展和股东回报，积极提升回报投资者的能力和水平，同时统筹兼顾公司长远发展、全体股东整体利益与可持续发展需要，实现股东回报与企业长期价值的协同统一。</w:t>
            </w:r>
          </w:p>
          <w:p w14:paraId="378FCA11">
            <w:pPr>
              <w:pStyle w:val="2"/>
              <w:spacing w:line="500" w:lineRule="exact"/>
              <w:ind w:firstLine="482" w:firstLineChars="200"/>
              <w:rPr>
                <w:rFonts w:hint="eastAsia" w:ascii="Times New Roman" w:hAnsi="Times New Roman" w:eastAsia="仿宋_GB2312"/>
                <w:b/>
                <w:bCs/>
                <w:kern w:val="0"/>
                <w:sz w:val="24"/>
                <w:szCs w:val="24"/>
                <w:lang w:eastAsia="zh-CN" w:bidi="ar"/>
              </w:rPr>
            </w:pPr>
          </w:p>
          <w:p w14:paraId="1303F9AD">
            <w:pPr>
              <w:pStyle w:val="2"/>
              <w:spacing w:line="500" w:lineRule="exact"/>
              <w:ind w:firstLine="482" w:firstLineChars="200"/>
              <w:rPr>
                <w:rFonts w:hint="eastAsia" w:ascii="Times New Roman" w:hAnsi="Times New Roman" w:eastAsia="仿宋_GB2312"/>
                <w:kern w:val="0"/>
                <w:sz w:val="24"/>
                <w:szCs w:val="24"/>
                <w:lang w:val="en-US" w:eastAsia="zh-CN" w:bidi="ar"/>
              </w:rPr>
            </w:pPr>
            <w:r>
              <w:rPr>
                <w:rFonts w:hint="eastAsia" w:ascii="Times New Roman" w:hAnsi="Times New Roman" w:eastAsia="仿宋_GB2312"/>
                <w:b/>
                <w:bCs/>
                <w:kern w:val="0"/>
                <w:sz w:val="24"/>
                <w:szCs w:val="24"/>
                <w:lang w:val="en-US" w:eastAsia="zh-CN" w:bidi="ar"/>
              </w:rPr>
              <w:t>（四）面对当前的挑战，公司计划如何稳住基石业务</w:t>
            </w:r>
            <w:r>
              <w:rPr>
                <w:rFonts w:hint="eastAsia" w:ascii="Times New Roman" w:hAnsi="Times New Roman" w:eastAsia="仿宋_GB2312"/>
                <w:kern w:val="0"/>
                <w:sz w:val="24"/>
                <w:szCs w:val="24"/>
                <w:lang w:val="en-US" w:eastAsia="zh-CN" w:bidi="ar"/>
              </w:rPr>
              <w:t>？</w:t>
            </w:r>
          </w:p>
          <w:p w14:paraId="33E27BDD">
            <w:pPr>
              <w:pStyle w:val="2"/>
              <w:spacing w:line="500" w:lineRule="exact"/>
              <w:ind w:firstLine="480" w:firstLineChars="200"/>
              <w:rPr>
                <w:rFonts w:hint="eastAsia" w:ascii="Times New Roman" w:hAnsi="Times New Roman" w:eastAsia="仿宋_GB2312"/>
                <w:kern w:val="0"/>
                <w:sz w:val="24"/>
                <w:szCs w:val="24"/>
                <w:lang w:val="en-US" w:eastAsia="zh-CN" w:bidi="ar"/>
              </w:rPr>
            </w:pPr>
            <w:r>
              <w:rPr>
                <w:rFonts w:hint="eastAsia" w:ascii="Times New Roman" w:hAnsi="Times New Roman" w:eastAsia="仿宋_GB2312"/>
                <w:kern w:val="0"/>
                <w:sz w:val="24"/>
                <w:szCs w:val="24"/>
                <w:lang w:val="en-US" w:eastAsia="zh-CN" w:bidi="ar"/>
              </w:rPr>
              <w:t>答：针对上半年公司业绩承压的情况，公司将依托数字化手段，加快推动营销体系改革与大单品培育工程，促进现代中药及化药科技存量业务持续发展；同时，重点推进即饮餐饮终端拓展、新品开发及国际化布局，在巩固天然饮品业务既有优势的基础上，积极打造新的增长点。</w:t>
            </w:r>
          </w:p>
          <w:p w14:paraId="535CF75D">
            <w:pPr>
              <w:pStyle w:val="2"/>
              <w:spacing w:line="500" w:lineRule="exact"/>
              <w:ind w:firstLine="482" w:firstLineChars="200"/>
              <w:rPr>
                <w:rFonts w:hint="eastAsia" w:ascii="Times New Roman" w:hAnsi="Times New Roman" w:eastAsia="仿宋_GB2312"/>
                <w:b/>
                <w:bCs/>
                <w:kern w:val="0"/>
                <w:sz w:val="24"/>
                <w:szCs w:val="24"/>
                <w:lang w:eastAsia="zh-CN" w:bidi="ar"/>
              </w:rPr>
            </w:pPr>
          </w:p>
          <w:p w14:paraId="2907F46C">
            <w:pPr>
              <w:pStyle w:val="2"/>
              <w:spacing w:line="500" w:lineRule="exact"/>
              <w:ind w:firstLine="482" w:firstLineChars="200"/>
              <w:rPr>
                <w:rFonts w:hint="eastAsia" w:ascii="Times New Roman" w:hAnsi="Times New Roman" w:eastAsia="仿宋_GB2312"/>
                <w:b/>
                <w:bCs/>
                <w:kern w:val="0"/>
                <w:sz w:val="24"/>
                <w:szCs w:val="24"/>
                <w:lang w:val="en-US" w:eastAsia="zh-CN" w:bidi="ar"/>
              </w:rPr>
            </w:pPr>
            <w:r>
              <w:rPr>
                <w:rFonts w:hint="eastAsia" w:ascii="Times New Roman" w:hAnsi="Times New Roman" w:eastAsia="仿宋_GB2312"/>
                <w:b/>
                <w:bCs/>
                <w:kern w:val="0"/>
                <w:sz w:val="24"/>
                <w:szCs w:val="24"/>
                <w:lang w:eastAsia="zh-CN" w:bidi="ar"/>
              </w:rPr>
              <w:t>（</w:t>
            </w:r>
            <w:r>
              <w:rPr>
                <w:rFonts w:hint="eastAsia" w:ascii="Times New Roman" w:hAnsi="Times New Roman" w:eastAsia="仿宋_GB2312"/>
                <w:b/>
                <w:bCs/>
                <w:kern w:val="0"/>
                <w:sz w:val="24"/>
                <w:szCs w:val="24"/>
                <w:lang w:val="en-US" w:eastAsia="zh-CN" w:bidi="ar"/>
              </w:rPr>
              <w:t>五</w:t>
            </w:r>
            <w:r>
              <w:rPr>
                <w:rFonts w:hint="eastAsia" w:ascii="Times New Roman" w:hAnsi="Times New Roman" w:eastAsia="仿宋_GB2312"/>
                <w:b/>
                <w:bCs/>
                <w:kern w:val="0"/>
                <w:sz w:val="24"/>
                <w:szCs w:val="24"/>
                <w:lang w:eastAsia="zh-CN" w:bidi="ar"/>
              </w:rPr>
              <w:t>）</w:t>
            </w:r>
            <w:r>
              <w:rPr>
                <w:rFonts w:hint="eastAsia" w:ascii="Times New Roman" w:hAnsi="Times New Roman" w:eastAsia="仿宋_GB2312"/>
                <w:b/>
                <w:bCs/>
                <w:kern w:val="0"/>
                <w:sz w:val="24"/>
                <w:szCs w:val="24"/>
                <w:lang w:val="en-US" w:eastAsia="zh-CN" w:bidi="ar"/>
              </w:rPr>
              <w:t>未来，公司的发展规划是怎么样的？</w:t>
            </w:r>
          </w:p>
          <w:p w14:paraId="2EF41690">
            <w:pPr>
              <w:pStyle w:val="2"/>
              <w:spacing w:line="500" w:lineRule="exact"/>
              <w:ind w:firstLine="480" w:firstLineChars="200"/>
              <w:rPr>
                <w:rFonts w:hint="eastAsia" w:ascii="Times New Roman" w:hAnsi="Times New Roman" w:eastAsia="仿宋_GB2312"/>
                <w:kern w:val="0"/>
                <w:sz w:val="24"/>
                <w:szCs w:val="24"/>
                <w:lang w:val="en-US" w:eastAsia="zh-CN" w:bidi="ar"/>
              </w:rPr>
            </w:pPr>
            <w:r>
              <w:rPr>
                <w:rFonts w:hint="eastAsia" w:ascii="Times New Roman" w:hAnsi="Times New Roman" w:eastAsia="仿宋_GB2312"/>
                <w:kern w:val="0"/>
                <w:sz w:val="24"/>
                <w:szCs w:val="24"/>
                <w:lang w:val="en-US" w:eastAsia="zh-CN" w:bidi="ar"/>
              </w:rPr>
              <w:t>答：未来，公司一方面将推动现代中药、化药科技、天然饮品、医药商业四大基石业务板块稳中求进、提质增效；另一方面，积蓄动能，促进消费健康、生物创新、医疗服务等业务提速增势，推动公司现代化、数字化、科技化、国际化发展。</w:t>
            </w:r>
          </w:p>
          <w:p w14:paraId="04AC832E">
            <w:pPr>
              <w:pStyle w:val="2"/>
              <w:spacing w:line="500" w:lineRule="exact"/>
              <w:ind w:firstLine="480" w:firstLineChars="200"/>
              <w:rPr>
                <w:rFonts w:hint="eastAsia" w:ascii="Times New Roman" w:hAnsi="Times New Roman" w:eastAsia="仿宋_GB2312"/>
                <w:kern w:val="0"/>
                <w:sz w:val="24"/>
                <w:szCs w:val="24"/>
                <w:lang w:val="en-US" w:eastAsia="zh-CN" w:bidi="ar"/>
              </w:rPr>
            </w:pPr>
          </w:p>
          <w:p w14:paraId="06898AEB">
            <w:pPr>
              <w:pStyle w:val="2"/>
              <w:spacing w:line="500" w:lineRule="exact"/>
              <w:ind w:firstLine="482" w:firstLineChars="200"/>
              <w:rPr>
                <w:rFonts w:hint="default" w:ascii="Times New Roman" w:hAnsi="Times New Roman" w:eastAsia="仿宋_GB2312"/>
                <w:b/>
                <w:bCs/>
                <w:kern w:val="0"/>
                <w:sz w:val="24"/>
                <w:szCs w:val="24"/>
                <w:lang w:val="en-US" w:eastAsia="zh-CN" w:bidi="ar"/>
              </w:rPr>
            </w:pPr>
            <w:r>
              <w:rPr>
                <w:rFonts w:hint="eastAsia" w:ascii="Times New Roman" w:hAnsi="Times New Roman" w:eastAsia="仿宋_GB2312"/>
                <w:b/>
                <w:bCs/>
                <w:kern w:val="0"/>
                <w:sz w:val="24"/>
                <w:szCs w:val="24"/>
                <w:lang w:val="en-US" w:eastAsia="zh-CN" w:bidi="ar"/>
              </w:rPr>
              <w:t>（六）公司推进创新药发展，将聚焦哪些方向？</w:t>
            </w:r>
          </w:p>
          <w:p w14:paraId="45991695">
            <w:pPr>
              <w:pStyle w:val="2"/>
              <w:spacing w:line="500" w:lineRule="exact"/>
              <w:ind w:firstLine="480" w:firstLineChars="200"/>
              <w:rPr>
                <w:rFonts w:hint="eastAsia" w:ascii="Times New Roman" w:hAnsi="Times New Roman" w:eastAsia="仿宋_GB2312"/>
                <w:kern w:val="0"/>
                <w:sz w:val="24"/>
                <w:szCs w:val="24"/>
                <w:lang w:val="en-US" w:eastAsia="zh-CN" w:bidi="ar"/>
              </w:rPr>
            </w:pPr>
            <w:r>
              <w:rPr>
                <w:rFonts w:hint="eastAsia" w:ascii="Times New Roman" w:hAnsi="Times New Roman" w:eastAsia="仿宋_GB2312"/>
                <w:kern w:val="0"/>
                <w:sz w:val="24"/>
                <w:szCs w:val="24"/>
                <w:lang w:val="en-US" w:eastAsia="zh-CN" w:bidi="ar"/>
              </w:rPr>
              <w:t>答：公司将聚焦抗体、小分子、核酸、多肽等重点领域，通过自研、校企共建、管线引进、股权并购等方式，大力推进公司创新转型。</w:t>
            </w:r>
          </w:p>
          <w:p w14:paraId="0AF6B5A1">
            <w:pPr>
              <w:pStyle w:val="2"/>
              <w:spacing w:line="500" w:lineRule="exact"/>
              <w:ind w:firstLine="480" w:firstLineChars="200"/>
              <w:rPr>
                <w:rFonts w:hint="eastAsia" w:ascii="Times New Roman" w:hAnsi="Times New Roman" w:eastAsia="仿宋_GB2312"/>
                <w:kern w:val="0"/>
                <w:sz w:val="24"/>
                <w:szCs w:val="24"/>
                <w:lang w:val="en-US" w:eastAsia="zh-CN" w:bidi="ar"/>
              </w:rPr>
            </w:pPr>
          </w:p>
          <w:p w14:paraId="4EABDC33">
            <w:pPr>
              <w:pStyle w:val="2"/>
              <w:spacing w:line="500" w:lineRule="exact"/>
              <w:ind w:firstLine="482" w:firstLineChars="200"/>
              <w:rPr>
                <w:rFonts w:hint="eastAsia" w:ascii="Times New Roman" w:hAnsi="Times New Roman" w:eastAsia="仿宋_GB2312"/>
                <w:b/>
                <w:bCs/>
                <w:kern w:val="0"/>
                <w:sz w:val="24"/>
                <w:szCs w:val="24"/>
                <w:lang w:val="en-US" w:eastAsia="zh-CN" w:bidi="ar"/>
              </w:rPr>
            </w:pPr>
            <w:r>
              <w:rPr>
                <w:rFonts w:hint="eastAsia" w:ascii="Times New Roman" w:hAnsi="Times New Roman" w:eastAsia="仿宋_GB2312"/>
                <w:b/>
                <w:bCs/>
                <w:kern w:val="0"/>
                <w:sz w:val="24"/>
                <w:szCs w:val="24"/>
                <w:lang w:val="en-US" w:eastAsia="zh-CN" w:bidi="ar"/>
              </w:rPr>
              <w:t>（七）公司对于创新型项目的选取会有哪些考量？</w:t>
            </w:r>
          </w:p>
          <w:p w14:paraId="019F2D2E">
            <w:pPr>
              <w:pStyle w:val="2"/>
              <w:spacing w:line="500" w:lineRule="exact"/>
              <w:ind w:firstLine="480" w:firstLineChars="200"/>
              <w:rPr>
                <w:rFonts w:hint="eastAsia" w:ascii="Times New Roman" w:hAnsi="Times New Roman" w:eastAsia="仿宋_GB2312"/>
                <w:kern w:val="0"/>
                <w:sz w:val="24"/>
                <w:szCs w:val="24"/>
                <w:lang w:val="en-US" w:eastAsia="zh-CN" w:bidi="ar"/>
              </w:rPr>
            </w:pPr>
            <w:r>
              <w:rPr>
                <w:rFonts w:hint="eastAsia" w:ascii="Times New Roman" w:hAnsi="Times New Roman" w:eastAsia="仿宋_GB2312"/>
                <w:kern w:val="0"/>
                <w:sz w:val="24"/>
                <w:szCs w:val="24"/>
                <w:lang w:val="en-US" w:eastAsia="zh-CN" w:bidi="ar"/>
              </w:rPr>
              <w:t>答：在引进方面，公司建立超百项BD管线库，超60项意向管线完成初步研判并跟进洽谈，其中近10项创新药管线已进入尽职调查和谈判等阶段，治疗领域覆盖内分泌、皮肤科、抗肿瘤及肿瘤联合用药、呼吸系统等临床重点需求方向及前沿领域。</w:t>
            </w:r>
          </w:p>
          <w:p w14:paraId="28EB0FF9">
            <w:pPr>
              <w:pStyle w:val="2"/>
              <w:spacing w:line="500" w:lineRule="exact"/>
              <w:ind w:firstLine="480" w:firstLineChars="200"/>
              <w:rPr>
                <w:rFonts w:hint="eastAsia" w:eastAsia="等线"/>
                <w:lang w:eastAsia="zh-CN"/>
              </w:rPr>
            </w:pPr>
            <w:r>
              <w:rPr>
                <w:rFonts w:hint="eastAsia" w:ascii="Times New Roman" w:hAnsi="Times New Roman" w:eastAsia="仿宋_GB2312"/>
                <w:kern w:val="0"/>
                <w:sz w:val="24"/>
                <w:szCs w:val="24"/>
                <w:lang w:val="en-US" w:eastAsia="zh-CN" w:bidi="ar"/>
              </w:rPr>
              <w:t>公司已建立系统化、科学化的项目评估与决策机制，重点聚焦于能够补强公司在慢性病、生殖健康、抗感染及大呼吸等优势领域的项目，同时加强布局生物制药以及依托先进技术的前沿领域项目。此外，公司亦将项目的规模、盈利能力和技术壁垒纳入综合考量范围。</w:t>
            </w:r>
          </w:p>
          <w:p w14:paraId="5CFFEB2A">
            <w:pPr>
              <w:pStyle w:val="2"/>
              <w:spacing w:line="500" w:lineRule="exact"/>
              <w:rPr>
                <w:rFonts w:hint="eastAsia" w:ascii="Times New Roman" w:hAnsi="Times New Roman" w:eastAsia="仿宋_GB2312"/>
                <w:kern w:val="0"/>
                <w:sz w:val="24"/>
                <w:szCs w:val="24"/>
                <w:lang w:val="en-US" w:eastAsia="zh-CN" w:bidi="ar"/>
              </w:rPr>
            </w:pPr>
          </w:p>
          <w:p w14:paraId="1620EEE6">
            <w:pPr>
              <w:pStyle w:val="2"/>
              <w:spacing w:line="500" w:lineRule="exact"/>
              <w:ind w:firstLine="482" w:firstLineChars="200"/>
              <w:rPr>
                <w:rFonts w:hint="eastAsia" w:ascii="Times New Roman" w:hAnsi="Times New Roman" w:eastAsia="仿宋_GB2312"/>
                <w:b/>
                <w:bCs/>
                <w:kern w:val="0"/>
                <w:sz w:val="24"/>
                <w:szCs w:val="24"/>
                <w:lang w:bidi="ar"/>
              </w:rPr>
            </w:pPr>
            <w:r>
              <w:rPr>
                <w:rFonts w:hint="eastAsia" w:ascii="Times New Roman" w:hAnsi="Times New Roman" w:eastAsia="仿宋_GB2312"/>
                <w:b/>
                <w:bCs/>
                <w:kern w:val="0"/>
                <w:sz w:val="24"/>
                <w:szCs w:val="24"/>
                <w:lang w:val="en-US" w:eastAsia="zh-CN" w:bidi="ar"/>
              </w:rPr>
              <w:t>（八）公司计划如何优化改善当前天然饮品经营情况？</w:t>
            </w:r>
          </w:p>
          <w:p w14:paraId="3BC820EF">
            <w:pPr>
              <w:pStyle w:val="2"/>
              <w:spacing w:line="500" w:lineRule="exact"/>
              <w:ind w:firstLine="480" w:firstLineChars="200"/>
              <w:rPr>
                <w:rFonts w:hint="eastAsia" w:ascii="Times New Roman" w:hAnsi="Times New Roman" w:eastAsia="仿宋_GB2312"/>
                <w:kern w:val="0"/>
                <w:sz w:val="24"/>
                <w:szCs w:val="24"/>
                <w:lang w:val="en-US" w:eastAsia="zh-CN" w:bidi="ar"/>
              </w:rPr>
            </w:pPr>
            <w:r>
              <w:rPr>
                <w:rFonts w:hint="eastAsia" w:ascii="Times New Roman" w:hAnsi="Times New Roman" w:eastAsia="仿宋_GB2312"/>
                <w:b w:val="0"/>
                <w:bCs w:val="0"/>
                <w:kern w:val="0"/>
                <w:sz w:val="24"/>
                <w:szCs w:val="24"/>
                <w:lang w:bidi="ar"/>
              </w:rPr>
              <w:t>答</w:t>
            </w:r>
            <w:r>
              <w:rPr>
                <w:rFonts w:hint="eastAsia" w:ascii="Times New Roman" w:hAnsi="Times New Roman" w:eastAsia="仿宋_GB2312"/>
                <w:b w:val="0"/>
                <w:bCs w:val="0"/>
                <w:kern w:val="0"/>
                <w:sz w:val="24"/>
                <w:szCs w:val="24"/>
                <w:lang w:eastAsia="zh-CN" w:bidi="ar"/>
              </w:rPr>
              <w:t>：</w:t>
            </w:r>
            <w:r>
              <w:rPr>
                <w:rFonts w:hint="eastAsia" w:ascii="Times New Roman" w:hAnsi="Times New Roman" w:eastAsia="仿宋_GB2312"/>
                <w:b w:val="0"/>
                <w:bCs w:val="0"/>
                <w:kern w:val="0"/>
                <w:sz w:val="24"/>
                <w:szCs w:val="24"/>
                <w:lang w:bidi="ar"/>
              </w:rPr>
              <w:t>下一步，公司将推动“1+1+N”国内市场发展策略与“双头雁+雁群”国际市场拓展策略齐头并进，通过开拓存量场景、培育打造新产品系列、推进国际化拓展与数字化转型等重点举措，推动公司天然饮品业务稳定发展。</w:t>
            </w:r>
          </w:p>
          <w:p w14:paraId="74FB6315">
            <w:pPr>
              <w:pStyle w:val="2"/>
              <w:spacing w:line="500" w:lineRule="exact"/>
              <w:rPr>
                <w:rFonts w:ascii="Times New Roman" w:hAnsi="Times New Roman" w:eastAsia="仿宋_GB2312"/>
                <w:kern w:val="0"/>
                <w:sz w:val="24"/>
                <w:szCs w:val="24"/>
                <w:lang w:bidi="ar"/>
              </w:rPr>
            </w:pPr>
          </w:p>
          <w:p w14:paraId="39D2D9BC">
            <w:pPr>
              <w:pStyle w:val="2"/>
              <w:keepNext w:val="0"/>
              <w:keepLines w:val="0"/>
              <w:pageBreakBefore w:val="0"/>
              <w:widowControl w:val="0"/>
              <w:kinsoku/>
              <w:wordWrap/>
              <w:overflowPunct/>
              <w:topLinePunct w:val="0"/>
              <w:autoSpaceDE/>
              <w:autoSpaceDN/>
              <w:bidi w:val="0"/>
              <w:adjustRightInd/>
              <w:snapToGrid/>
              <w:spacing w:line="500" w:lineRule="exact"/>
              <w:ind w:firstLine="482" w:firstLineChars="200"/>
              <w:textAlignment w:val="auto"/>
              <w:rPr>
                <w:rFonts w:hint="eastAsia" w:ascii="Times New Roman" w:hAnsi="Times New Roman" w:eastAsia="仿宋_GB2312"/>
                <w:kern w:val="0"/>
                <w:sz w:val="24"/>
                <w:szCs w:val="24"/>
                <w:lang w:bidi="ar"/>
              </w:rPr>
            </w:pPr>
            <w:r>
              <w:rPr>
                <w:rFonts w:hint="eastAsia" w:ascii="Times New Roman" w:hAnsi="Times New Roman" w:eastAsia="仿宋_GB2312"/>
                <w:b/>
                <w:bCs/>
                <w:kern w:val="0"/>
                <w:sz w:val="24"/>
                <w:szCs w:val="24"/>
                <w:lang w:eastAsia="zh-CN" w:bidi="ar"/>
              </w:rPr>
              <w:t>（</w:t>
            </w:r>
            <w:r>
              <w:rPr>
                <w:rFonts w:hint="eastAsia" w:ascii="Times New Roman" w:hAnsi="Times New Roman" w:eastAsia="仿宋_GB2312"/>
                <w:b/>
                <w:bCs/>
                <w:kern w:val="0"/>
                <w:sz w:val="24"/>
                <w:szCs w:val="24"/>
                <w:lang w:val="en-US" w:eastAsia="zh-CN" w:bidi="ar"/>
              </w:rPr>
              <w:t>九</w:t>
            </w:r>
            <w:r>
              <w:rPr>
                <w:rFonts w:hint="eastAsia" w:ascii="Times New Roman" w:hAnsi="Times New Roman" w:eastAsia="仿宋_GB2312"/>
                <w:b/>
                <w:bCs/>
                <w:kern w:val="0"/>
                <w:sz w:val="24"/>
                <w:szCs w:val="24"/>
                <w:lang w:eastAsia="zh-CN" w:bidi="ar"/>
              </w:rPr>
              <w:t>）</w:t>
            </w:r>
            <w:r>
              <w:rPr>
                <w:rFonts w:hint="eastAsia" w:ascii="Times New Roman" w:hAnsi="Times New Roman" w:eastAsia="仿宋_GB2312"/>
                <w:b/>
                <w:bCs/>
                <w:kern w:val="0"/>
                <w:sz w:val="24"/>
                <w:szCs w:val="24"/>
                <w:lang w:bidi="ar"/>
              </w:rPr>
              <w:t>公司计划如何培育天然饮品其他产品系列？</w:t>
            </w:r>
          </w:p>
          <w:p w14:paraId="2CC78285">
            <w:pPr>
              <w:pStyle w:val="2"/>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Times New Roman" w:hAnsi="Times New Roman" w:eastAsia="仿宋_GB2312"/>
                <w:kern w:val="0"/>
                <w:sz w:val="24"/>
                <w:szCs w:val="24"/>
                <w:lang w:bidi="ar"/>
              </w:rPr>
            </w:pPr>
            <w:r>
              <w:rPr>
                <w:rFonts w:hint="eastAsia" w:ascii="Times New Roman" w:hAnsi="Times New Roman" w:eastAsia="仿宋_GB2312"/>
                <w:kern w:val="0"/>
                <w:sz w:val="24"/>
                <w:szCs w:val="24"/>
                <w:lang w:bidi="ar"/>
              </w:rPr>
              <w:t>答：公司将持续拓宽天然植物饮料赛道，积极开拓新兴市场，培育多元增长曲线。一方面，公司围绕产品、品牌、渠道等方面系统推进焕新升级，推动刺柠吉系列和荔枝饮料系列两大品项的长期健康发展。另一方面，公司持续深入洞察市场需求，研发推出符合大众健康需求的全新天然饮品品类，打造差异化产品矩阵，挖掘新的消费增长点。2026年8月，王老吉新瓶装系列、能量电解质营养素饮料“王者英雄”以及天然浆果复合果蔬汁产品“乐苜力”成功发布并上线销售。</w:t>
            </w:r>
          </w:p>
          <w:p w14:paraId="386451B5">
            <w:pPr>
              <w:pStyle w:val="2"/>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Times New Roman" w:hAnsi="Times New Roman" w:eastAsia="仿宋_GB2312"/>
                <w:kern w:val="0"/>
                <w:sz w:val="24"/>
                <w:szCs w:val="24"/>
                <w:lang w:bidi="ar"/>
              </w:rPr>
            </w:pPr>
          </w:p>
          <w:p w14:paraId="5C00C1D3">
            <w:pPr>
              <w:pStyle w:val="2"/>
              <w:spacing w:line="500" w:lineRule="exact"/>
              <w:ind w:firstLine="482" w:firstLineChars="200"/>
              <w:rPr>
                <w:rFonts w:hint="eastAsia" w:ascii="Times New Roman" w:hAnsi="Times New Roman" w:eastAsia="仿宋_GB2312"/>
                <w:b/>
                <w:bCs/>
                <w:kern w:val="0"/>
                <w:sz w:val="24"/>
                <w:szCs w:val="24"/>
                <w:lang w:val="en-US" w:eastAsia="zh-CN" w:bidi="ar"/>
              </w:rPr>
            </w:pPr>
            <w:r>
              <w:rPr>
                <w:rFonts w:hint="eastAsia" w:ascii="Times New Roman" w:hAnsi="Times New Roman" w:eastAsia="仿宋_GB2312"/>
                <w:b/>
                <w:bCs/>
                <w:kern w:val="0"/>
                <w:sz w:val="24"/>
                <w:szCs w:val="24"/>
                <w:lang w:val="en-US" w:eastAsia="zh-CN" w:bidi="ar"/>
              </w:rPr>
              <w:t>（十）除了新产品，公司天然饮品还有哪些新增长点？</w:t>
            </w:r>
          </w:p>
          <w:p w14:paraId="0E31021E">
            <w:pPr>
              <w:pStyle w:val="2"/>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Times New Roman" w:hAnsi="Times New Roman" w:eastAsia="仿宋_GB2312"/>
                <w:kern w:val="0"/>
                <w:sz w:val="24"/>
                <w:szCs w:val="24"/>
                <w:lang w:bidi="ar"/>
              </w:rPr>
            </w:pPr>
            <w:r>
              <w:rPr>
                <w:rFonts w:hint="eastAsia" w:ascii="Times New Roman" w:hAnsi="Times New Roman" w:eastAsia="仿宋_GB2312"/>
                <w:kern w:val="0"/>
                <w:sz w:val="24"/>
                <w:szCs w:val="24"/>
                <w:lang w:val="en-US" w:eastAsia="zh-CN" w:bidi="ar"/>
              </w:rPr>
              <w:t>答：2026年上半年，王老吉产品海外出口额同比增长较大，主要依托重点市场WALOVI红罐及红瓶持续铺货、海外渠道趋向精细化营运，带来东南亚、欧洲渠道稳步拓展。目前公司天然饮品海外业务处于战略培育扩张期，后续将稳步推动海外收入增长。</w:t>
            </w:r>
          </w:p>
          <w:p w14:paraId="1DE68C89">
            <w:pPr>
              <w:pStyle w:val="2"/>
              <w:spacing w:line="500" w:lineRule="exact"/>
              <w:rPr>
                <w:rFonts w:ascii="Times New Roman" w:hAnsi="Times New Roman" w:eastAsia="仿宋_GB2312"/>
                <w:kern w:val="0"/>
                <w:sz w:val="24"/>
                <w:szCs w:val="24"/>
                <w:lang w:bidi="ar"/>
              </w:rPr>
            </w:pPr>
          </w:p>
          <w:p w14:paraId="20288C4F">
            <w:pPr>
              <w:pStyle w:val="2"/>
              <w:keepNext w:val="0"/>
              <w:keepLines w:val="0"/>
              <w:pageBreakBefore w:val="0"/>
              <w:widowControl w:val="0"/>
              <w:kinsoku/>
              <w:wordWrap/>
              <w:overflowPunct/>
              <w:topLinePunct w:val="0"/>
              <w:autoSpaceDE/>
              <w:autoSpaceDN/>
              <w:bidi w:val="0"/>
              <w:adjustRightInd/>
              <w:snapToGrid/>
              <w:spacing w:line="500" w:lineRule="exact"/>
              <w:ind w:firstLine="482" w:firstLineChars="200"/>
              <w:textAlignment w:val="auto"/>
              <w:rPr>
                <w:rFonts w:hint="eastAsia" w:ascii="Times New Roman" w:hAnsi="Times New Roman" w:eastAsia="仿宋_GB2312"/>
                <w:b/>
                <w:bCs/>
                <w:kern w:val="0"/>
                <w:sz w:val="24"/>
                <w:szCs w:val="24"/>
                <w:lang w:bidi="ar"/>
              </w:rPr>
            </w:pPr>
            <w:r>
              <w:rPr>
                <w:rFonts w:hint="eastAsia" w:ascii="Times New Roman" w:hAnsi="Times New Roman" w:eastAsia="仿宋_GB2312"/>
                <w:b/>
                <w:bCs/>
                <w:kern w:val="0"/>
                <w:sz w:val="24"/>
                <w:szCs w:val="24"/>
                <w:lang w:eastAsia="zh-CN" w:bidi="ar"/>
              </w:rPr>
              <w:t>（</w:t>
            </w:r>
            <w:r>
              <w:rPr>
                <w:rFonts w:hint="eastAsia" w:ascii="Times New Roman" w:hAnsi="Times New Roman" w:eastAsia="仿宋_GB2312"/>
                <w:b/>
                <w:bCs/>
                <w:kern w:val="0"/>
                <w:sz w:val="24"/>
                <w:szCs w:val="24"/>
                <w:lang w:val="en-US" w:eastAsia="zh-CN" w:bidi="ar"/>
              </w:rPr>
              <w:t>十一</w:t>
            </w:r>
            <w:r>
              <w:rPr>
                <w:rFonts w:hint="eastAsia" w:ascii="Times New Roman" w:hAnsi="Times New Roman" w:eastAsia="仿宋_GB2312"/>
                <w:b/>
                <w:bCs/>
                <w:kern w:val="0"/>
                <w:sz w:val="24"/>
                <w:szCs w:val="24"/>
                <w:lang w:eastAsia="zh-CN" w:bidi="ar"/>
              </w:rPr>
              <w:t>）</w:t>
            </w:r>
            <w:r>
              <w:rPr>
                <w:rFonts w:hint="eastAsia" w:ascii="Times New Roman" w:hAnsi="Times New Roman" w:eastAsia="仿宋_GB2312"/>
                <w:b/>
                <w:bCs/>
                <w:kern w:val="0"/>
                <w:sz w:val="24"/>
                <w:szCs w:val="24"/>
                <w:lang w:bidi="ar"/>
              </w:rPr>
              <w:t>针对当前回款情况，公司会采取措施控制应收账款的规模、改善回款情况？</w:t>
            </w:r>
          </w:p>
          <w:p w14:paraId="3E237D15">
            <w:pPr>
              <w:pStyle w:val="2"/>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Times New Roman" w:hAnsi="Times New Roman" w:eastAsia="仿宋_GB2312"/>
                <w:kern w:val="0"/>
                <w:sz w:val="24"/>
                <w:szCs w:val="24"/>
                <w:lang w:bidi="ar"/>
              </w:rPr>
            </w:pPr>
            <w:r>
              <w:rPr>
                <w:rFonts w:hint="eastAsia" w:ascii="Times New Roman" w:hAnsi="Times New Roman" w:eastAsia="仿宋_GB2312"/>
                <w:kern w:val="0"/>
                <w:sz w:val="24"/>
                <w:szCs w:val="24"/>
                <w:lang w:bidi="ar"/>
              </w:rPr>
              <w:t>答：公司应收账款主要来源于医药商业板块。针对应收账款情况，公司医药商业主体广州医药已采取并将持续通过强化源头管控与专项清收、深化两金管控、把握政策红利加速回款、盘活资产等，不断加强对应收账款的管控。</w:t>
            </w:r>
          </w:p>
          <w:p w14:paraId="47ABA1F5">
            <w:pPr>
              <w:pStyle w:val="2"/>
              <w:spacing w:line="500" w:lineRule="exact"/>
              <w:rPr>
                <w:rFonts w:ascii="Times New Roman" w:hAnsi="Times New Roman" w:eastAsia="仿宋_GB2312"/>
                <w:kern w:val="0"/>
                <w:sz w:val="24"/>
                <w:szCs w:val="24"/>
                <w:lang w:bidi="ar"/>
              </w:rPr>
            </w:pPr>
          </w:p>
          <w:p w14:paraId="33A9E021">
            <w:pPr>
              <w:pStyle w:val="2"/>
              <w:spacing w:line="500" w:lineRule="exact"/>
              <w:ind w:firstLine="482" w:firstLineChars="200"/>
              <w:rPr>
                <w:rFonts w:hint="eastAsia" w:ascii="Times New Roman" w:hAnsi="Times New Roman" w:eastAsia="仿宋_GB2312"/>
                <w:kern w:val="0"/>
                <w:sz w:val="24"/>
                <w:szCs w:val="24"/>
                <w:lang w:val="en-US" w:eastAsia="zh-CN" w:bidi="ar"/>
              </w:rPr>
            </w:pPr>
            <w:r>
              <w:rPr>
                <w:rFonts w:hint="eastAsia" w:ascii="Times New Roman" w:hAnsi="Times New Roman" w:eastAsia="仿宋_GB2312"/>
                <w:b/>
                <w:bCs/>
                <w:kern w:val="0"/>
                <w:sz w:val="24"/>
                <w:szCs w:val="24"/>
                <w:lang w:eastAsia="zh-CN" w:bidi="ar"/>
              </w:rPr>
              <w:t>（</w:t>
            </w:r>
            <w:r>
              <w:rPr>
                <w:rFonts w:hint="eastAsia" w:ascii="Times New Roman" w:hAnsi="Times New Roman" w:eastAsia="仿宋_GB2312"/>
                <w:b/>
                <w:bCs/>
                <w:kern w:val="0"/>
                <w:sz w:val="24"/>
                <w:szCs w:val="24"/>
                <w:lang w:val="en-US" w:eastAsia="zh-CN" w:bidi="ar"/>
              </w:rPr>
              <w:t>十二</w:t>
            </w:r>
            <w:r>
              <w:rPr>
                <w:rFonts w:hint="eastAsia" w:ascii="Times New Roman" w:hAnsi="Times New Roman" w:eastAsia="仿宋_GB2312"/>
                <w:b/>
                <w:bCs/>
                <w:kern w:val="0"/>
                <w:sz w:val="24"/>
                <w:szCs w:val="24"/>
                <w:lang w:eastAsia="zh-CN" w:bidi="ar"/>
              </w:rPr>
              <w:t>）</w:t>
            </w:r>
            <w:r>
              <w:rPr>
                <w:rFonts w:hint="eastAsia" w:ascii="Times New Roman" w:hAnsi="Times New Roman" w:eastAsia="仿宋_GB2312"/>
                <w:b/>
                <w:bCs/>
                <w:kern w:val="0"/>
                <w:sz w:val="24"/>
                <w:szCs w:val="24"/>
                <w:lang w:val="en-US" w:eastAsia="zh-CN" w:bidi="ar"/>
              </w:rPr>
              <w:t>公司业务结构多元，子公司较多，是否有整合计划？</w:t>
            </w:r>
          </w:p>
          <w:p w14:paraId="00A20B99">
            <w:pPr>
              <w:pStyle w:val="2"/>
              <w:spacing w:line="500" w:lineRule="exact"/>
              <w:ind w:firstLine="480" w:firstLineChars="200"/>
              <w:rPr>
                <w:rFonts w:ascii="宋体" w:hAnsi="宋体" w:eastAsia="宋体"/>
                <w:sz w:val="24"/>
                <w:szCs w:val="24"/>
                <w:lang w:bidi="ar"/>
              </w:rPr>
            </w:pPr>
            <w:r>
              <w:rPr>
                <w:rFonts w:hint="eastAsia" w:ascii="Times New Roman" w:hAnsi="Times New Roman" w:eastAsia="仿宋_GB2312"/>
                <w:kern w:val="0"/>
                <w:sz w:val="24"/>
                <w:szCs w:val="24"/>
                <w:lang w:val="en-US" w:eastAsia="zh-CN" w:bidi="ar"/>
              </w:rPr>
              <w:t>答：公司将深化产业重组整合，有序推进业务优化整合、集采供应链资源等方面整合，不断夯实公司长期发展基础，提升整体经营质量与盈利能力。</w:t>
            </w:r>
          </w:p>
        </w:tc>
      </w:tr>
    </w:tbl>
    <w:p w14:paraId="19559B40">
      <w:pPr>
        <w:rPr>
          <w:rFonts w:ascii="宋体" w:hAnsi="宋体" w:eastAsia="宋体"/>
          <w:sz w:val="24"/>
          <w:szCs w:val="24"/>
        </w:rPr>
      </w:pPr>
      <w:bookmarkStart w:id="2" w:name="_GoBack"/>
      <w:bookmarkEnd w:id="2"/>
    </w:p>
    <w:sectPr>
      <w:footerReference r:id="rId3" w:type="default"/>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Wingdings 2">
    <w:panose1 w:val="05020102010507070707"/>
    <w:charset w:val="02"/>
    <w:family w:val="roman"/>
    <w:pitch w:val="default"/>
    <w:sig w:usb0="00000000" w:usb1="00000000" w:usb2="00000000" w:usb3="00000000" w:csb0="8000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9B27B9">
    <w:pPr>
      <w:pStyle w:val="4"/>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3E8D152">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33E8D152">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FhMmVlNzFjNDI0ZTliMTBjN2NmZDYxODZkZGVmMDcifQ=="/>
  </w:docVars>
  <w:rsids>
    <w:rsidRoot w:val="00172A27"/>
    <w:rsid w:val="00025CB0"/>
    <w:rsid w:val="00026AD9"/>
    <w:rsid w:val="00032329"/>
    <w:rsid w:val="000423CF"/>
    <w:rsid w:val="00044D1C"/>
    <w:rsid w:val="00050DF4"/>
    <w:rsid w:val="0005752C"/>
    <w:rsid w:val="00061C18"/>
    <w:rsid w:val="0008758C"/>
    <w:rsid w:val="000C455F"/>
    <w:rsid w:val="00150AE8"/>
    <w:rsid w:val="001512EA"/>
    <w:rsid w:val="00162AF3"/>
    <w:rsid w:val="00172A27"/>
    <w:rsid w:val="00181A29"/>
    <w:rsid w:val="00190A5F"/>
    <w:rsid w:val="00192476"/>
    <w:rsid w:val="0019375C"/>
    <w:rsid w:val="001A7C3F"/>
    <w:rsid w:val="001B2FA5"/>
    <w:rsid w:val="001D5B13"/>
    <w:rsid w:val="001D6CF4"/>
    <w:rsid w:val="001E2434"/>
    <w:rsid w:val="001E2B27"/>
    <w:rsid w:val="001E5849"/>
    <w:rsid w:val="001F0D8E"/>
    <w:rsid w:val="001F644B"/>
    <w:rsid w:val="002030C7"/>
    <w:rsid w:val="00227682"/>
    <w:rsid w:val="00234F62"/>
    <w:rsid w:val="0023523C"/>
    <w:rsid w:val="00237154"/>
    <w:rsid w:val="0023740A"/>
    <w:rsid w:val="00244BDD"/>
    <w:rsid w:val="002A55F9"/>
    <w:rsid w:val="002D34CA"/>
    <w:rsid w:val="002D719D"/>
    <w:rsid w:val="002F071F"/>
    <w:rsid w:val="0031151B"/>
    <w:rsid w:val="00333576"/>
    <w:rsid w:val="003638D2"/>
    <w:rsid w:val="00372AEC"/>
    <w:rsid w:val="00372E22"/>
    <w:rsid w:val="003843DA"/>
    <w:rsid w:val="00393833"/>
    <w:rsid w:val="003B20EB"/>
    <w:rsid w:val="003D4A24"/>
    <w:rsid w:val="003E2611"/>
    <w:rsid w:val="00416276"/>
    <w:rsid w:val="00417D16"/>
    <w:rsid w:val="0042267D"/>
    <w:rsid w:val="00426DE7"/>
    <w:rsid w:val="00430C9F"/>
    <w:rsid w:val="00440515"/>
    <w:rsid w:val="00444319"/>
    <w:rsid w:val="004508A9"/>
    <w:rsid w:val="00454DB9"/>
    <w:rsid w:val="004575B0"/>
    <w:rsid w:val="004629A5"/>
    <w:rsid w:val="00464276"/>
    <w:rsid w:val="004830A0"/>
    <w:rsid w:val="004A0494"/>
    <w:rsid w:val="004D0DC3"/>
    <w:rsid w:val="004D7C37"/>
    <w:rsid w:val="00535815"/>
    <w:rsid w:val="005666FB"/>
    <w:rsid w:val="0058744F"/>
    <w:rsid w:val="005A0C6A"/>
    <w:rsid w:val="005A6D48"/>
    <w:rsid w:val="005D695F"/>
    <w:rsid w:val="005E6EA6"/>
    <w:rsid w:val="005F2058"/>
    <w:rsid w:val="005F2987"/>
    <w:rsid w:val="005F4FCF"/>
    <w:rsid w:val="005F6069"/>
    <w:rsid w:val="00624602"/>
    <w:rsid w:val="00631DD3"/>
    <w:rsid w:val="006366B1"/>
    <w:rsid w:val="00641E4D"/>
    <w:rsid w:val="00643621"/>
    <w:rsid w:val="00653716"/>
    <w:rsid w:val="00672B6C"/>
    <w:rsid w:val="00676F1A"/>
    <w:rsid w:val="0068760B"/>
    <w:rsid w:val="00690627"/>
    <w:rsid w:val="00694DCE"/>
    <w:rsid w:val="006A31C5"/>
    <w:rsid w:val="006B399C"/>
    <w:rsid w:val="006C7988"/>
    <w:rsid w:val="006D3077"/>
    <w:rsid w:val="006E36C1"/>
    <w:rsid w:val="006F0129"/>
    <w:rsid w:val="006F78C2"/>
    <w:rsid w:val="007118FE"/>
    <w:rsid w:val="00711D0F"/>
    <w:rsid w:val="00711D80"/>
    <w:rsid w:val="007137B8"/>
    <w:rsid w:val="00716CD9"/>
    <w:rsid w:val="007616A5"/>
    <w:rsid w:val="007636A3"/>
    <w:rsid w:val="007802B8"/>
    <w:rsid w:val="00795FD5"/>
    <w:rsid w:val="007A2E2D"/>
    <w:rsid w:val="007C124C"/>
    <w:rsid w:val="007C2D01"/>
    <w:rsid w:val="007E76DC"/>
    <w:rsid w:val="008000EC"/>
    <w:rsid w:val="00806304"/>
    <w:rsid w:val="00812351"/>
    <w:rsid w:val="00816522"/>
    <w:rsid w:val="008534FA"/>
    <w:rsid w:val="00861A58"/>
    <w:rsid w:val="008F5BDD"/>
    <w:rsid w:val="00900532"/>
    <w:rsid w:val="00916D30"/>
    <w:rsid w:val="0092138B"/>
    <w:rsid w:val="00924CFF"/>
    <w:rsid w:val="00926D52"/>
    <w:rsid w:val="00940C21"/>
    <w:rsid w:val="00941BE8"/>
    <w:rsid w:val="00954ADF"/>
    <w:rsid w:val="00957621"/>
    <w:rsid w:val="00965600"/>
    <w:rsid w:val="00981F53"/>
    <w:rsid w:val="009846E6"/>
    <w:rsid w:val="009917D2"/>
    <w:rsid w:val="009A2F93"/>
    <w:rsid w:val="009B2D59"/>
    <w:rsid w:val="009D1231"/>
    <w:rsid w:val="009E4068"/>
    <w:rsid w:val="00A04B95"/>
    <w:rsid w:val="00A055C7"/>
    <w:rsid w:val="00A27FC2"/>
    <w:rsid w:val="00A31AD1"/>
    <w:rsid w:val="00A42E7E"/>
    <w:rsid w:val="00A838B1"/>
    <w:rsid w:val="00AB16B9"/>
    <w:rsid w:val="00AB2E37"/>
    <w:rsid w:val="00AB78DB"/>
    <w:rsid w:val="00AD1DDC"/>
    <w:rsid w:val="00AE3836"/>
    <w:rsid w:val="00AF4F8E"/>
    <w:rsid w:val="00B10F38"/>
    <w:rsid w:val="00B2542A"/>
    <w:rsid w:val="00B34BCA"/>
    <w:rsid w:val="00B409FC"/>
    <w:rsid w:val="00B4791A"/>
    <w:rsid w:val="00B47DA0"/>
    <w:rsid w:val="00B82458"/>
    <w:rsid w:val="00B85224"/>
    <w:rsid w:val="00B85BF3"/>
    <w:rsid w:val="00B86058"/>
    <w:rsid w:val="00BA4FAB"/>
    <w:rsid w:val="00BD34F3"/>
    <w:rsid w:val="00BE71DD"/>
    <w:rsid w:val="00BF53F3"/>
    <w:rsid w:val="00BF6490"/>
    <w:rsid w:val="00C17FFD"/>
    <w:rsid w:val="00C30AEE"/>
    <w:rsid w:val="00C419EA"/>
    <w:rsid w:val="00C52639"/>
    <w:rsid w:val="00C618C3"/>
    <w:rsid w:val="00C6785D"/>
    <w:rsid w:val="00C67F92"/>
    <w:rsid w:val="00C74C1A"/>
    <w:rsid w:val="00C84386"/>
    <w:rsid w:val="00C90242"/>
    <w:rsid w:val="00CB14DC"/>
    <w:rsid w:val="00CC5714"/>
    <w:rsid w:val="00CE6791"/>
    <w:rsid w:val="00CF047B"/>
    <w:rsid w:val="00CF1631"/>
    <w:rsid w:val="00CF4DDB"/>
    <w:rsid w:val="00D075FA"/>
    <w:rsid w:val="00D132CA"/>
    <w:rsid w:val="00D15514"/>
    <w:rsid w:val="00D22970"/>
    <w:rsid w:val="00D22A15"/>
    <w:rsid w:val="00D25777"/>
    <w:rsid w:val="00D32B0B"/>
    <w:rsid w:val="00D4320B"/>
    <w:rsid w:val="00DA63E6"/>
    <w:rsid w:val="00DB1D0E"/>
    <w:rsid w:val="00DC5CB4"/>
    <w:rsid w:val="00DD7901"/>
    <w:rsid w:val="00DE1A21"/>
    <w:rsid w:val="00E00758"/>
    <w:rsid w:val="00E10DEB"/>
    <w:rsid w:val="00E163CE"/>
    <w:rsid w:val="00E24D7D"/>
    <w:rsid w:val="00E265BD"/>
    <w:rsid w:val="00E4048D"/>
    <w:rsid w:val="00E46AD2"/>
    <w:rsid w:val="00E735D9"/>
    <w:rsid w:val="00E7643E"/>
    <w:rsid w:val="00E863F3"/>
    <w:rsid w:val="00EA7ED8"/>
    <w:rsid w:val="00EC4BF3"/>
    <w:rsid w:val="00EC7D58"/>
    <w:rsid w:val="00ED3436"/>
    <w:rsid w:val="00F01C36"/>
    <w:rsid w:val="00F06EDA"/>
    <w:rsid w:val="00F22A2A"/>
    <w:rsid w:val="00F269D3"/>
    <w:rsid w:val="00F609E2"/>
    <w:rsid w:val="00FB5649"/>
    <w:rsid w:val="00FC6C8E"/>
    <w:rsid w:val="00FC7316"/>
    <w:rsid w:val="00FE79E5"/>
    <w:rsid w:val="010D427B"/>
    <w:rsid w:val="01201F55"/>
    <w:rsid w:val="01AD3A23"/>
    <w:rsid w:val="020700D1"/>
    <w:rsid w:val="026B2CB8"/>
    <w:rsid w:val="0284384D"/>
    <w:rsid w:val="02C54724"/>
    <w:rsid w:val="03920A67"/>
    <w:rsid w:val="03C9092D"/>
    <w:rsid w:val="04212517"/>
    <w:rsid w:val="04917185"/>
    <w:rsid w:val="05BF3CB6"/>
    <w:rsid w:val="063D4CBA"/>
    <w:rsid w:val="06622973"/>
    <w:rsid w:val="07102EA3"/>
    <w:rsid w:val="07452CE3"/>
    <w:rsid w:val="074B4461"/>
    <w:rsid w:val="07852DBD"/>
    <w:rsid w:val="079E79DA"/>
    <w:rsid w:val="07A27EEC"/>
    <w:rsid w:val="07A836F4"/>
    <w:rsid w:val="07B03875"/>
    <w:rsid w:val="07B32739"/>
    <w:rsid w:val="0882554E"/>
    <w:rsid w:val="090C0028"/>
    <w:rsid w:val="091A677A"/>
    <w:rsid w:val="09EB2C7F"/>
    <w:rsid w:val="0A2F6341"/>
    <w:rsid w:val="0A764C3F"/>
    <w:rsid w:val="0A8344B4"/>
    <w:rsid w:val="0AA7304A"/>
    <w:rsid w:val="0AAA02B8"/>
    <w:rsid w:val="0ADD5073"/>
    <w:rsid w:val="0AE71698"/>
    <w:rsid w:val="0AEC3153"/>
    <w:rsid w:val="0AF11EFA"/>
    <w:rsid w:val="0B801AF3"/>
    <w:rsid w:val="0BCE214B"/>
    <w:rsid w:val="0BE24FAD"/>
    <w:rsid w:val="0BFD6B61"/>
    <w:rsid w:val="0C17188A"/>
    <w:rsid w:val="0C9B098C"/>
    <w:rsid w:val="0CB240D8"/>
    <w:rsid w:val="0CCE789E"/>
    <w:rsid w:val="0D9E5A0B"/>
    <w:rsid w:val="0DB73065"/>
    <w:rsid w:val="0E1600BC"/>
    <w:rsid w:val="0E5928AD"/>
    <w:rsid w:val="0E6A2D0C"/>
    <w:rsid w:val="0EE20AF5"/>
    <w:rsid w:val="0F311A6F"/>
    <w:rsid w:val="0F5B1954"/>
    <w:rsid w:val="0FBF0E36"/>
    <w:rsid w:val="0FE85BEC"/>
    <w:rsid w:val="0FE91A0F"/>
    <w:rsid w:val="104C4D64"/>
    <w:rsid w:val="11976A68"/>
    <w:rsid w:val="11B36F2A"/>
    <w:rsid w:val="11BD6E3E"/>
    <w:rsid w:val="11E91587"/>
    <w:rsid w:val="12170AB5"/>
    <w:rsid w:val="12321767"/>
    <w:rsid w:val="12353631"/>
    <w:rsid w:val="124C4FD5"/>
    <w:rsid w:val="125A30C4"/>
    <w:rsid w:val="128D521B"/>
    <w:rsid w:val="12ED7A68"/>
    <w:rsid w:val="130152C1"/>
    <w:rsid w:val="133F476E"/>
    <w:rsid w:val="13482EF0"/>
    <w:rsid w:val="1363595C"/>
    <w:rsid w:val="14123C2A"/>
    <w:rsid w:val="142D0E0E"/>
    <w:rsid w:val="148E15C6"/>
    <w:rsid w:val="15036C38"/>
    <w:rsid w:val="15507A24"/>
    <w:rsid w:val="16055DDA"/>
    <w:rsid w:val="161812FA"/>
    <w:rsid w:val="162219DC"/>
    <w:rsid w:val="16806CB1"/>
    <w:rsid w:val="16CA07EC"/>
    <w:rsid w:val="16D056D6"/>
    <w:rsid w:val="16DC407B"/>
    <w:rsid w:val="16EF1130"/>
    <w:rsid w:val="179E3A27"/>
    <w:rsid w:val="17C9137B"/>
    <w:rsid w:val="17CA65CA"/>
    <w:rsid w:val="17E54BD3"/>
    <w:rsid w:val="17F0126D"/>
    <w:rsid w:val="18090EA0"/>
    <w:rsid w:val="181E5365"/>
    <w:rsid w:val="18290801"/>
    <w:rsid w:val="18545F68"/>
    <w:rsid w:val="189360E5"/>
    <w:rsid w:val="18EE0096"/>
    <w:rsid w:val="18FC210A"/>
    <w:rsid w:val="19293B87"/>
    <w:rsid w:val="1940793F"/>
    <w:rsid w:val="19A215B9"/>
    <w:rsid w:val="19E70E0E"/>
    <w:rsid w:val="19FC104D"/>
    <w:rsid w:val="1A0E09F0"/>
    <w:rsid w:val="1A8707A2"/>
    <w:rsid w:val="1AB7210B"/>
    <w:rsid w:val="1AC65D6F"/>
    <w:rsid w:val="1B5B5EB7"/>
    <w:rsid w:val="1B6B70D8"/>
    <w:rsid w:val="1B6E62F4"/>
    <w:rsid w:val="1B8515C8"/>
    <w:rsid w:val="1BAB4AC5"/>
    <w:rsid w:val="1BD65A0D"/>
    <w:rsid w:val="1C051F94"/>
    <w:rsid w:val="1C3861F8"/>
    <w:rsid w:val="1C4A1A87"/>
    <w:rsid w:val="1C4B4A0F"/>
    <w:rsid w:val="1C5A6817"/>
    <w:rsid w:val="1C5B5A42"/>
    <w:rsid w:val="1CA94A00"/>
    <w:rsid w:val="1CD43639"/>
    <w:rsid w:val="1D494184"/>
    <w:rsid w:val="1D7B7E7D"/>
    <w:rsid w:val="1D8944E9"/>
    <w:rsid w:val="1DCE33A3"/>
    <w:rsid w:val="1DD333DB"/>
    <w:rsid w:val="1DDE150B"/>
    <w:rsid w:val="1E3C42D4"/>
    <w:rsid w:val="1ECB4267"/>
    <w:rsid w:val="1F3638AE"/>
    <w:rsid w:val="1F594E5D"/>
    <w:rsid w:val="1FBD2442"/>
    <w:rsid w:val="202D1DEC"/>
    <w:rsid w:val="20681567"/>
    <w:rsid w:val="20B348F3"/>
    <w:rsid w:val="20D075ED"/>
    <w:rsid w:val="210743EB"/>
    <w:rsid w:val="212D4142"/>
    <w:rsid w:val="21303941"/>
    <w:rsid w:val="21412810"/>
    <w:rsid w:val="215D5E73"/>
    <w:rsid w:val="217D46AD"/>
    <w:rsid w:val="218F236A"/>
    <w:rsid w:val="21D30E45"/>
    <w:rsid w:val="22121D98"/>
    <w:rsid w:val="222A5947"/>
    <w:rsid w:val="222F1E4B"/>
    <w:rsid w:val="223E68AF"/>
    <w:rsid w:val="2265586D"/>
    <w:rsid w:val="23361B69"/>
    <w:rsid w:val="233A223B"/>
    <w:rsid w:val="234B1C36"/>
    <w:rsid w:val="23563407"/>
    <w:rsid w:val="23CF4182"/>
    <w:rsid w:val="25C83F87"/>
    <w:rsid w:val="25DB0FD9"/>
    <w:rsid w:val="25F95EEC"/>
    <w:rsid w:val="261C0BF7"/>
    <w:rsid w:val="262275D1"/>
    <w:rsid w:val="266876DA"/>
    <w:rsid w:val="26862B41"/>
    <w:rsid w:val="26F61EFB"/>
    <w:rsid w:val="273A716C"/>
    <w:rsid w:val="2758774E"/>
    <w:rsid w:val="276237A8"/>
    <w:rsid w:val="278E4F1E"/>
    <w:rsid w:val="280D4603"/>
    <w:rsid w:val="287912E5"/>
    <w:rsid w:val="287C121A"/>
    <w:rsid w:val="28975DA4"/>
    <w:rsid w:val="292E501E"/>
    <w:rsid w:val="29512368"/>
    <w:rsid w:val="29B535B1"/>
    <w:rsid w:val="2A1A2444"/>
    <w:rsid w:val="2A3648F0"/>
    <w:rsid w:val="2A715156"/>
    <w:rsid w:val="2A790107"/>
    <w:rsid w:val="2A86447F"/>
    <w:rsid w:val="2ADF2513"/>
    <w:rsid w:val="2B075C65"/>
    <w:rsid w:val="2B447689"/>
    <w:rsid w:val="2B591E08"/>
    <w:rsid w:val="2BBB02AC"/>
    <w:rsid w:val="2BCF10A6"/>
    <w:rsid w:val="2C1300E8"/>
    <w:rsid w:val="2C575738"/>
    <w:rsid w:val="2C8B5ED0"/>
    <w:rsid w:val="2C960884"/>
    <w:rsid w:val="2CA973E9"/>
    <w:rsid w:val="2D210ADB"/>
    <w:rsid w:val="2D4521E4"/>
    <w:rsid w:val="2DD90EBD"/>
    <w:rsid w:val="2DF81343"/>
    <w:rsid w:val="2E6B2BC6"/>
    <w:rsid w:val="2E9E2CEF"/>
    <w:rsid w:val="2EE47B19"/>
    <w:rsid w:val="2F2D14C0"/>
    <w:rsid w:val="2F6A3570"/>
    <w:rsid w:val="2F964F05"/>
    <w:rsid w:val="2FE00052"/>
    <w:rsid w:val="2FEA11EA"/>
    <w:rsid w:val="3036293F"/>
    <w:rsid w:val="30896480"/>
    <w:rsid w:val="30963095"/>
    <w:rsid w:val="30A07565"/>
    <w:rsid w:val="30AB5BFC"/>
    <w:rsid w:val="31363720"/>
    <w:rsid w:val="314E47F2"/>
    <w:rsid w:val="315C308A"/>
    <w:rsid w:val="31807F66"/>
    <w:rsid w:val="31B118FD"/>
    <w:rsid w:val="32874D75"/>
    <w:rsid w:val="32A7158A"/>
    <w:rsid w:val="32AE46C6"/>
    <w:rsid w:val="32DE69D8"/>
    <w:rsid w:val="32EB2B64"/>
    <w:rsid w:val="334F6D3D"/>
    <w:rsid w:val="335C6172"/>
    <w:rsid w:val="336229E7"/>
    <w:rsid w:val="337F6B6E"/>
    <w:rsid w:val="33911F37"/>
    <w:rsid w:val="33E21C1A"/>
    <w:rsid w:val="34311A53"/>
    <w:rsid w:val="343230D5"/>
    <w:rsid w:val="346C48F4"/>
    <w:rsid w:val="346D766F"/>
    <w:rsid w:val="34E71972"/>
    <w:rsid w:val="34F9186F"/>
    <w:rsid w:val="3533084D"/>
    <w:rsid w:val="354D54A9"/>
    <w:rsid w:val="359679D1"/>
    <w:rsid w:val="35A23056"/>
    <w:rsid w:val="35AA0971"/>
    <w:rsid w:val="36D641AB"/>
    <w:rsid w:val="36E63C08"/>
    <w:rsid w:val="36E92225"/>
    <w:rsid w:val="372C6E7F"/>
    <w:rsid w:val="376D0754"/>
    <w:rsid w:val="376D1E36"/>
    <w:rsid w:val="3792602A"/>
    <w:rsid w:val="37DA313A"/>
    <w:rsid w:val="381B277F"/>
    <w:rsid w:val="3824770E"/>
    <w:rsid w:val="38545D10"/>
    <w:rsid w:val="38C43E25"/>
    <w:rsid w:val="399972E4"/>
    <w:rsid w:val="39F6132E"/>
    <w:rsid w:val="3A166BEF"/>
    <w:rsid w:val="3A1864B2"/>
    <w:rsid w:val="3A1F4445"/>
    <w:rsid w:val="3A3815D3"/>
    <w:rsid w:val="3A3E6C77"/>
    <w:rsid w:val="3A415891"/>
    <w:rsid w:val="3A591F82"/>
    <w:rsid w:val="3A6D7BE3"/>
    <w:rsid w:val="3ACC7DDF"/>
    <w:rsid w:val="3B225C51"/>
    <w:rsid w:val="3B3E3FA5"/>
    <w:rsid w:val="3B450930"/>
    <w:rsid w:val="3BA23236"/>
    <w:rsid w:val="3C1852A6"/>
    <w:rsid w:val="3C6A7383"/>
    <w:rsid w:val="3C74099D"/>
    <w:rsid w:val="3C7D054C"/>
    <w:rsid w:val="3CE8383B"/>
    <w:rsid w:val="3D605157"/>
    <w:rsid w:val="3D7A3C99"/>
    <w:rsid w:val="3DC512D0"/>
    <w:rsid w:val="3E5B4D46"/>
    <w:rsid w:val="3E66054B"/>
    <w:rsid w:val="3EC80C8D"/>
    <w:rsid w:val="3F040387"/>
    <w:rsid w:val="3F4C5993"/>
    <w:rsid w:val="3F8E5FAB"/>
    <w:rsid w:val="3FD10385"/>
    <w:rsid w:val="3FDB51DB"/>
    <w:rsid w:val="40871FB8"/>
    <w:rsid w:val="40CD253B"/>
    <w:rsid w:val="40E35B04"/>
    <w:rsid w:val="41413F6F"/>
    <w:rsid w:val="41990C37"/>
    <w:rsid w:val="41ED47FB"/>
    <w:rsid w:val="41F80C94"/>
    <w:rsid w:val="42537038"/>
    <w:rsid w:val="42835EF4"/>
    <w:rsid w:val="4298644F"/>
    <w:rsid w:val="42CE4911"/>
    <w:rsid w:val="430D7664"/>
    <w:rsid w:val="43190F58"/>
    <w:rsid w:val="43763100"/>
    <w:rsid w:val="437B2938"/>
    <w:rsid w:val="43FB0295"/>
    <w:rsid w:val="4427077C"/>
    <w:rsid w:val="44492474"/>
    <w:rsid w:val="44617BA5"/>
    <w:rsid w:val="44DC3315"/>
    <w:rsid w:val="44EE02A0"/>
    <w:rsid w:val="450137F0"/>
    <w:rsid w:val="45053792"/>
    <w:rsid w:val="4534527F"/>
    <w:rsid w:val="453D05C7"/>
    <w:rsid w:val="45516773"/>
    <w:rsid w:val="45BE5CA2"/>
    <w:rsid w:val="45FA1CE4"/>
    <w:rsid w:val="460C5E7C"/>
    <w:rsid w:val="46380A1F"/>
    <w:rsid w:val="467CFF17"/>
    <w:rsid w:val="469C0860"/>
    <w:rsid w:val="46A351E1"/>
    <w:rsid w:val="46BA58D8"/>
    <w:rsid w:val="47022DDB"/>
    <w:rsid w:val="470C1789"/>
    <w:rsid w:val="47327B17"/>
    <w:rsid w:val="473936A6"/>
    <w:rsid w:val="474F52FA"/>
    <w:rsid w:val="476B2748"/>
    <w:rsid w:val="47B440D5"/>
    <w:rsid w:val="47C841F6"/>
    <w:rsid w:val="47D77BA6"/>
    <w:rsid w:val="47E47B88"/>
    <w:rsid w:val="48166B3E"/>
    <w:rsid w:val="48307449"/>
    <w:rsid w:val="48742673"/>
    <w:rsid w:val="48764D34"/>
    <w:rsid w:val="48DA5496"/>
    <w:rsid w:val="48E32CA1"/>
    <w:rsid w:val="491F1A22"/>
    <w:rsid w:val="49574D12"/>
    <w:rsid w:val="495751DE"/>
    <w:rsid w:val="49C16F7D"/>
    <w:rsid w:val="4A34702F"/>
    <w:rsid w:val="4A710A83"/>
    <w:rsid w:val="4A714A31"/>
    <w:rsid w:val="4A832E71"/>
    <w:rsid w:val="4AEA31D4"/>
    <w:rsid w:val="4B406D17"/>
    <w:rsid w:val="4B4810FE"/>
    <w:rsid w:val="4B73153F"/>
    <w:rsid w:val="4B875393"/>
    <w:rsid w:val="4B977597"/>
    <w:rsid w:val="4C066EC9"/>
    <w:rsid w:val="4C3752D5"/>
    <w:rsid w:val="4C602AB7"/>
    <w:rsid w:val="4CBF7C75"/>
    <w:rsid w:val="4CD11285"/>
    <w:rsid w:val="4CE70AA9"/>
    <w:rsid w:val="4D0623E1"/>
    <w:rsid w:val="4D233AF8"/>
    <w:rsid w:val="4D3E1798"/>
    <w:rsid w:val="4D480730"/>
    <w:rsid w:val="4D571ED4"/>
    <w:rsid w:val="4DD40C5E"/>
    <w:rsid w:val="4DDC4A17"/>
    <w:rsid w:val="4E121B55"/>
    <w:rsid w:val="4E2A6F15"/>
    <w:rsid w:val="4E30647F"/>
    <w:rsid w:val="4E3432F4"/>
    <w:rsid w:val="4E834E29"/>
    <w:rsid w:val="4F6B3C13"/>
    <w:rsid w:val="4FBB7FCB"/>
    <w:rsid w:val="4FD42DC3"/>
    <w:rsid w:val="501D04CE"/>
    <w:rsid w:val="502D0E36"/>
    <w:rsid w:val="50333DEC"/>
    <w:rsid w:val="50414974"/>
    <w:rsid w:val="508F56DF"/>
    <w:rsid w:val="50E35EBB"/>
    <w:rsid w:val="50F46775"/>
    <w:rsid w:val="50FB0FC7"/>
    <w:rsid w:val="51404C2B"/>
    <w:rsid w:val="51F949B7"/>
    <w:rsid w:val="52985AF9"/>
    <w:rsid w:val="53505AE5"/>
    <w:rsid w:val="53830F02"/>
    <w:rsid w:val="53A316C5"/>
    <w:rsid w:val="53CE31DB"/>
    <w:rsid w:val="53FD9CDC"/>
    <w:rsid w:val="54327A61"/>
    <w:rsid w:val="54DC7AC6"/>
    <w:rsid w:val="5560764A"/>
    <w:rsid w:val="557F0100"/>
    <w:rsid w:val="55AC288F"/>
    <w:rsid w:val="55C8387E"/>
    <w:rsid w:val="55C86F8B"/>
    <w:rsid w:val="55D6790C"/>
    <w:rsid w:val="56D15A89"/>
    <w:rsid w:val="572C51A7"/>
    <w:rsid w:val="576C677A"/>
    <w:rsid w:val="57C661A5"/>
    <w:rsid w:val="57CB1AC4"/>
    <w:rsid w:val="58035059"/>
    <w:rsid w:val="587358E6"/>
    <w:rsid w:val="58805DBF"/>
    <w:rsid w:val="58AC2BA6"/>
    <w:rsid w:val="58E41B62"/>
    <w:rsid w:val="592D325B"/>
    <w:rsid w:val="59314761"/>
    <w:rsid w:val="593D2E59"/>
    <w:rsid w:val="5970084D"/>
    <w:rsid w:val="59A87812"/>
    <w:rsid w:val="59D02FE6"/>
    <w:rsid w:val="59DC4EB6"/>
    <w:rsid w:val="5A2C6B69"/>
    <w:rsid w:val="5A497EFA"/>
    <w:rsid w:val="5A8D3D2B"/>
    <w:rsid w:val="5B697EEF"/>
    <w:rsid w:val="5B702511"/>
    <w:rsid w:val="5B913D4A"/>
    <w:rsid w:val="5BB072AA"/>
    <w:rsid w:val="5C056287"/>
    <w:rsid w:val="5C1F32A6"/>
    <w:rsid w:val="5CA77A0B"/>
    <w:rsid w:val="5D311BE6"/>
    <w:rsid w:val="5D3B34D2"/>
    <w:rsid w:val="5D976B3F"/>
    <w:rsid w:val="5DA03F23"/>
    <w:rsid w:val="5E024645"/>
    <w:rsid w:val="5E548B43"/>
    <w:rsid w:val="5E5B3ACA"/>
    <w:rsid w:val="5E780AE1"/>
    <w:rsid w:val="5EB3CE55"/>
    <w:rsid w:val="5F246A9A"/>
    <w:rsid w:val="5F2D68B1"/>
    <w:rsid w:val="5F8EA272"/>
    <w:rsid w:val="5FAE0644"/>
    <w:rsid w:val="5FAF52E8"/>
    <w:rsid w:val="5FE445C6"/>
    <w:rsid w:val="5FF7D567"/>
    <w:rsid w:val="5FFD5AB9"/>
    <w:rsid w:val="60844B35"/>
    <w:rsid w:val="60B92AAF"/>
    <w:rsid w:val="610F1255"/>
    <w:rsid w:val="612A6E3D"/>
    <w:rsid w:val="61572249"/>
    <w:rsid w:val="61813DF8"/>
    <w:rsid w:val="61930DA7"/>
    <w:rsid w:val="61D43888"/>
    <w:rsid w:val="62214605"/>
    <w:rsid w:val="6223212B"/>
    <w:rsid w:val="622C188E"/>
    <w:rsid w:val="623D38BB"/>
    <w:rsid w:val="62691F3E"/>
    <w:rsid w:val="62B75CC2"/>
    <w:rsid w:val="63604CB9"/>
    <w:rsid w:val="636D7E27"/>
    <w:rsid w:val="6393680E"/>
    <w:rsid w:val="63F447FA"/>
    <w:rsid w:val="642467FB"/>
    <w:rsid w:val="646B1ECE"/>
    <w:rsid w:val="65324045"/>
    <w:rsid w:val="653603C7"/>
    <w:rsid w:val="65420882"/>
    <w:rsid w:val="6553506E"/>
    <w:rsid w:val="65672E18"/>
    <w:rsid w:val="656C1155"/>
    <w:rsid w:val="65707DCC"/>
    <w:rsid w:val="658B309F"/>
    <w:rsid w:val="664A15ED"/>
    <w:rsid w:val="665600F0"/>
    <w:rsid w:val="66727C84"/>
    <w:rsid w:val="66876902"/>
    <w:rsid w:val="66A650D9"/>
    <w:rsid w:val="66BD5E1B"/>
    <w:rsid w:val="66CD2666"/>
    <w:rsid w:val="67087B42"/>
    <w:rsid w:val="67A27022"/>
    <w:rsid w:val="67E05496"/>
    <w:rsid w:val="680C559B"/>
    <w:rsid w:val="68686BBC"/>
    <w:rsid w:val="687A00C6"/>
    <w:rsid w:val="68934717"/>
    <w:rsid w:val="68ED6FEF"/>
    <w:rsid w:val="69043963"/>
    <w:rsid w:val="69044022"/>
    <w:rsid w:val="6907627A"/>
    <w:rsid w:val="69165080"/>
    <w:rsid w:val="696B304E"/>
    <w:rsid w:val="696B6C9C"/>
    <w:rsid w:val="697838DF"/>
    <w:rsid w:val="69C40A40"/>
    <w:rsid w:val="6A151116"/>
    <w:rsid w:val="6A293639"/>
    <w:rsid w:val="6A5777C2"/>
    <w:rsid w:val="6A6634FD"/>
    <w:rsid w:val="6B287AD5"/>
    <w:rsid w:val="6B7316A4"/>
    <w:rsid w:val="6B8B77E1"/>
    <w:rsid w:val="6B9C4F21"/>
    <w:rsid w:val="6BDA2AFA"/>
    <w:rsid w:val="6BE4317B"/>
    <w:rsid w:val="6C58469A"/>
    <w:rsid w:val="6C6E055C"/>
    <w:rsid w:val="6C740B5E"/>
    <w:rsid w:val="6CC57182"/>
    <w:rsid w:val="6CC7277A"/>
    <w:rsid w:val="6D1D1356"/>
    <w:rsid w:val="6DA74875"/>
    <w:rsid w:val="6DE8697B"/>
    <w:rsid w:val="6E1967C1"/>
    <w:rsid w:val="6EBC5114"/>
    <w:rsid w:val="6ED57945"/>
    <w:rsid w:val="6EF2710D"/>
    <w:rsid w:val="6F08090C"/>
    <w:rsid w:val="6F4E7113"/>
    <w:rsid w:val="6F541B76"/>
    <w:rsid w:val="6F8E7ECA"/>
    <w:rsid w:val="6F9D2C59"/>
    <w:rsid w:val="6FAE28B9"/>
    <w:rsid w:val="6FBB11B3"/>
    <w:rsid w:val="70096E04"/>
    <w:rsid w:val="70514307"/>
    <w:rsid w:val="70B12FF8"/>
    <w:rsid w:val="71141CBA"/>
    <w:rsid w:val="71F37B08"/>
    <w:rsid w:val="72127AC6"/>
    <w:rsid w:val="722F31E7"/>
    <w:rsid w:val="724F6669"/>
    <w:rsid w:val="72A5504C"/>
    <w:rsid w:val="72E363F2"/>
    <w:rsid w:val="734C133A"/>
    <w:rsid w:val="73722F12"/>
    <w:rsid w:val="73972904"/>
    <w:rsid w:val="73B788E7"/>
    <w:rsid w:val="742C183A"/>
    <w:rsid w:val="743E1047"/>
    <w:rsid w:val="74404DBF"/>
    <w:rsid w:val="74566577"/>
    <w:rsid w:val="748E5089"/>
    <w:rsid w:val="74DB23BF"/>
    <w:rsid w:val="74E1184F"/>
    <w:rsid w:val="74FC2BFE"/>
    <w:rsid w:val="74FD7D63"/>
    <w:rsid w:val="757F2329"/>
    <w:rsid w:val="75DE31F0"/>
    <w:rsid w:val="75E85E43"/>
    <w:rsid w:val="767E3A20"/>
    <w:rsid w:val="76AF7FDA"/>
    <w:rsid w:val="76CE593B"/>
    <w:rsid w:val="76F3B939"/>
    <w:rsid w:val="76FD4DCB"/>
    <w:rsid w:val="771222E8"/>
    <w:rsid w:val="77664B3C"/>
    <w:rsid w:val="77C4430A"/>
    <w:rsid w:val="77C82386"/>
    <w:rsid w:val="77E3785D"/>
    <w:rsid w:val="78457530"/>
    <w:rsid w:val="78C9620B"/>
    <w:rsid w:val="78CB7E81"/>
    <w:rsid w:val="790A14F7"/>
    <w:rsid w:val="790F2AC2"/>
    <w:rsid w:val="7923774A"/>
    <w:rsid w:val="79856F2C"/>
    <w:rsid w:val="799C441C"/>
    <w:rsid w:val="7A7237F8"/>
    <w:rsid w:val="7AA65250"/>
    <w:rsid w:val="7AFD1314"/>
    <w:rsid w:val="7B2F0256"/>
    <w:rsid w:val="7B926184"/>
    <w:rsid w:val="7C023D81"/>
    <w:rsid w:val="7C0A1A7E"/>
    <w:rsid w:val="7C3B688B"/>
    <w:rsid w:val="7C41491B"/>
    <w:rsid w:val="7C58305E"/>
    <w:rsid w:val="7C76098C"/>
    <w:rsid w:val="7C7F7042"/>
    <w:rsid w:val="7D2637C1"/>
    <w:rsid w:val="7D505977"/>
    <w:rsid w:val="7E0046E9"/>
    <w:rsid w:val="7E210840"/>
    <w:rsid w:val="7E325778"/>
    <w:rsid w:val="7E36681D"/>
    <w:rsid w:val="7FB6280C"/>
    <w:rsid w:val="7FFF0A28"/>
    <w:rsid w:val="7FFF3A7E"/>
    <w:rsid w:val="8FFF3353"/>
    <w:rsid w:val="9CBF896A"/>
    <w:rsid w:val="A33D4B8B"/>
    <w:rsid w:val="A75F56E0"/>
    <w:rsid w:val="BFFA55A4"/>
    <w:rsid w:val="BFFBAC19"/>
    <w:rsid w:val="CFF5705B"/>
    <w:rsid w:val="DC5ED6EA"/>
    <w:rsid w:val="E67FB003"/>
    <w:rsid w:val="EB7F9EED"/>
    <w:rsid w:val="EC6FF248"/>
    <w:rsid w:val="EEFF9DCC"/>
    <w:rsid w:val="EF3E74E9"/>
    <w:rsid w:val="F6BEE215"/>
    <w:rsid w:val="F97B3386"/>
    <w:rsid w:val="FA2F43F5"/>
    <w:rsid w:val="FD7D69D4"/>
    <w:rsid w:val="FDD7CDB6"/>
    <w:rsid w:val="FF2EA5B3"/>
    <w:rsid w:val="FFBF2C72"/>
    <w:rsid w:val="FFFFCD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等线" w:hAnsi="等线" w:eastAsia="等线" w:cs="Times New Roman"/>
      <w:kern w:val="2"/>
      <w:sz w:val="21"/>
      <w:szCs w:val="22"/>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2"/>
    <w:autoRedefine/>
    <w:unhideWhenUsed/>
    <w:qFormat/>
    <w:uiPriority w:val="99"/>
    <w:pPr>
      <w:jc w:val="left"/>
    </w:pPr>
  </w:style>
  <w:style w:type="paragraph" w:styleId="3">
    <w:name w:val="Balloon Text"/>
    <w:basedOn w:val="1"/>
    <w:link w:val="13"/>
    <w:autoRedefine/>
    <w:unhideWhenUsed/>
    <w:qFormat/>
    <w:uiPriority w:val="99"/>
    <w:rPr>
      <w:sz w:val="18"/>
      <w:szCs w:val="18"/>
    </w:rPr>
  </w:style>
  <w:style w:type="paragraph" w:styleId="4">
    <w:name w:val="footer"/>
    <w:basedOn w:val="1"/>
    <w:link w:val="14"/>
    <w:autoRedefine/>
    <w:unhideWhenUsed/>
    <w:qFormat/>
    <w:uiPriority w:val="99"/>
    <w:pPr>
      <w:tabs>
        <w:tab w:val="center" w:pos="4153"/>
        <w:tab w:val="right" w:pos="8306"/>
      </w:tabs>
      <w:snapToGrid w:val="0"/>
      <w:jc w:val="left"/>
    </w:pPr>
    <w:rPr>
      <w:sz w:val="18"/>
      <w:szCs w:val="18"/>
    </w:rPr>
  </w:style>
  <w:style w:type="paragraph" w:styleId="5">
    <w:name w:val="header"/>
    <w:basedOn w:val="1"/>
    <w:link w:val="15"/>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6"/>
    <w:autoRedefine/>
    <w:unhideWhenUsed/>
    <w:qFormat/>
    <w:uiPriority w:val="99"/>
    <w:rPr>
      <w:b/>
      <w:bCs/>
    </w:rPr>
  </w:style>
  <w:style w:type="table" w:styleId="8">
    <w:name w:val="Table Grid"/>
    <w:basedOn w:val="7"/>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autoRedefine/>
    <w:qFormat/>
    <w:uiPriority w:val="22"/>
    <w:rPr>
      <w:b/>
    </w:rPr>
  </w:style>
  <w:style w:type="character" w:styleId="11">
    <w:name w:val="annotation reference"/>
    <w:autoRedefine/>
    <w:unhideWhenUsed/>
    <w:qFormat/>
    <w:uiPriority w:val="99"/>
    <w:rPr>
      <w:sz w:val="21"/>
      <w:szCs w:val="21"/>
    </w:rPr>
  </w:style>
  <w:style w:type="character" w:customStyle="1" w:styleId="12">
    <w:name w:val="批注文字 字符"/>
    <w:link w:val="2"/>
    <w:autoRedefine/>
    <w:qFormat/>
    <w:uiPriority w:val="99"/>
    <w:rPr>
      <w:rFonts w:ascii="等线" w:hAnsi="等线" w:eastAsia="等线"/>
      <w:kern w:val="2"/>
      <w:sz w:val="21"/>
      <w:szCs w:val="22"/>
    </w:rPr>
  </w:style>
  <w:style w:type="character" w:customStyle="1" w:styleId="13">
    <w:name w:val="批注框文本 字符"/>
    <w:link w:val="3"/>
    <w:autoRedefine/>
    <w:semiHidden/>
    <w:qFormat/>
    <w:uiPriority w:val="99"/>
    <w:rPr>
      <w:sz w:val="18"/>
      <w:szCs w:val="18"/>
    </w:rPr>
  </w:style>
  <w:style w:type="character" w:customStyle="1" w:styleId="14">
    <w:name w:val="页脚 字符"/>
    <w:link w:val="4"/>
    <w:autoRedefine/>
    <w:qFormat/>
    <w:uiPriority w:val="99"/>
    <w:rPr>
      <w:sz w:val="18"/>
      <w:szCs w:val="18"/>
    </w:rPr>
  </w:style>
  <w:style w:type="character" w:customStyle="1" w:styleId="15">
    <w:name w:val="页眉 字符"/>
    <w:link w:val="5"/>
    <w:autoRedefine/>
    <w:qFormat/>
    <w:uiPriority w:val="99"/>
    <w:rPr>
      <w:sz w:val="18"/>
      <w:szCs w:val="18"/>
    </w:rPr>
  </w:style>
  <w:style w:type="character" w:customStyle="1" w:styleId="16">
    <w:name w:val="批注主题 字符"/>
    <w:link w:val="6"/>
    <w:autoRedefine/>
    <w:semiHidden/>
    <w:qFormat/>
    <w:uiPriority w:val="99"/>
    <w:rPr>
      <w:rFonts w:ascii="等线" w:hAnsi="等线" w:eastAsia="等线"/>
      <w:b/>
      <w:bCs/>
      <w:kern w:val="2"/>
      <w:sz w:val="21"/>
      <w:szCs w:val="22"/>
    </w:rPr>
  </w:style>
  <w:style w:type="paragraph" w:styleId="17">
    <w:name w:val="List Paragraph"/>
    <w:basedOn w:val="1"/>
    <w:autoRedefine/>
    <w:qFormat/>
    <w:uiPriority w:val="34"/>
    <w:pPr>
      <w:ind w:firstLine="420" w:firstLineChars="200"/>
    </w:pPr>
  </w:style>
  <w:style w:type="paragraph" w:customStyle="1" w:styleId="18">
    <w:name w:val="Default"/>
    <w:autoRedefine/>
    <w:unhideWhenUsed/>
    <w:qFormat/>
    <w:uiPriority w:val="99"/>
    <w:pPr>
      <w:widowControl w:val="0"/>
      <w:autoSpaceDE w:val="0"/>
      <w:autoSpaceDN w:val="0"/>
      <w:adjustRightInd w:val="0"/>
    </w:pPr>
    <w:rPr>
      <w:rFonts w:hint="eastAsia" w:ascii="宋体" w:hAnsi="宋体" w:eastAsia="宋体" w:cs="Times New Roman"/>
      <w:color w:val="000000"/>
      <w:sz w:val="24"/>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63470612-06a5-41eb-bc1b-bbe44f089edf</errorID>
      <errorWord>、</errorWord>
      <group>L1_Punc</group>
      <groupName>标点问题</groupName>
      <ability>L2_Punc_CN</ability>
      <abilityName>标点符号问题</abilityName>
      <candidateList/>
      <explain/>
      <paraID>450BBB20</paraID>
      <start>0</start>
      <end>1</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7836bbd-0599-44d4-bea2-9cb6e6abee68}">
  <ds:schemaRefs/>
</ds:datastoreItem>
</file>

<file path=docProps/app.xml><?xml version="1.0" encoding="utf-8"?>
<Properties xmlns="http://schemas.openxmlformats.org/officeDocument/2006/extended-properties" xmlns:vt="http://schemas.openxmlformats.org/officeDocument/2006/docPropsVTypes">
  <Template>Normal</Template>
  <Company>GYBYS</Company>
  <Pages>5</Pages>
  <Words>2309</Words>
  <Characters>2444</Characters>
  <Lines>22</Lines>
  <Paragraphs>6</Paragraphs>
  <TotalTime>163</TotalTime>
  <ScaleCrop>false</ScaleCrop>
  <LinksUpToDate>false</LinksUpToDate>
  <CharactersWithSpaces>2498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2023-09-13T22:13:00Z</dcterms:created>
  <dc:creator>Licy</dc:creator>
  <cp:lastModifiedBy>李春瑶</cp:lastModifiedBy>
  <cp:lastPrinted>2026-10-08T03:25:15Z</cp:lastPrinted>
  <dcterms:modified xsi:type="dcterms:W3CDTF">2026-10-09T08:18:56Z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62C18E115F2145D1822691E8203E248B_13</vt:lpwstr>
  </property>
  <property fmtid="{D5CDD505-2E9C-101B-9397-08002B2CF9AE}" pid="4" name="KSOTemplateDocerSaveRecord">
    <vt:lpwstr>eyJoZGlkIjoiNmFhMmVlNzFjNDI0ZTliMTBjN2NmZDYxODZkZGVmMDciLCJ1c2VySWQiOiIxOTA2NDYxNDIxIn0=</vt:lpwstr>
  </property>
</Properties>
</file>