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F8D16">
      <w:pPr>
        <w:tabs>
          <w:tab w:val="left" w:pos="420"/>
        </w:tabs>
        <w:jc w:val="center"/>
        <w:rPr>
          <w:rFonts w:hint="eastAsia" w:ascii="方正小标宋简体" w:hAnsi="方正小标宋简体" w:eastAsia="方正小标宋简体"/>
          <w:b/>
          <w:color w:val="FF0000"/>
          <w:w w:val="95"/>
          <w:kern w:val="0"/>
          <w:sz w:val="44"/>
          <w:szCs w:val="116"/>
        </w:rPr>
      </w:pPr>
      <w:bookmarkStart w:id="0" w:name="_Hlk141567855"/>
      <w:bookmarkEnd w:id="0"/>
      <w:r>
        <w:rPr>
          <w:rFonts w:hint="eastAsia" w:ascii="方正小标宋简体" w:hAnsi="方正小标宋简体" w:eastAsia="方正小标宋简体" w:cs="黑体"/>
          <w:b/>
          <w:color w:val="FF0000"/>
          <w:w w:val="95"/>
          <w:sz w:val="44"/>
          <w:szCs w:val="72"/>
        </w:rPr>
        <w:t>中国证券监督管理委员会广东监管局</w:t>
      </w:r>
    </w:p>
    <w:p w14:paraId="3BF449C7">
      <w:pPr>
        <w:jc w:val="center"/>
        <w:rPr>
          <w:rFonts w:hint="eastAsia" w:ascii="方正小标宋简体" w:hAnsi="方正小标宋简体" w:eastAsia="方正小标宋简体"/>
          <w:snapToGrid w:val="0"/>
          <w:spacing w:val="85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/>
          <w:b/>
          <w:bCs/>
          <w:snapToGrid w:val="0"/>
          <w:color w:val="FF0000"/>
          <w:spacing w:val="85"/>
          <w:w w:val="90"/>
          <w:sz w:val="72"/>
          <w:szCs w:val="72"/>
        </w:rPr>
        <w:t>行政监管措施决定书</w:t>
      </w:r>
    </w:p>
    <w:p w14:paraId="25BF2765">
      <w:pPr>
        <w:snapToGrid w:val="0"/>
        <w:jc w:val="center"/>
        <w:rPr>
          <w:rFonts w:hint="eastAsia" w:ascii="仿宋_GB2312" w:hAnsi="仿宋_GB2312" w:eastAsia="仿宋_GB2312" w:cs="宋体"/>
          <w:sz w:val="28"/>
          <w:szCs w:val="28"/>
        </w:rPr>
      </w:pPr>
    </w:p>
    <w:p w14:paraId="315707D6">
      <w:pPr>
        <w:suppressAutoHyphens/>
        <w:snapToGrid w:val="0"/>
        <w:spacing w:before="159" w:beforeLines="50" w:line="300" w:lineRule="auto"/>
        <w:jc w:val="center"/>
        <w:rPr>
          <w:rFonts w:ascii="黑体" w:eastAsia="黑体"/>
          <w:color w:val="000000"/>
          <w:spacing w:val="12"/>
          <w:sz w:val="32"/>
        </w:rPr>
      </w:pPr>
      <w:bookmarkStart w:id="1" w:name="WH"/>
      <w:bookmarkEnd w:id="1"/>
      <w:r>
        <w:rPr>
          <w:rFonts w:hint="eastAsia" w:ascii="仿宋_GB2312" w:eastAsia="仿宋_GB2312"/>
          <w:color w:val="000000"/>
          <w:spacing w:val="12"/>
          <w:sz w:val="28"/>
        </w:rPr>
        <w:t>〔20</w:t>
      </w:r>
      <w:r>
        <w:rPr>
          <w:rFonts w:ascii="仿宋_GB2312" w:eastAsia="仿宋_GB2312"/>
          <w:color w:val="000000"/>
          <w:spacing w:val="12"/>
          <w:sz w:val="28"/>
        </w:rPr>
        <w:t>26</w:t>
      </w:r>
      <w:r>
        <w:rPr>
          <w:rFonts w:hint="eastAsia" w:ascii="仿宋_GB2312" w:eastAsia="仿宋_GB2312"/>
          <w:color w:val="000000"/>
          <w:spacing w:val="12"/>
          <w:sz w:val="28"/>
        </w:rPr>
        <w:t>〕</w:t>
      </w:r>
      <w:r>
        <w:rPr>
          <w:rFonts w:ascii="仿宋_GB2312" w:eastAsia="仿宋_GB2312"/>
          <w:color w:val="000000"/>
          <w:spacing w:val="12"/>
          <w:sz w:val="28"/>
        </w:rPr>
        <w:t>123</w:t>
      </w:r>
      <w:r>
        <w:rPr>
          <w:rFonts w:hint="eastAsia" w:ascii="仿宋_GB2312" w:eastAsia="仿宋_GB2312"/>
          <w:color w:val="000000"/>
          <w:spacing w:val="12"/>
          <w:sz w:val="28"/>
        </w:rPr>
        <w:t>号</w:t>
      </w:r>
    </w:p>
    <w:p w14:paraId="72D474C8">
      <w:pPr>
        <w:snapToGrid w:val="0"/>
        <w:jc w:val="center"/>
        <w:rPr>
          <w:rFonts w:hint="eastAsia" w:ascii="仿宋_GB2312" w:hAnsi="仿宋_GB2312" w:eastAsia="仿宋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128905</wp:posOffset>
                </wp:positionV>
                <wp:extent cx="555180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10.15pt;height:0.05pt;width:437.15pt;z-index:251659264;mso-width-relative:page;mso-height-relative:page;" filled="f" stroked="t" coordsize="21600,21600" o:gfxdata="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wvtZLWAAAACAEAAA8AAAAAAAAAAQAgAAAAIgAAAGRycy9kb3ducmV2LnhtbFBLAQIU&#10;ABQAAAAIAIdO4kDxLzzT9QEAAOkDAAAOAAAAAAAAAAEAIAAAACUBAABkcnMvZTJvRG9jLnhtbFBL&#10;BQYAAAAABgAGAFkBAACMBQAAAAA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5B9106E7">
      <w:pPr>
        <w:jc w:val="center"/>
        <w:rPr>
          <w:sz w:val="28"/>
          <w:szCs w:val="28"/>
        </w:rPr>
      </w:pPr>
    </w:p>
    <w:p w14:paraId="65C2BBA2">
      <w:pPr>
        <w:widowControl/>
        <w:tabs>
          <w:tab w:val="center" w:pos="4153"/>
          <w:tab w:val="right" w:pos="8306"/>
        </w:tabs>
        <w:adjustRightInd w:val="0"/>
        <w:snapToGrid w:val="0"/>
        <w:jc w:val="center"/>
        <w:rPr>
          <w:rFonts w:hint="eastAsia" w:ascii="方正小标宋简体" w:hAnsi="方正小标宋简体" w:eastAsia="方正小标宋简体"/>
          <w:kern w:val="0"/>
          <w:sz w:val="44"/>
          <w:szCs w:val="18"/>
        </w:rPr>
      </w:pPr>
      <w:bookmarkStart w:id="3" w:name="_GoBack"/>
      <w:bookmarkStart w:id="2" w:name="quanwen"/>
      <w:r>
        <w:rPr>
          <w:rFonts w:hint="eastAsia" w:ascii="方正小标宋简体" w:hAnsi="方正小标宋简体" w:eastAsia="方正小标宋简体"/>
          <w:kern w:val="0"/>
          <w:sz w:val="44"/>
          <w:szCs w:val="18"/>
        </w:rPr>
        <w:t>关于对广东明珠集团股份有限公司及</w:t>
      </w:r>
    </w:p>
    <w:p w14:paraId="7AA52F62">
      <w:pPr>
        <w:widowControl/>
        <w:tabs>
          <w:tab w:val="center" w:pos="4153"/>
          <w:tab w:val="right" w:pos="8306"/>
        </w:tabs>
        <w:adjustRightInd w:val="0"/>
        <w:snapToGrid w:val="0"/>
        <w:jc w:val="center"/>
        <w:rPr>
          <w:rFonts w:hint="eastAsia" w:ascii="方正小标宋简体" w:hAnsi="方正小标宋简体" w:eastAsia="方正小标宋简体"/>
          <w:kern w:val="0"/>
          <w:sz w:val="44"/>
          <w:szCs w:val="18"/>
        </w:rPr>
      </w:pPr>
      <w:r>
        <w:rPr>
          <w:rFonts w:hint="eastAsia" w:ascii="方正小标宋简体" w:hAnsi="方正小标宋简体" w:eastAsia="方正小标宋简体"/>
          <w:kern w:val="0"/>
          <w:sz w:val="44"/>
          <w:szCs w:val="18"/>
        </w:rPr>
        <w:t>黄丙娣、张媚采取出具警示函措施的决定</w:t>
      </w:r>
    </w:p>
    <w:bookmarkEnd w:id="3"/>
    <w:p w14:paraId="2E17B445">
      <w:pPr>
        <w:adjustRightInd w:val="0"/>
        <w:snapToGrid w:val="0"/>
        <w:rPr>
          <w:rFonts w:hint="eastAsia" w:ascii="方正小标宋简体" w:hAnsi="方正小标宋简体" w:eastAsia="方正小标宋简体" w:cs="方正小标宋简体"/>
          <w:spacing w:val="8"/>
          <w:kern w:val="0"/>
          <w:sz w:val="32"/>
          <w:szCs w:val="24"/>
        </w:rPr>
      </w:pPr>
    </w:p>
    <w:p w14:paraId="5E6B83AC">
      <w:pPr>
        <w:overflowPunct w:val="0"/>
        <w:adjustRightInd w:val="0"/>
        <w:snapToGrid w:val="0"/>
        <w:spacing w:line="336" w:lineRule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广东明珠集团股份有限公司，黄丙娣、张媚：</w:t>
      </w:r>
    </w:p>
    <w:p w14:paraId="5DA737B2">
      <w:pPr>
        <w:overflowPunct w:val="0"/>
        <w:adjustRightInd w:val="0"/>
        <w:snapToGrid w:val="0"/>
        <w:spacing w:line="336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经查，广东明珠集团股份有限公司(以下简称公司）全资子公司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广东明珠集团矿业有限公司于2026年7月中旬收到有关安全生产部门对部分产线进行停产整改的通知，但你公司迟至2026年8月5日才披露临时公告，存在信息披露不及时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情况。</w:t>
      </w:r>
    </w:p>
    <w:p w14:paraId="73109C2D">
      <w:pPr>
        <w:overflowPunct w:val="0"/>
        <w:adjustRightInd w:val="0"/>
        <w:snapToGrid w:val="0"/>
        <w:spacing w:line="336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行为违反了《上市公司信息披露管理办法（2025年修订）》（证监会令第226号，下同）第三条第一款、第二十三条第一款、第二款第十一项的规定。公司董事长兼时任总经理黄丙娣、董事会秘书张媚未按照《上市公司信息披露管理办法》第四条、第五十二条第二款规定履行勤勉尽责义务，对上述行为负有主要责任。</w:t>
      </w:r>
    </w:p>
    <w:p w14:paraId="5F44557E">
      <w:pPr>
        <w:overflowPunct w:val="0"/>
        <w:adjustRightInd w:val="0"/>
        <w:snapToGrid w:val="0"/>
        <w:spacing w:line="336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根据《上市公司信息披露管理办法》第五十三条规定，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我局决定</w:t>
      </w:r>
      <w:r>
        <w:rPr>
          <w:rFonts w:hint="eastAsia" w:ascii="仿宋_GB2312" w:hAnsi="仿宋_GB2312" w:eastAsia="仿宋_GB2312" w:cs="仿宋_GB2312"/>
          <w:sz w:val="32"/>
          <w:szCs w:val="32"/>
        </w:rPr>
        <w:t>对你们采取出具警示函的行政监管措施。</w:t>
      </w:r>
      <w:r>
        <w:rPr>
          <w:rFonts w:hint="eastAsia" w:ascii="仿宋_GB2312" w:hAnsi="仿宋_GB2312" w:eastAsia="仿宋_GB2312"/>
          <w:kern w:val="0"/>
          <w:sz w:val="32"/>
        </w:rPr>
        <w:t>你公司应认真吸取教训，加强证券法律法规学习，提高公司规范运作水平和信息披露质量，杜绝此类违规行为再次发生，并于收到本决定书之日起30日内向我局提交书面整改报告。</w:t>
      </w:r>
    </w:p>
    <w:p w14:paraId="5B90B962">
      <w:pPr>
        <w:overflowPunct w:val="0"/>
        <w:adjustRightInd w:val="0"/>
        <w:snapToGrid w:val="0"/>
        <w:spacing w:line="336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果对本监督管理措施不服，可以在收到本决定书之日起60日内向中国证券监督管理委员会提出行政复议申请,也可以在收到本决定书之日起6个月内向有管辖权的人民法院提起诉讼。复议与诉讼期间，上述监督管理措施不停止执行。</w:t>
      </w:r>
    </w:p>
    <w:p w14:paraId="5A24D30B">
      <w:pPr>
        <w:overflowPunct w:val="0"/>
        <w:snapToGrid w:val="0"/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1C14328">
      <w:pPr>
        <w:overflowPunct w:val="0"/>
        <w:adjustRightInd w:val="0"/>
        <w:snapToGrid w:val="0"/>
        <w:spacing w:line="360" w:lineRule="auto"/>
        <w:jc w:val="left"/>
        <w:rPr>
          <w:rFonts w:hint="eastAsia" w:ascii="宋体" w:hAnsi="宋体" w:cs="宋体"/>
          <w:color w:val="000000"/>
          <w:sz w:val="28"/>
          <w:szCs w:val="28"/>
        </w:rPr>
      </w:pPr>
    </w:p>
    <w:p w14:paraId="7E3A4086">
      <w:pPr>
        <w:overflowPunct w:val="0"/>
        <w:adjustRightInd w:val="0"/>
        <w:snapToGrid w:val="0"/>
        <w:spacing w:line="360" w:lineRule="auto"/>
        <w:jc w:val="left"/>
        <w:rPr>
          <w:rFonts w:hint="eastAsia" w:ascii="宋体" w:hAnsi="宋体" w:cs="宋体"/>
          <w:color w:val="000000"/>
          <w:sz w:val="28"/>
          <w:szCs w:val="28"/>
        </w:rPr>
      </w:pPr>
    </w:p>
    <w:p w14:paraId="1BCA6392">
      <w:pPr>
        <w:overflowPunct w:val="0"/>
        <w:adjustRightInd w:val="0"/>
        <w:snapToGrid w:val="0"/>
        <w:spacing w:line="360" w:lineRule="auto"/>
        <w:ind w:right="1705"/>
        <w:jc w:val="right"/>
        <w:rPr>
          <w:rFonts w:ascii="仿宋_GB2312" w:eastAsia="仿宋_GB2312"/>
          <w:color w:val="000000"/>
          <w:sz w:val="32"/>
          <w:szCs w:val="24"/>
        </w:rPr>
      </w:pPr>
      <w:r>
        <w:rPr>
          <w:rFonts w:hint="eastAsia" w:ascii="仿宋_GB2312" w:eastAsia="仿宋_GB2312"/>
          <w:color w:val="000000"/>
          <w:sz w:val="32"/>
          <w:szCs w:val="24"/>
        </w:rPr>
        <w:t>广东证监局</w:t>
      </w:r>
    </w:p>
    <w:p w14:paraId="3E5A9A80">
      <w:pPr>
        <w:overflowPunct w:val="0"/>
        <w:adjustRightInd w:val="0"/>
        <w:snapToGrid w:val="0"/>
        <w:spacing w:line="360" w:lineRule="auto"/>
        <w:jc w:val="center"/>
        <w:rPr>
          <w:rFonts w:ascii="Calibri" w:hAnsi="Calibri"/>
          <w:szCs w:val="24"/>
        </w:rPr>
      </w:pPr>
      <w:r>
        <w:rPr>
          <w:rFonts w:hint="eastAsia" w:ascii="仿宋_GB2312" w:eastAsia="仿宋_GB2312"/>
          <w:color w:val="000000"/>
          <w:spacing w:val="10"/>
          <w:sz w:val="28"/>
          <w:szCs w:val="28"/>
        </w:rPr>
        <w:t xml:space="preserve">   </w:t>
      </w:r>
      <w:r>
        <w:rPr>
          <w:rFonts w:hint="eastAsia" w:ascii="仿宋_GB2312" w:eastAsia="仿宋_GB2312"/>
          <w:color w:val="000000"/>
          <w:spacing w:val="10"/>
          <w:sz w:val="32"/>
          <w:szCs w:val="32"/>
        </w:rPr>
        <w:t xml:space="preserve">         </w:t>
      </w:r>
      <w:r>
        <w:rPr>
          <w:rFonts w:ascii="仿宋_GB2312" w:eastAsia="仿宋_GB2312"/>
          <w:color w:val="000000"/>
          <w:spacing w:val="10"/>
          <w:sz w:val="32"/>
          <w:szCs w:val="32"/>
        </w:rPr>
        <w:t xml:space="preserve">     </w:t>
      </w:r>
      <w:r>
        <w:rPr>
          <w:rFonts w:hint="eastAsia" w:ascii="仿宋_GB2312" w:eastAsia="仿宋_GB2312"/>
          <w:color w:val="000000"/>
          <w:spacing w:val="10"/>
          <w:sz w:val="32"/>
          <w:szCs w:val="32"/>
        </w:rPr>
        <w:t xml:space="preserve">     202</w:t>
      </w:r>
      <w:r>
        <w:rPr>
          <w:rFonts w:ascii="仿宋_GB2312" w:eastAsia="仿宋_GB2312"/>
          <w:color w:val="000000"/>
          <w:spacing w:val="10"/>
          <w:sz w:val="32"/>
          <w:szCs w:val="32"/>
        </w:rPr>
        <w:t>6</w:t>
      </w:r>
      <w:r>
        <w:rPr>
          <w:rFonts w:hint="eastAsia" w:ascii="仿宋_GB2312" w:eastAsia="仿宋_GB2312"/>
          <w:color w:val="000000"/>
          <w:spacing w:val="10"/>
          <w:sz w:val="32"/>
          <w:szCs w:val="32"/>
        </w:rPr>
        <w:t>年</w:t>
      </w:r>
      <w:r>
        <w:rPr>
          <w:rFonts w:ascii="仿宋_GB2312" w:hAnsi="Calibri" w:eastAsia="仿宋_GB2312"/>
          <w:color w:val="000000"/>
          <w:spacing w:val="10"/>
          <w:sz w:val="32"/>
          <w:szCs w:val="32"/>
        </w:rPr>
        <w:t>9</w:t>
      </w:r>
      <w:r>
        <w:rPr>
          <w:rFonts w:hint="eastAsia" w:ascii="仿宋_GB2312" w:eastAsia="仿宋_GB2312"/>
          <w:color w:val="000000"/>
          <w:spacing w:val="10"/>
          <w:sz w:val="32"/>
          <w:szCs w:val="32"/>
        </w:rPr>
        <w:t>月</w:t>
      </w:r>
      <w:r>
        <w:rPr>
          <w:rFonts w:ascii="仿宋_GB2312" w:eastAsia="仿宋_GB2312"/>
          <w:color w:val="000000"/>
          <w:spacing w:val="10"/>
          <w:sz w:val="32"/>
          <w:szCs w:val="32"/>
        </w:rPr>
        <w:t>21</w:t>
      </w:r>
      <w:r>
        <w:rPr>
          <w:rFonts w:hint="eastAsia" w:ascii="仿宋_GB2312" w:eastAsia="仿宋_GB2312"/>
          <w:color w:val="000000"/>
          <w:spacing w:val="10"/>
          <w:sz w:val="32"/>
          <w:szCs w:val="32"/>
        </w:rPr>
        <w:t>日</w:t>
      </w:r>
    </w:p>
    <w:p w14:paraId="34E5FEC3">
      <w:pPr>
        <w:widowControl/>
        <w:suppressAutoHyphens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66B45A5">
      <w:pPr>
        <w:widowControl/>
        <w:suppressAutoHyphens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5BBDBC">
      <w:pPr>
        <w:widowControl/>
        <w:suppressAutoHyphens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AA73ED">
      <w:pPr>
        <w:pBdr>
          <w:top w:val="single" w:color="auto" w:sz="4" w:space="6"/>
        </w:pBdr>
        <w:adjustRightInd w:val="0"/>
        <w:snapToGrid w:val="0"/>
        <w:spacing w:after="111" w:afterLines="35"/>
        <w:ind w:firstLine="318"/>
        <w:jc w:val="left"/>
        <w:rPr>
          <w:rFonts w:ascii="仿宋_GB2312" w:hAnsi="Calibri" w:eastAsia="仿宋_GB2312"/>
          <w:spacing w:val="8"/>
          <w:sz w:val="28"/>
          <w:szCs w:val="24"/>
        </w:rPr>
      </w:pPr>
      <w:r>
        <w:rPr>
          <w:rFonts w:hint="eastAsia" w:ascii="仿宋_GB2312" w:hAnsi="Calibri" w:eastAsia="仿宋_GB2312"/>
          <w:spacing w:val="8"/>
          <w:sz w:val="28"/>
          <w:szCs w:val="24"/>
        </w:rPr>
        <w:t xml:space="preserve">广东证监局办公室        </w:t>
      </w:r>
      <w:r>
        <w:rPr>
          <w:rFonts w:ascii="仿宋_GB2312" w:hAnsi="Calibri" w:eastAsia="仿宋_GB2312"/>
          <w:spacing w:val="8"/>
          <w:sz w:val="28"/>
          <w:szCs w:val="24"/>
        </w:rPr>
        <w:t xml:space="preserve">  </w:t>
      </w:r>
      <w:r>
        <w:rPr>
          <w:rFonts w:hint="eastAsia" w:ascii="仿宋_GB2312" w:hAnsi="Calibri" w:eastAsia="仿宋_GB2312"/>
          <w:spacing w:val="8"/>
          <w:sz w:val="28"/>
          <w:szCs w:val="24"/>
        </w:rPr>
        <w:t xml:space="preserve">   </w:t>
      </w:r>
      <w:r>
        <w:rPr>
          <w:rFonts w:ascii="仿宋_GB2312" w:hAnsi="Calibri" w:eastAsia="仿宋_GB2312"/>
          <w:spacing w:val="8"/>
          <w:sz w:val="28"/>
          <w:szCs w:val="24"/>
        </w:rPr>
        <w:t xml:space="preserve"> </w:t>
      </w:r>
      <w:r>
        <w:rPr>
          <w:rFonts w:hint="eastAsia" w:ascii="仿宋_GB2312" w:hAnsi="Calibri" w:eastAsia="仿宋_GB2312"/>
          <w:spacing w:val="8"/>
          <w:sz w:val="28"/>
          <w:szCs w:val="24"/>
        </w:rPr>
        <w:t xml:space="preserve"> </w:t>
      </w:r>
      <w:r>
        <w:rPr>
          <w:rFonts w:ascii="仿宋_GB2312" w:hAnsi="Calibri" w:eastAsia="仿宋_GB2312"/>
          <w:spacing w:val="8"/>
          <w:sz w:val="28"/>
          <w:szCs w:val="24"/>
        </w:rPr>
        <w:t xml:space="preserve"> </w:t>
      </w:r>
      <w:r>
        <w:rPr>
          <w:rFonts w:hint="eastAsia" w:ascii="仿宋_GB2312" w:hAnsi="Calibri" w:eastAsia="仿宋_GB2312"/>
          <w:spacing w:val="8"/>
          <w:sz w:val="28"/>
          <w:szCs w:val="24"/>
        </w:rPr>
        <w:t xml:space="preserve">   2026年</w:t>
      </w:r>
      <w:r>
        <w:rPr>
          <w:rFonts w:ascii="仿宋_GB2312" w:hAnsi="Calibri" w:eastAsia="仿宋_GB2312"/>
          <w:spacing w:val="8"/>
          <w:sz w:val="28"/>
          <w:szCs w:val="24"/>
        </w:rPr>
        <w:t>9</w:t>
      </w:r>
      <w:r>
        <w:rPr>
          <w:rFonts w:hint="eastAsia" w:ascii="仿宋_GB2312" w:hAnsi="Calibri" w:eastAsia="仿宋_GB2312"/>
          <w:spacing w:val="8"/>
          <w:sz w:val="28"/>
          <w:szCs w:val="24"/>
        </w:rPr>
        <w:t>月</w:t>
      </w:r>
      <w:r>
        <w:rPr>
          <w:rFonts w:ascii="仿宋_GB2312" w:hAnsi="Calibri" w:eastAsia="仿宋_GB2312"/>
          <w:spacing w:val="8"/>
          <w:sz w:val="28"/>
          <w:szCs w:val="24"/>
        </w:rPr>
        <w:t>21</w:t>
      </w:r>
      <w:r>
        <w:rPr>
          <w:rFonts w:hint="eastAsia" w:ascii="仿宋_GB2312" w:hAnsi="Calibri" w:eastAsia="仿宋_GB2312"/>
          <w:spacing w:val="8"/>
          <w:sz w:val="28"/>
          <w:szCs w:val="24"/>
        </w:rPr>
        <w:t>日印发</w:t>
      </w:r>
    </w:p>
    <w:bookmarkEnd w:id="2"/>
    <w:p w14:paraId="102E49E1">
      <w:pPr>
        <w:pBdr>
          <w:top w:val="single" w:color="auto" w:sz="8" w:space="7"/>
        </w:pBdr>
        <w:overflowPunct w:val="0"/>
        <w:adjustRightInd w:val="0"/>
        <w:snapToGrid w:val="0"/>
        <w:jc w:val="left"/>
        <w:rPr>
          <w:rFonts w:ascii="仿宋_GB2312" w:hAnsi="Calibri" w:eastAsia="仿宋_GB2312"/>
          <w:spacing w:val="8"/>
          <w:sz w:val="2"/>
          <w:szCs w:val="2"/>
        </w:rPr>
      </w:pPr>
    </w:p>
    <w:p w14:paraId="5AD4FD1A">
      <w:pPr>
        <w:pBdr>
          <w:top w:val="single" w:color="auto" w:sz="8" w:space="7"/>
        </w:pBdr>
        <w:overflowPunct w:val="0"/>
        <w:adjustRightInd w:val="0"/>
        <w:snapToGrid w:val="0"/>
        <w:jc w:val="left"/>
        <w:rPr>
          <w:rFonts w:ascii="仿宋_GB2312" w:hAnsi="Calibri" w:eastAsia="仿宋_GB2312"/>
          <w:spacing w:val="8"/>
          <w:sz w:val="2"/>
          <w:szCs w:val="2"/>
        </w:rPr>
      </w:pPr>
    </w:p>
    <w:sectPr>
      <w:footerReference r:id="rId3" w:type="default"/>
      <w:pgSz w:w="11906" w:h="16838"/>
      <w:pgMar w:top="2097" w:right="1474" w:bottom="1984" w:left="1587" w:header="851" w:footer="1587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12489">
    <w:pPr>
      <w:pStyle w:val="2"/>
      <w:rPr>
        <w:rFonts w:hint="eastAsia" w:ascii="宋体" w:hAnsi="宋体" w:cs="宋体"/>
        <w:sz w:val="28"/>
      </w:rPr>
    </w:pPr>
    <w:r>
      <w:rPr>
        <w:rFonts w:hint="eastAsia" w:ascii="宋体" w:hAnsi="宋体" w:cs="宋体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4445" t="4445" r="14605" b="1460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CB2405">
                          <w:pPr>
                            <w:rPr>
                              <w:rFonts w:hint="eastAsia" w:ascii="宋体" w:hAnsi="宋体" w:cs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CB2405">
                    <w:pPr>
                      <w:rPr>
                        <w:rFonts w:hint="eastAsia" w:ascii="宋体" w:hAnsi="宋体" w:cs="宋体"/>
                        <w:sz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readOnly" w:enforcement="0"/>
  <w:defaultTabStop w:val="420"/>
  <w:drawingGridHorizontalSpacing w:val="210"/>
  <w:drawingGridVerticalSpacing w:val="159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D39357"/>
    <w:rsid w:val="00001996"/>
    <w:rsid w:val="00002B96"/>
    <w:rsid w:val="00B265F6"/>
    <w:rsid w:val="00F276DA"/>
    <w:rsid w:val="0ED39357"/>
    <w:rsid w:val="3DED5AEC"/>
    <w:rsid w:val="5476C30B"/>
    <w:rsid w:val="767B24F8"/>
    <w:rsid w:val="77FD282F"/>
    <w:rsid w:val="7DBE861B"/>
    <w:rsid w:val="CDEB20DB"/>
    <w:rsid w:val="CDEB445F"/>
    <w:rsid w:val="D2F13F7D"/>
    <w:rsid w:val="DFBB2A54"/>
    <w:rsid w:val="E8F8E3B1"/>
    <w:rsid w:val="EFFF62A9"/>
    <w:rsid w:val="F7A371B6"/>
    <w:rsid w:val="FE7F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NormalIndent"/>
    <w:next w:val="1"/>
    <w:qFormat/>
    <w:uiPriority w:val="0"/>
    <w:pPr>
      <w:widowControl w:val="0"/>
      <w:ind w:firstLine="420"/>
      <w:jc w:val="both"/>
      <w:textAlignment w:val="baseline"/>
    </w:pPr>
    <w:rPr>
      <w:rFonts w:ascii="宋体" w:hAnsi="Calibri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331</Words>
  <Characters>346</Characters>
  <Lines>23</Lines>
  <Paragraphs>14</Paragraphs>
  <TotalTime>8</TotalTime>
  <ScaleCrop>false</ScaleCrop>
  <LinksUpToDate>false</LinksUpToDate>
  <CharactersWithSpaces>663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2026-09-03T18:22:00Z</dcterms:created>
  <dc:creator>宋德光</dc:creator>
  <cp:lastModifiedBy>于晓雷</cp:lastModifiedBy>
  <dcterms:modified xsi:type="dcterms:W3CDTF">2026-10-12T17:46:52Z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34D8859BA23A60C2302D966A47B9EBB1</vt:lpwstr>
  </property>
</Properties>
</file>