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eastAsia="黑体"/>
          <w:bCs/>
          <w:sz w:val="24"/>
        </w:rPr>
      </w:pPr>
      <w:bookmarkStart w:id="0" w:name="OLE_LINK8"/>
      <w:bookmarkStart w:id="1" w:name="OLE_LINK7"/>
      <w:bookmarkStart w:id="2" w:name="OLE_LINK5"/>
      <w:r>
        <w:rPr>
          <w:rFonts w:hint="eastAsia" w:ascii="Times New Roman" w:hAnsi="Times New Roman" w:eastAsia="黑体"/>
          <w:bCs/>
          <w:sz w:val="24"/>
        </w:rPr>
        <w:t>证券代码：</w:t>
      </w:r>
      <w:r>
        <w:rPr>
          <w:rFonts w:ascii="Times New Roman" w:hAnsi="Times New Roman" w:eastAsia="黑体"/>
          <w:bCs/>
          <w:sz w:val="24"/>
        </w:rPr>
        <w:t xml:space="preserve">601187                                  </w:t>
      </w:r>
      <w:r>
        <w:rPr>
          <w:rFonts w:hint="eastAsia" w:ascii="Times New Roman" w:hAnsi="Times New Roman" w:eastAsia="黑体"/>
          <w:bCs/>
          <w:sz w:val="24"/>
        </w:rPr>
        <w:t>证券简称：厦门银行</w:t>
      </w:r>
    </w:p>
    <w:p>
      <w:pPr>
        <w:spacing w:line="360" w:lineRule="auto"/>
        <w:jc w:val="center"/>
        <w:rPr>
          <w:rFonts w:ascii="Times New Roman" w:hAnsi="Times New Roman" w:eastAsia="黑体"/>
          <w:b/>
          <w:sz w:val="32"/>
          <w:szCs w:val="32"/>
        </w:rPr>
      </w:pPr>
      <w:bookmarkStart w:id="3" w:name="OLE_LINK4"/>
      <w:r>
        <w:rPr>
          <w:rFonts w:hint="eastAsia" w:ascii="Times New Roman" w:hAnsi="Times New Roman" w:eastAsia="黑体"/>
          <w:b/>
          <w:sz w:val="32"/>
          <w:szCs w:val="32"/>
        </w:rPr>
        <w:t>厦门银行股份有限公司</w:t>
      </w:r>
    </w:p>
    <w:p>
      <w:pPr>
        <w:spacing w:line="360" w:lineRule="auto"/>
        <w:jc w:val="center"/>
        <w:rPr>
          <w:rFonts w:ascii="Times New Roman" w:hAnsi="Times New Roman" w:eastAsia="黑体"/>
          <w:b/>
          <w:bCs/>
          <w:iCs/>
          <w:color w:val="000000"/>
          <w:sz w:val="32"/>
          <w:szCs w:val="32"/>
        </w:rPr>
      </w:pPr>
      <w:bookmarkStart w:id="4" w:name="OLE_LINK6"/>
      <w:bookmarkStart w:id="5" w:name="OLE_LINK3"/>
      <w:r>
        <w:rPr>
          <w:rFonts w:hint="eastAsia" w:ascii="Times New Roman" w:hAnsi="Times New Roman" w:eastAsia="黑体"/>
          <w:b/>
          <w:bCs/>
          <w:iCs/>
          <w:color w:val="000000"/>
          <w:sz w:val="32"/>
          <w:szCs w:val="32"/>
        </w:rPr>
        <w:t>投资者关系</w:t>
      </w:r>
      <w:bookmarkStart w:id="6" w:name="OLE_LINK2"/>
      <w:bookmarkStart w:id="7" w:name="OLE_LINK1"/>
      <w:r>
        <w:rPr>
          <w:rFonts w:hint="eastAsia" w:ascii="Times New Roman" w:hAnsi="Times New Roman" w:eastAsia="黑体"/>
          <w:b/>
          <w:bCs/>
          <w:iCs/>
          <w:color w:val="000000"/>
          <w:sz w:val="32"/>
          <w:szCs w:val="32"/>
        </w:rPr>
        <w:t>活动</w:t>
      </w:r>
      <w:bookmarkEnd w:id="4"/>
      <w:r>
        <w:rPr>
          <w:rFonts w:hint="eastAsia" w:ascii="Times New Roman" w:hAnsi="Times New Roman" w:eastAsia="黑体"/>
          <w:b/>
          <w:bCs/>
          <w:iCs/>
          <w:color w:val="000000"/>
          <w:sz w:val="32"/>
          <w:szCs w:val="32"/>
        </w:rPr>
        <w:t>记录表</w:t>
      </w:r>
      <w:bookmarkEnd w:id="5"/>
      <w:bookmarkEnd w:id="6"/>
      <w:bookmarkEnd w:id="7"/>
    </w:p>
    <w:bookmarkEnd w:id="3"/>
    <w:p>
      <w:pPr>
        <w:spacing w:line="400" w:lineRule="exact"/>
        <w:jc w:val="right"/>
        <w:rPr>
          <w:rFonts w:ascii="Times New Roman" w:hAnsi="Times New Roman" w:eastAsia="宋体"/>
          <w:bCs/>
          <w:iCs/>
          <w:color w:val="000000"/>
          <w:sz w:val="24"/>
        </w:rPr>
      </w:pPr>
      <w:r>
        <w:rPr>
          <w:rFonts w:ascii="Times New Roman" w:hAnsi="Times New Roman" w:eastAsia="宋体"/>
          <w:bCs/>
          <w:iCs/>
          <w:color w:val="000000"/>
          <w:sz w:val="24"/>
        </w:rPr>
        <w:t xml:space="preserve">                                               </w:t>
      </w:r>
      <w:r>
        <w:rPr>
          <w:rFonts w:hint="eastAsia" w:ascii="Times New Roman" w:hAnsi="Times New Roman" w:eastAsia="宋体"/>
          <w:bCs/>
          <w:iCs/>
          <w:color w:val="000000"/>
          <w:sz w:val="24"/>
        </w:rPr>
        <w:t>编号：</w:t>
      </w:r>
      <w:r>
        <w:rPr>
          <w:rFonts w:ascii="Times New Roman" w:hAnsi="Times New Roman" w:eastAsia="宋体"/>
          <w:bCs/>
          <w:iCs/>
          <w:color w:val="000000"/>
          <w:sz w:val="24"/>
        </w:rPr>
        <w:t>2026-</w:t>
      </w:r>
      <w:r>
        <w:rPr>
          <w:rFonts w:hint="eastAsia" w:ascii="Times New Roman" w:hAnsi="Times New Roman" w:eastAsia="宋体"/>
          <w:bCs/>
          <w:iCs/>
          <w:color w:val="000000"/>
          <w:sz w:val="24"/>
        </w:rPr>
        <w:t>09</w:t>
      </w:r>
      <w:r>
        <w:rPr>
          <w:rFonts w:ascii="Times New Roman" w:hAnsi="Times New Roman" w:eastAsia="宋体"/>
          <w:bCs/>
          <w:iCs/>
          <w:color w:val="000000"/>
          <w:sz w:val="24"/>
        </w:rPr>
        <w:t xml:space="preserve">                                                     </w:t>
      </w:r>
    </w:p>
    <w:tbl>
      <w:tblPr>
        <w:tblStyle w:val="12"/>
        <w:tblW w:w="89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7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trPr>
        <w:tc>
          <w:tcPr>
            <w:tcW w:w="1696"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bCs/>
                <w:iCs/>
                <w:color w:val="000000"/>
                <w:sz w:val="24"/>
              </w:rPr>
            </w:pPr>
            <w:r>
              <w:rPr>
                <w:rFonts w:hint="eastAsia" w:ascii="Times New Roman" w:hAnsi="Times New Roman" w:eastAsia="宋体"/>
                <w:b/>
                <w:bCs/>
                <w:iCs/>
                <w:color w:val="000000"/>
                <w:sz w:val="24"/>
              </w:rPr>
              <w:t>投资者关系活动类别</w:t>
            </w:r>
          </w:p>
        </w:tc>
        <w:tc>
          <w:tcPr>
            <w:tcW w:w="7288"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sz w:val="24"/>
              </w:rPr>
            </w:pPr>
            <w:r>
              <w:rPr>
                <w:rFonts w:ascii="Times New Roman" w:hAnsi="Times New Roman" w:eastAsia="宋体"/>
                <w:bCs/>
                <w:iCs/>
                <w:color w:val="000000"/>
                <w:sz w:val="24"/>
              </w:rPr>
              <w:sym w:font="Wingdings 2" w:char="00A3"/>
            </w:r>
            <w:r>
              <w:rPr>
                <w:rFonts w:hint="eastAsia" w:ascii="Times New Roman" w:hAnsi="Times New Roman" w:eastAsia="宋体"/>
                <w:sz w:val="24"/>
              </w:rPr>
              <w:t>特定对象调研</w:t>
            </w:r>
            <w:r>
              <w:rPr>
                <w:rFonts w:ascii="Times New Roman" w:hAnsi="Times New Roman" w:eastAsia="宋体"/>
                <w:sz w:val="24"/>
              </w:rPr>
              <w:t xml:space="preserve">      </w:t>
            </w:r>
            <w:r>
              <w:rPr>
                <w:rFonts w:hint="eastAsia" w:ascii="Times New Roman" w:hAnsi="Times New Roman" w:eastAsia="宋体"/>
                <w:bCs/>
                <w:iCs/>
                <w:color w:val="000000"/>
                <w:sz w:val="24"/>
              </w:rPr>
              <w:t>□</w:t>
            </w:r>
            <w:r>
              <w:rPr>
                <w:rFonts w:hint="eastAsia" w:ascii="Times New Roman" w:hAnsi="Times New Roman" w:eastAsia="宋体"/>
                <w:sz w:val="24"/>
              </w:rPr>
              <w:t>分析师会议</w:t>
            </w:r>
            <w:r>
              <w:rPr>
                <w:rFonts w:ascii="Times New Roman" w:hAnsi="Times New Roman" w:eastAsia="宋体"/>
                <w:bCs/>
                <w:iCs/>
                <w:color w:val="000000"/>
                <w:sz w:val="24"/>
              </w:rPr>
              <w:t xml:space="preserve">        </w:t>
            </w:r>
            <w:r>
              <w:rPr>
                <w:rFonts w:hint="eastAsia" w:ascii="Times New Roman" w:hAnsi="Times New Roman" w:eastAsia="宋体"/>
                <w:bCs/>
                <w:iCs/>
                <w:color w:val="000000"/>
                <w:sz w:val="24"/>
              </w:rPr>
              <w:t>□</w:t>
            </w:r>
            <w:r>
              <w:rPr>
                <w:rFonts w:hint="eastAsia" w:ascii="Times New Roman" w:hAnsi="Times New Roman" w:eastAsia="宋体"/>
                <w:sz w:val="24"/>
              </w:rPr>
              <w:t>媒体采访</w:t>
            </w:r>
          </w:p>
          <w:p>
            <w:pPr>
              <w:spacing w:line="360" w:lineRule="auto"/>
              <w:rPr>
                <w:rFonts w:ascii="Times New Roman" w:hAnsi="Times New Roman" w:eastAsia="宋体"/>
                <w:bCs/>
                <w:iCs/>
                <w:color w:val="000000"/>
                <w:sz w:val="24"/>
              </w:rPr>
            </w:pPr>
            <w:r>
              <w:rPr>
                <w:rFonts w:ascii="Times New Roman" w:hAnsi="Times New Roman" w:eastAsia="宋体"/>
                <w:bCs/>
                <w:iCs/>
                <w:color w:val="000000"/>
                <w:sz w:val="24"/>
              </w:rPr>
              <w:sym w:font="Wingdings 2" w:char="0052"/>
            </w:r>
            <w:r>
              <w:rPr>
                <w:rFonts w:hint="eastAsia" w:ascii="Times New Roman" w:hAnsi="Times New Roman" w:eastAsia="宋体"/>
                <w:sz w:val="24"/>
              </w:rPr>
              <w:t>业绩说明会</w:t>
            </w:r>
            <w:r>
              <w:rPr>
                <w:rFonts w:ascii="Times New Roman" w:hAnsi="Times New Roman" w:eastAsia="宋体"/>
                <w:bCs/>
                <w:iCs/>
                <w:color w:val="000000"/>
                <w:sz w:val="24"/>
              </w:rPr>
              <w:t xml:space="preserve">        </w:t>
            </w:r>
            <w:r>
              <w:rPr>
                <w:rFonts w:hint="eastAsia" w:ascii="Times New Roman" w:hAnsi="Times New Roman" w:eastAsia="宋体"/>
                <w:bCs/>
                <w:iCs/>
                <w:color w:val="000000"/>
                <w:sz w:val="24"/>
              </w:rPr>
              <w:t>□</w:t>
            </w:r>
            <w:r>
              <w:rPr>
                <w:rFonts w:hint="eastAsia" w:ascii="Times New Roman" w:hAnsi="Times New Roman" w:eastAsia="宋体"/>
                <w:sz w:val="24"/>
              </w:rPr>
              <w:t>新闻发布会</w:t>
            </w:r>
            <w:r>
              <w:rPr>
                <w:rFonts w:ascii="Times New Roman" w:hAnsi="Times New Roman" w:eastAsia="宋体"/>
                <w:sz w:val="24"/>
              </w:rPr>
              <w:t xml:space="preserve">        </w:t>
            </w:r>
            <w:r>
              <w:rPr>
                <w:rFonts w:hint="eastAsia" w:ascii="Times New Roman" w:hAnsi="Times New Roman" w:eastAsia="宋体"/>
                <w:bCs/>
                <w:iCs/>
                <w:color w:val="000000"/>
                <w:sz w:val="24"/>
              </w:rPr>
              <w:t>□</w:t>
            </w:r>
            <w:r>
              <w:rPr>
                <w:rFonts w:hint="eastAsia" w:ascii="Times New Roman" w:hAnsi="Times New Roman" w:eastAsia="宋体"/>
                <w:sz w:val="24"/>
              </w:rPr>
              <w:t>路演活动</w:t>
            </w:r>
          </w:p>
          <w:p>
            <w:pPr>
              <w:tabs>
                <w:tab w:val="left" w:pos="3045"/>
                <w:tab w:val="center" w:pos="3199"/>
              </w:tabs>
              <w:spacing w:line="360" w:lineRule="auto"/>
              <w:rPr>
                <w:rFonts w:ascii="Times New Roman" w:hAnsi="Times New Roman" w:eastAsia="宋体"/>
                <w:bCs/>
                <w:iCs/>
                <w:color w:val="000000"/>
                <w:sz w:val="24"/>
              </w:rPr>
            </w:pPr>
            <w:r>
              <w:rPr>
                <w:rFonts w:hint="eastAsia" w:ascii="Times New Roman" w:hAnsi="Times New Roman" w:eastAsia="宋体"/>
                <w:bCs/>
                <w:iCs/>
                <w:color w:val="000000"/>
                <w:sz w:val="24"/>
              </w:rPr>
              <w:t>□</w:t>
            </w:r>
            <w:r>
              <w:rPr>
                <w:rFonts w:hint="eastAsia" w:ascii="Times New Roman" w:hAnsi="Times New Roman" w:eastAsia="宋体"/>
                <w:sz w:val="24"/>
              </w:rPr>
              <w:t>现场参观</w:t>
            </w:r>
            <w:r>
              <w:rPr>
                <w:rFonts w:ascii="Times New Roman" w:hAnsi="Times New Roman" w:eastAsia="宋体"/>
                <w:bCs/>
                <w:iCs/>
                <w:color w:val="000000"/>
                <w:sz w:val="24"/>
              </w:rPr>
              <w:t xml:space="preserve">          </w:t>
            </w:r>
            <w:r>
              <w:rPr>
                <w:rFonts w:hint="eastAsia" w:ascii="Times New Roman" w:hAnsi="Times New Roman" w:eastAsia="宋体"/>
                <w:bCs/>
                <w:iCs/>
                <w:color w:val="000000"/>
                <w:sz w:val="24"/>
              </w:rPr>
              <w:t>□</w:t>
            </w:r>
            <w:r>
              <w:rPr>
                <w:rFonts w:hint="eastAsia" w:ascii="Times New Roman" w:hAnsi="Times New Roman" w:eastAsia="宋体"/>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96"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b/>
                <w:bCs/>
                <w:iCs/>
                <w:color w:val="000000"/>
                <w:sz w:val="24"/>
              </w:rPr>
            </w:pPr>
            <w:r>
              <w:rPr>
                <w:rFonts w:hint="eastAsia" w:ascii="Times New Roman" w:hAnsi="Times New Roman" w:eastAsia="宋体"/>
                <w:b/>
                <w:bCs/>
                <w:iCs/>
                <w:color w:val="000000"/>
                <w:sz w:val="24"/>
              </w:rPr>
              <w:t>时间及参与单位名称</w:t>
            </w:r>
          </w:p>
        </w:tc>
        <w:tc>
          <w:tcPr>
            <w:tcW w:w="7288"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bCs/>
                <w:iCs/>
                <w:kern w:val="0"/>
                <w:sz w:val="24"/>
              </w:rPr>
            </w:pPr>
            <w:r>
              <w:rPr>
                <w:rFonts w:hint="eastAsia" w:ascii="Times New Roman" w:hAnsi="Times New Roman" w:eastAsia="宋体"/>
                <w:b/>
                <w:iCs/>
                <w:kern w:val="0"/>
                <w:sz w:val="24"/>
              </w:rPr>
              <w:t>2026年9月8日（星期二）15:00-16:00</w:t>
            </w:r>
            <w:r>
              <w:rPr>
                <w:rFonts w:ascii="Times New Roman" w:hAnsi="Times New Roman" w:eastAsia="宋体"/>
                <w:b/>
                <w:iCs/>
                <w:kern w:val="0"/>
                <w:sz w:val="24"/>
              </w:rPr>
              <w:t xml:space="preserve"> </w:t>
            </w:r>
            <w:r>
              <w:rPr>
                <w:rFonts w:hint="eastAsia" w:ascii="Times New Roman" w:hAnsi="Times New Roman" w:eastAsia="宋体"/>
                <w:bCs/>
                <w:iCs/>
                <w:kern w:val="0"/>
                <w:sz w:val="24"/>
              </w:rPr>
              <w:t>投资者网上提问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696"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b/>
                <w:bCs/>
                <w:iCs/>
                <w:color w:val="000000"/>
                <w:sz w:val="24"/>
              </w:rPr>
            </w:pPr>
            <w:r>
              <w:rPr>
                <w:rFonts w:hint="eastAsia" w:ascii="Times New Roman" w:hAnsi="Times New Roman" w:eastAsia="宋体"/>
                <w:b/>
                <w:bCs/>
                <w:iCs/>
                <w:color w:val="000000"/>
                <w:sz w:val="24"/>
              </w:rPr>
              <w:t>地点</w:t>
            </w:r>
          </w:p>
        </w:tc>
        <w:tc>
          <w:tcPr>
            <w:tcW w:w="7288"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bCs/>
                <w:iCs/>
                <w:color w:val="000000"/>
                <w:sz w:val="24"/>
              </w:rPr>
            </w:pPr>
            <w:r>
              <w:rPr>
                <w:rFonts w:hint="eastAsia" w:ascii="Times New Roman" w:hAnsi="Times New Roman" w:eastAsia="宋体"/>
                <w:bCs/>
                <w:iCs/>
                <w:kern w:val="0"/>
                <w:sz w:val="24"/>
              </w:rPr>
              <w:t>上证路演中心（http://roadshow.sseinfo.com/）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b/>
                <w:bCs/>
                <w:iCs/>
                <w:color w:val="000000"/>
                <w:sz w:val="24"/>
              </w:rPr>
            </w:pPr>
            <w:r>
              <w:rPr>
                <w:rFonts w:hint="eastAsia" w:ascii="Times New Roman" w:hAnsi="Times New Roman" w:eastAsia="宋体"/>
                <w:b/>
                <w:bCs/>
                <w:iCs/>
                <w:color w:val="000000"/>
                <w:sz w:val="24"/>
              </w:rPr>
              <w:t>公司接待人员</w:t>
            </w:r>
          </w:p>
        </w:tc>
        <w:tc>
          <w:tcPr>
            <w:tcW w:w="7288"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bCs/>
                <w:iCs/>
                <w:color w:val="000000"/>
                <w:sz w:val="24"/>
              </w:rPr>
            </w:pPr>
            <w:r>
              <w:rPr>
                <w:rFonts w:hint="eastAsia" w:ascii="Times New Roman" w:hAnsi="Times New Roman" w:eastAsia="宋体"/>
                <w:bCs/>
                <w:iCs/>
                <w:color w:val="000000"/>
                <w:sz w:val="24"/>
              </w:rPr>
              <w:t>公司行长吴昕颢先生、独立董事戴亦一先生、副行长兼董事会秘书谢彤华先生、计划财务部负责人宋建腾先生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1" w:hRule="atLeast"/>
        </w:trPr>
        <w:tc>
          <w:tcPr>
            <w:tcW w:w="1696"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Theme="minorEastAsia"/>
                <w:b/>
                <w:bCs/>
                <w:iCs/>
                <w:sz w:val="24"/>
              </w:rPr>
            </w:pPr>
            <w:r>
              <w:rPr>
                <w:rFonts w:hint="eastAsia" w:ascii="Times New Roman" w:hAnsi="Times New Roman" w:eastAsiaTheme="minorEastAsia"/>
                <w:b/>
                <w:bCs/>
                <w:iCs/>
                <w:sz w:val="24"/>
              </w:rPr>
              <w:t>投资者关系活动主要内容介绍</w:t>
            </w:r>
          </w:p>
        </w:tc>
        <w:tc>
          <w:tcPr>
            <w:tcW w:w="7288" w:type="dxa"/>
            <w:tcBorders>
              <w:top w:val="single" w:color="auto" w:sz="4" w:space="0"/>
              <w:left w:val="single" w:color="auto" w:sz="4" w:space="0"/>
              <w:bottom w:val="single" w:color="auto" w:sz="4" w:space="0"/>
              <w:right w:val="single" w:color="auto" w:sz="4" w:space="0"/>
            </w:tcBorders>
          </w:tcPr>
          <w:p>
            <w:pPr>
              <w:pStyle w:val="22"/>
              <w:numPr>
                <w:ilvl w:val="255"/>
                <w:numId w:val="0"/>
              </w:numPr>
              <w:spacing w:line="460" w:lineRule="exact"/>
              <w:ind w:firstLine="480"/>
              <w:rPr>
                <w:rFonts w:ascii="宋体" w:hAnsi="宋体" w:cs="宋体"/>
                <w:b/>
                <w:bCs/>
                <w:iCs/>
                <w:color w:val="000000"/>
                <w:sz w:val="24"/>
                <w:szCs w:val="24"/>
              </w:rPr>
            </w:pPr>
            <w:r>
              <w:rPr>
                <w:rFonts w:hint="eastAsia" w:ascii="宋体" w:hAnsi="宋体" w:cs="宋体"/>
                <w:b/>
                <w:bCs/>
                <w:iCs/>
                <w:color w:val="000000"/>
                <w:sz w:val="24"/>
                <w:szCs w:val="24"/>
              </w:rPr>
              <w:t>1.现在AI这么火，各家银行都在推数字化，贵行在AI应用上有什么实际落地的场景吗？未来会不会推更多“数字员工”？</w:t>
            </w:r>
          </w:p>
          <w:p>
            <w:pPr>
              <w:pStyle w:val="22"/>
              <w:spacing w:line="460" w:lineRule="exact"/>
              <w:ind w:firstLine="480" w:firstLineChars="0"/>
              <w:rPr>
                <w:rFonts w:ascii="宋体" w:hAnsi="宋体" w:cs="宋体"/>
                <w:iCs/>
                <w:color w:val="000000"/>
                <w:sz w:val="24"/>
                <w:szCs w:val="24"/>
              </w:rPr>
            </w:pPr>
            <w:r>
              <w:rPr>
                <w:rFonts w:hint="eastAsia" w:ascii="宋体" w:hAnsi="宋体" w:cs="宋体"/>
                <w:iCs/>
                <w:color w:val="000000"/>
                <w:sz w:val="24"/>
                <w:szCs w:val="24"/>
              </w:rPr>
              <w:t>您好，感谢您的关注。本行围绕“一岗一助手、一人一分身”，持续推动人工智能与业务经营管理融合。目前，AI已在客户服务、运营管理、风险合规、软件研发及日常办公等领域形成一批应用。多个业务条线已上线智能问答，客户经理辅助工具正应用于企业风险调查、流动资金贷款测算和业务文书生成；国际电汇智能审单、审计核查、数据分级分类、监管报告辅助撰写等应用已陆续落地；AI辅助研发也逐步覆盖需求分析、代码开发、测试验证和代码审核等环节。数字员工方面，本行正推进对公客户经理数字员工“小海螺”建设。未来将坚持安全合规、人机协同和效益导向，根据场景成熟度和实际成效，稳妥拓展更多数字员工，支持员工提效减负和客户服务升级。</w:t>
            </w:r>
          </w:p>
          <w:p>
            <w:pPr>
              <w:pStyle w:val="22"/>
              <w:numPr>
                <w:ilvl w:val="255"/>
                <w:numId w:val="0"/>
              </w:numPr>
              <w:spacing w:line="460" w:lineRule="exact"/>
              <w:ind w:firstLine="480"/>
              <w:rPr>
                <w:rFonts w:ascii="宋体" w:hAnsi="宋体" w:cs="宋体"/>
                <w:b/>
                <w:bCs/>
                <w:iCs/>
                <w:color w:val="000000"/>
                <w:sz w:val="24"/>
                <w:szCs w:val="24"/>
              </w:rPr>
            </w:pPr>
            <w:r>
              <w:rPr>
                <w:rFonts w:hint="eastAsia" w:ascii="宋体" w:hAnsi="宋体" w:cs="宋体"/>
                <w:b/>
                <w:bCs/>
                <w:iCs/>
                <w:color w:val="000000"/>
                <w:sz w:val="24"/>
                <w:szCs w:val="24"/>
              </w:rPr>
              <w:t>2.请问贵行上半年普惠金融业务做得怎么样？小微企业贷款投放了多少？</w:t>
            </w:r>
          </w:p>
          <w:p>
            <w:pPr>
              <w:pStyle w:val="22"/>
              <w:spacing w:line="460" w:lineRule="exact"/>
              <w:ind w:firstLine="480" w:firstLineChars="0"/>
              <w:rPr>
                <w:rFonts w:ascii="宋体" w:hAnsi="宋体" w:cs="宋体"/>
                <w:iCs/>
                <w:color w:val="000000"/>
                <w:sz w:val="24"/>
                <w:szCs w:val="24"/>
              </w:rPr>
            </w:pPr>
            <w:r>
              <w:rPr>
                <w:rFonts w:hint="eastAsia" w:ascii="宋体" w:hAnsi="宋体" w:cs="宋体"/>
                <w:iCs/>
                <w:color w:val="000000"/>
                <w:sz w:val="24"/>
                <w:szCs w:val="24"/>
              </w:rPr>
              <w:t>您好，感谢您的关注。本行坚守服务实体经济初心，不断完善小微企业金融服务长效机制，并结合区域经济特点，形成“一行一业、一地一品”的差异化发展格局。今年上半年，本行围绕地方特色产业集群，先后落地厦门地区电商（美妆重点）产业、漳州地区食品产业、泉州地区集成电路产业等7个产业专案。截至6月末，本行普惠小微企业贷款余额近750亿元，客户覆盖面亦同步扩张。</w:t>
            </w:r>
          </w:p>
          <w:p>
            <w:pPr>
              <w:pStyle w:val="22"/>
              <w:numPr>
                <w:ilvl w:val="255"/>
                <w:numId w:val="0"/>
              </w:numPr>
              <w:spacing w:line="460" w:lineRule="exact"/>
              <w:ind w:firstLine="480"/>
              <w:rPr>
                <w:rFonts w:ascii="宋体" w:hAnsi="宋体" w:cs="宋体"/>
                <w:b/>
                <w:bCs/>
                <w:iCs/>
                <w:color w:val="000000"/>
                <w:sz w:val="24"/>
                <w:szCs w:val="24"/>
              </w:rPr>
            </w:pPr>
            <w:r>
              <w:rPr>
                <w:rFonts w:hint="eastAsia" w:ascii="宋体" w:hAnsi="宋体" w:cs="宋体"/>
                <w:b/>
                <w:bCs/>
                <w:iCs/>
                <w:color w:val="000000"/>
                <w:sz w:val="24"/>
                <w:szCs w:val="24"/>
              </w:rPr>
              <w:t>3.请问贵行上半年对公业务表现如何？对公贷款投放和存款成本控制方面有哪些举措？</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您好，感谢您的关注。本行紧跟国家宏观经济导向与区域发展战略，大力支持省、市重点项目及区域特色产业发展，并强化对公信贷资源向实体经济关键领域的精准配置。截至6月末，本行企业贷款和垫款（不含票据贴现）余额为1,905.29亿元，较上年末增长14.87%，对公贷款（不含票据贴现）的不良率为0.42%。绿色金融、科技金融两类贷款余额较上年末增幅分别为18.58%、9.59%。</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同时，本行还主动优化负债结构，推动存款结构与成本同步改善。截至6月末，本行业务存款余额（不含保证金存款）为1,312.44亿元，其中，活期存款余额较上年末增加8.93亿元，低成本结算性存款稳步提升。对公存款平均付息率较上年度压降30BP。</w:t>
            </w:r>
          </w:p>
          <w:p>
            <w:pPr>
              <w:pStyle w:val="22"/>
              <w:spacing w:line="460" w:lineRule="exact"/>
              <w:ind w:firstLine="482"/>
              <w:rPr>
                <w:rFonts w:ascii="宋体" w:hAnsi="宋体" w:cs="宋体"/>
                <w:b/>
                <w:bCs/>
                <w:iCs/>
                <w:color w:val="000000"/>
                <w:sz w:val="24"/>
                <w:szCs w:val="24"/>
              </w:rPr>
            </w:pPr>
            <w:r>
              <w:rPr>
                <w:rFonts w:hint="eastAsia" w:ascii="宋体" w:hAnsi="宋体" w:cs="宋体"/>
                <w:b/>
                <w:bCs/>
                <w:iCs/>
                <w:color w:val="000000"/>
                <w:sz w:val="24"/>
                <w:szCs w:val="24"/>
              </w:rPr>
              <w:t>4.现在国家大力推新质生产力，科技金融再贷款政策也在加码，贵行上半年在科技金融这块有什么新布局？科技型企业贷款投放情况怎么样？</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您好，感谢您的关注。本行持续深耕提质赋能，促进产业融合提速增效，通过健全科技金融考核机制、提升科技特色支行专业化服务水平、高效运用内外部惠企政策等措施，切实提升科技型企业融资效率，降低企业融资成本。</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今年上半年，本行推出了“专精特新伙伴计划”，构建“经营评分+科创属性评分”双维评价模型，有效解决轻资产企业融资难题，截至6月末，本行科技金融贷款余额较上年末增幅为9.59%。</w:t>
            </w:r>
          </w:p>
          <w:p>
            <w:pPr>
              <w:pStyle w:val="22"/>
              <w:spacing w:line="460" w:lineRule="exact"/>
              <w:ind w:firstLine="482"/>
              <w:rPr>
                <w:rFonts w:ascii="宋体" w:hAnsi="宋体" w:cs="宋体"/>
                <w:b/>
                <w:bCs/>
                <w:iCs/>
                <w:color w:val="000000"/>
                <w:sz w:val="24"/>
                <w:szCs w:val="24"/>
              </w:rPr>
            </w:pPr>
            <w:r>
              <w:rPr>
                <w:rFonts w:hint="eastAsia" w:ascii="宋体" w:hAnsi="宋体" w:cs="宋体"/>
                <w:b/>
                <w:bCs/>
                <w:iCs/>
                <w:color w:val="000000"/>
                <w:sz w:val="24"/>
                <w:szCs w:val="24"/>
              </w:rPr>
              <w:t>5.从财务数据来看，上半年对公贷款的高速扩张带来了明显的资本消耗，核心一级资本充足率较上年末回落了0.22个百分点。请问公司新上线的RWA（风险加权资产）计量系统在精细化资本额度管理上，实际效果如何？下半年在表外低效业务压降和资本使用上限管控上，财务端有哪些具体的量化目标？另外，在采购集约化和严控非必要开支的推动下，公司上半年的成本收入比同比有所下降，下半年在保持成本管控韧性的同时，如何保障一线业务拓展的必要资源投入？</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您好，感谢您的关注。（1）本行建立了资本精细化管理框架，对全行资本实行计划、监控、跟踪的闭环管理，并将额度分解到各条线、各机构。RWA计量系统的上线，为这套框架提供了抓手，使逐笔核算、动态跟踪、及时预警成为可能。通过“框架+系统”的协同，资本管理从“事后看报表”转向“事前管过程”，实现资本约束与业务发展协同共进。下半年我们将坚守年度资本管控计划，推动表外低效业务规模持续压降，优先腾挪资本资源支持高回报业务。（2）下半年，在保持成本韧性的同时，将继续严审非刚性支出，以绩效考核引导资源向一线业务和价值创造者倾斜，并对重点领域实施专项保障，确保精准投放，实现成本效率与业务活力的有机统一。</w:t>
            </w:r>
          </w:p>
          <w:p>
            <w:pPr>
              <w:pStyle w:val="22"/>
              <w:spacing w:line="460" w:lineRule="exact"/>
              <w:ind w:firstLine="482"/>
              <w:rPr>
                <w:rFonts w:ascii="宋体" w:hAnsi="宋体" w:cs="宋体"/>
                <w:b/>
                <w:bCs/>
                <w:iCs/>
                <w:color w:val="000000"/>
                <w:sz w:val="24"/>
                <w:szCs w:val="24"/>
              </w:rPr>
            </w:pPr>
            <w:r>
              <w:rPr>
                <w:rFonts w:hint="eastAsia" w:ascii="宋体" w:hAnsi="宋体" w:cs="宋体"/>
                <w:b/>
                <w:bCs/>
                <w:iCs/>
                <w:color w:val="000000"/>
                <w:sz w:val="24"/>
                <w:szCs w:val="24"/>
              </w:rPr>
              <w:t>6.半年报显示，公司上半年净息差止跌回升至1.14%，同比提升了6BP，这体现了管理层在负债端精细化管控的成效。但横向对比来看，1.14%的净息差仍显著低于1.41%的行业均值。请问管理层，下半年在推动净息差进一步向行业均值靠拢方面，还有哪些具体的抓手？此外，作为具有台资背景的城商行，上半年两岸金融业务（如台企存款增长21%）亮点突出，未来在深化两岸金融差异化壁垒、带动非息收入增长方面，公司有何进一步的战略部署？</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您好，感谢您的关注。随着资产结构的持续优化，负债管理的进一步精细化，本行2026年上半年净息差已实现拐点向上。下半年，本行仍将持续做好稳息差各项工作，资产端着力从优化资产结构、优化贷款投向、强化贷款价格管控、优化投资配置等方面发力，推动资产收益率保持相对稳定；负债端做好到期存款承接、优化存款内部结构，同时把握市场窗口，发行低成本债券，并充分利用央行货币政策完善多元负债，推动负债成本的稳定下行，稳固息差回升态势。</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2026年，本行将深度融入两岸融合发展大局，持续拓展台胞台企市场空间与客户覆盖，不断丰富专属金融产品和服务体系，并深化标准引领推动对台金融服务标准落地应用，致力于为台胞台企提供更便捷、更高效的综合金融服务。</w:t>
            </w:r>
          </w:p>
          <w:p>
            <w:pPr>
              <w:pStyle w:val="22"/>
              <w:spacing w:line="460" w:lineRule="exact"/>
              <w:ind w:firstLine="482"/>
              <w:rPr>
                <w:rFonts w:ascii="宋体" w:hAnsi="宋体" w:cs="宋体"/>
                <w:b/>
                <w:bCs/>
                <w:iCs/>
                <w:color w:val="000000"/>
                <w:sz w:val="24"/>
                <w:szCs w:val="24"/>
              </w:rPr>
            </w:pPr>
            <w:r>
              <w:rPr>
                <w:rFonts w:hint="eastAsia" w:ascii="宋体" w:hAnsi="宋体" w:cs="宋体"/>
                <w:b/>
                <w:bCs/>
                <w:iCs/>
                <w:color w:val="000000"/>
                <w:sz w:val="24"/>
                <w:szCs w:val="24"/>
              </w:rPr>
              <w:t>7.请问作为代表中小股东利益的独立董事，公司上半年虽然盈利稳健，但受对公高速放贷影响，资本充足率等三项资本指标均出现下滑，资本补充压力显现。公司此前已申报50亿元可转债，请问目前该资本工具的审批进度如何？在平衡业务扩张与股东回报方面，公司中期未推出利润分配方案，未来在落实“提质增效重回报”行动方案、强化市值管理和提升中小股东获得感方面，您还有哪些监督和建议？</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您好，感谢您的关注。本行于2022年9月向中国证监会申请发行50亿元可转换公司债券，于2022年11月通过初审会审核。2023年3月因注册制改革该项目平移至上海证券交易所审核。截至目前，本行可转债项目尚在上海证券交易所审核中。</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2026年4月29日，本行第九届董事会第三十一次会议审议通过了《厦门银行股份有限公司关于制定2026年度估值提升计划暨“提质增效重回报”行动方案的议案》</w:t>
            </w:r>
            <w:bookmarkStart w:id="8" w:name="_GoBack"/>
            <w:bookmarkEnd w:id="8"/>
            <w:r>
              <w:rPr>
                <w:rFonts w:hint="eastAsia" w:ascii="宋体" w:hAnsi="宋体" w:cs="宋体"/>
                <w:iCs/>
                <w:color w:val="000000"/>
                <w:sz w:val="24"/>
                <w:szCs w:val="24"/>
              </w:rPr>
              <w:t>，本行旨在通过提升经营质量和金融服务能力，夯实高质量发展基础，完善公司治理，持续优化投资者回报，提升股东获得感。</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作为独立董事，未来我们将持续监督行动方案的落地执行，关注半年度及年度评估情况，持续关注投资者回报机制，督促管理层在满足资本充足率监管要求和业务发展需要的前提下兼顾好股东回报，同时通过独立董事专门会议等渠道加强对关联交易、重大投资等事项的合规性审查，切实维护全体股东特别是中小股东的合法权益。</w:t>
            </w:r>
          </w:p>
          <w:p>
            <w:pPr>
              <w:pStyle w:val="22"/>
              <w:spacing w:line="460" w:lineRule="exact"/>
              <w:ind w:firstLine="482"/>
              <w:rPr>
                <w:rFonts w:ascii="宋体" w:hAnsi="宋体" w:cs="宋体"/>
                <w:b/>
                <w:bCs/>
                <w:iCs/>
                <w:color w:val="000000"/>
                <w:sz w:val="24"/>
                <w:szCs w:val="24"/>
              </w:rPr>
            </w:pPr>
            <w:r>
              <w:rPr>
                <w:rFonts w:hint="eastAsia" w:ascii="宋体" w:hAnsi="宋体" w:cs="宋体"/>
                <w:b/>
                <w:bCs/>
                <w:iCs/>
                <w:color w:val="000000"/>
                <w:sz w:val="24"/>
                <w:szCs w:val="24"/>
              </w:rPr>
              <w:t>8.从半年报来看，公司上半年营收和归母净利润实现了双位数和个位数的稳健增长，尤其是资产规模突破了4800亿关口，这离不开对公信贷的强劲发力。数据显示，上半年企业贷款余额较上年末大幅增长14.87%，且对公不良率降至0.42%的优秀水平。请问管理层，在当前宏观环境下，对公信贷这种“以量补价”的高增速是否具备长期可持续性？在后续资产端定价和防范潜在信用风险方面，公司有哪些具体的平衡策略？另外，在科技金融和绿色金融领域，除了规模增长，未来在提升综合收益率方面有何规划？</w:t>
            </w:r>
          </w:p>
          <w:p>
            <w:pPr>
              <w:pStyle w:val="22"/>
              <w:spacing w:line="460" w:lineRule="exact"/>
              <w:ind w:firstLine="480"/>
              <w:rPr>
                <w:rFonts w:ascii="宋体" w:hAnsi="宋体" w:cs="宋体"/>
                <w:iCs/>
                <w:color w:val="000000"/>
                <w:sz w:val="24"/>
                <w:szCs w:val="24"/>
              </w:rPr>
            </w:pPr>
            <w:r>
              <w:rPr>
                <w:rFonts w:hint="eastAsia" w:ascii="宋体" w:hAnsi="宋体" w:cs="宋体"/>
                <w:iCs/>
                <w:color w:val="000000"/>
                <w:sz w:val="24"/>
                <w:szCs w:val="24"/>
              </w:rPr>
              <w:t>您好，感谢您的关注。本行紧跟国家宏观经济导向与区域发展战略，大力支持省、市重点项目及区域特色产业发展，并强化对公信贷资源向实体经济关键领域的精准配置。截至6月末，本行企业贷款和垫款（不含票据贴现）余额为1,905.29亿元，较上年末增长14.87%。绿色金融、科技金融两类贷款余额较上年末增幅分别为18.58%、9.59%。本行对公贷款投放利率上半年有所下行，但符合市场整体利率走势。下半年，本行对公贷款投放方面，将继续落实量价平衡。在科技金融和绿色金融领域，除了规模增长，通过发行科创主题债券、绿色金融债，降低贷款综合成本，运用政府贴息、风补政策，降低企业融资成本的同时，提升本行综合收益率。</w:t>
            </w:r>
          </w:p>
          <w:p>
            <w:pPr>
              <w:pStyle w:val="22"/>
              <w:spacing w:line="460" w:lineRule="exact"/>
              <w:ind w:firstLine="480"/>
              <w:rPr>
                <w:rFonts w:ascii="Times New Roman" w:hAnsi="Times New Roman"/>
                <w:iCs/>
                <w:color w:val="000000"/>
                <w:sz w:val="24"/>
                <w:szCs w:val="24"/>
              </w:rPr>
            </w:pPr>
            <w:r>
              <w:rPr>
                <w:rFonts w:hint="eastAsia" w:ascii="宋体" w:hAnsi="宋体" w:cs="宋体"/>
                <w:iCs/>
                <w:color w:val="000000"/>
                <w:sz w:val="24"/>
                <w:szCs w:val="24"/>
              </w:rPr>
              <w:t>利率市场化下，本行坚持“稳规模、优定价、严风控”，持续优化信贷投向和资产结构，提升精细化管理水平。本行持续完善授信全流程风险管理，加强重点行业、重点客户及潜在风险领域的动态监测和前瞻性管理，加强数字化风控体系建设，推动对公业务在保持合理增长的同时，实现规模、效益与风险的协调平衡。</w:t>
            </w:r>
          </w:p>
        </w:tc>
      </w:tr>
      <w:bookmarkEnd w:id="0"/>
      <w:bookmarkEnd w:id="1"/>
      <w:bookmarkEnd w:id="2"/>
    </w:tbl>
    <w:p>
      <w:pPr>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FA4"/>
    <w:rsid w:val="00010AF9"/>
    <w:rsid w:val="00012AB6"/>
    <w:rsid w:val="00017E52"/>
    <w:rsid w:val="0002662E"/>
    <w:rsid w:val="000374E5"/>
    <w:rsid w:val="00056E17"/>
    <w:rsid w:val="0007077E"/>
    <w:rsid w:val="00070E57"/>
    <w:rsid w:val="000865C3"/>
    <w:rsid w:val="000915CF"/>
    <w:rsid w:val="00094D1A"/>
    <w:rsid w:val="000960B9"/>
    <w:rsid w:val="000A2087"/>
    <w:rsid w:val="000D5CBE"/>
    <w:rsid w:val="000D76B7"/>
    <w:rsid w:val="00120083"/>
    <w:rsid w:val="00120AE8"/>
    <w:rsid w:val="0012483B"/>
    <w:rsid w:val="0012701E"/>
    <w:rsid w:val="00135452"/>
    <w:rsid w:val="001606FC"/>
    <w:rsid w:val="001670CA"/>
    <w:rsid w:val="00172A27"/>
    <w:rsid w:val="001747CA"/>
    <w:rsid w:val="00175514"/>
    <w:rsid w:val="0017609F"/>
    <w:rsid w:val="001B212A"/>
    <w:rsid w:val="001B2ABC"/>
    <w:rsid w:val="001B7179"/>
    <w:rsid w:val="001C6A12"/>
    <w:rsid w:val="001D437F"/>
    <w:rsid w:val="001D66F6"/>
    <w:rsid w:val="001E3243"/>
    <w:rsid w:val="00206748"/>
    <w:rsid w:val="00207436"/>
    <w:rsid w:val="00211682"/>
    <w:rsid w:val="00220E2F"/>
    <w:rsid w:val="00232311"/>
    <w:rsid w:val="00234EFD"/>
    <w:rsid w:val="00247B45"/>
    <w:rsid w:val="0026288C"/>
    <w:rsid w:val="002635DC"/>
    <w:rsid w:val="00267B38"/>
    <w:rsid w:val="00270456"/>
    <w:rsid w:val="0028137A"/>
    <w:rsid w:val="00290665"/>
    <w:rsid w:val="0029668A"/>
    <w:rsid w:val="002A5E7C"/>
    <w:rsid w:val="002B4940"/>
    <w:rsid w:val="002D2F6F"/>
    <w:rsid w:val="002E664F"/>
    <w:rsid w:val="002F3829"/>
    <w:rsid w:val="003001CA"/>
    <w:rsid w:val="00320B81"/>
    <w:rsid w:val="00320CDD"/>
    <w:rsid w:val="00321BD4"/>
    <w:rsid w:val="00326BE1"/>
    <w:rsid w:val="0036439D"/>
    <w:rsid w:val="003713F1"/>
    <w:rsid w:val="00373703"/>
    <w:rsid w:val="00382744"/>
    <w:rsid w:val="003837F6"/>
    <w:rsid w:val="003C07DD"/>
    <w:rsid w:val="003C3502"/>
    <w:rsid w:val="003C68AD"/>
    <w:rsid w:val="003D0F38"/>
    <w:rsid w:val="003E0254"/>
    <w:rsid w:val="003E10F6"/>
    <w:rsid w:val="00403237"/>
    <w:rsid w:val="004077D5"/>
    <w:rsid w:val="00416F59"/>
    <w:rsid w:val="00426705"/>
    <w:rsid w:val="00445BB0"/>
    <w:rsid w:val="00461E9B"/>
    <w:rsid w:val="00496DD5"/>
    <w:rsid w:val="004A317C"/>
    <w:rsid w:val="004A7354"/>
    <w:rsid w:val="004A7CA0"/>
    <w:rsid w:val="004B363C"/>
    <w:rsid w:val="004C3B70"/>
    <w:rsid w:val="004E4DA1"/>
    <w:rsid w:val="004F3126"/>
    <w:rsid w:val="005063C5"/>
    <w:rsid w:val="0052204F"/>
    <w:rsid w:val="00526246"/>
    <w:rsid w:val="005275C2"/>
    <w:rsid w:val="00527972"/>
    <w:rsid w:val="00535FC0"/>
    <w:rsid w:val="005368E3"/>
    <w:rsid w:val="005448C7"/>
    <w:rsid w:val="00550E4B"/>
    <w:rsid w:val="00560778"/>
    <w:rsid w:val="00570264"/>
    <w:rsid w:val="005A2289"/>
    <w:rsid w:val="005A5B76"/>
    <w:rsid w:val="005C6DB0"/>
    <w:rsid w:val="005D3E3D"/>
    <w:rsid w:val="00603E82"/>
    <w:rsid w:val="00610104"/>
    <w:rsid w:val="006216D4"/>
    <w:rsid w:val="00633D6E"/>
    <w:rsid w:val="006460EF"/>
    <w:rsid w:val="00646111"/>
    <w:rsid w:val="006523D8"/>
    <w:rsid w:val="00664EE9"/>
    <w:rsid w:val="006818F9"/>
    <w:rsid w:val="00691943"/>
    <w:rsid w:val="006A3240"/>
    <w:rsid w:val="006A4D81"/>
    <w:rsid w:val="006C3B27"/>
    <w:rsid w:val="006E2B18"/>
    <w:rsid w:val="006E46D6"/>
    <w:rsid w:val="006F21D2"/>
    <w:rsid w:val="006F6419"/>
    <w:rsid w:val="00701E12"/>
    <w:rsid w:val="007021F0"/>
    <w:rsid w:val="007123BE"/>
    <w:rsid w:val="00712441"/>
    <w:rsid w:val="007416B9"/>
    <w:rsid w:val="00761EA7"/>
    <w:rsid w:val="00765A2E"/>
    <w:rsid w:val="00767A4B"/>
    <w:rsid w:val="007814C6"/>
    <w:rsid w:val="00786C57"/>
    <w:rsid w:val="007A1202"/>
    <w:rsid w:val="007E5C96"/>
    <w:rsid w:val="00803AFA"/>
    <w:rsid w:val="008048E1"/>
    <w:rsid w:val="008129A6"/>
    <w:rsid w:val="008168B4"/>
    <w:rsid w:val="00821EF4"/>
    <w:rsid w:val="00841136"/>
    <w:rsid w:val="008479D6"/>
    <w:rsid w:val="00862D39"/>
    <w:rsid w:val="00866811"/>
    <w:rsid w:val="00877250"/>
    <w:rsid w:val="00884803"/>
    <w:rsid w:val="00886535"/>
    <w:rsid w:val="00887E15"/>
    <w:rsid w:val="008979E4"/>
    <w:rsid w:val="008A62BB"/>
    <w:rsid w:val="008B5D1F"/>
    <w:rsid w:val="008C7D83"/>
    <w:rsid w:val="009076CD"/>
    <w:rsid w:val="00920724"/>
    <w:rsid w:val="00934C25"/>
    <w:rsid w:val="00935318"/>
    <w:rsid w:val="00950734"/>
    <w:rsid w:val="009611D4"/>
    <w:rsid w:val="00990948"/>
    <w:rsid w:val="00991DBA"/>
    <w:rsid w:val="009D7A16"/>
    <w:rsid w:val="009E4C86"/>
    <w:rsid w:val="009E6D7D"/>
    <w:rsid w:val="00A02869"/>
    <w:rsid w:val="00A10A28"/>
    <w:rsid w:val="00A23895"/>
    <w:rsid w:val="00A5429A"/>
    <w:rsid w:val="00A6764C"/>
    <w:rsid w:val="00A80D1A"/>
    <w:rsid w:val="00A814F8"/>
    <w:rsid w:val="00A85DF0"/>
    <w:rsid w:val="00A97003"/>
    <w:rsid w:val="00AB2C92"/>
    <w:rsid w:val="00AC2442"/>
    <w:rsid w:val="00AC2FA0"/>
    <w:rsid w:val="00AD0D20"/>
    <w:rsid w:val="00AD226B"/>
    <w:rsid w:val="00AD6116"/>
    <w:rsid w:val="00AE1959"/>
    <w:rsid w:val="00AE6F23"/>
    <w:rsid w:val="00AF2302"/>
    <w:rsid w:val="00AF3539"/>
    <w:rsid w:val="00AF3C50"/>
    <w:rsid w:val="00AF42F3"/>
    <w:rsid w:val="00AF5FBE"/>
    <w:rsid w:val="00B07DAF"/>
    <w:rsid w:val="00B23959"/>
    <w:rsid w:val="00B24A2C"/>
    <w:rsid w:val="00B409BC"/>
    <w:rsid w:val="00B510FA"/>
    <w:rsid w:val="00B72D74"/>
    <w:rsid w:val="00B779CF"/>
    <w:rsid w:val="00B85459"/>
    <w:rsid w:val="00B85634"/>
    <w:rsid w:val="00B95A2D"/>
    <w:rsid w:val="00BB1853"/>
    <w:rsid w:val="00BB4731"/>
    <w:rsid w:val="00BB6CDC"/>
    <w:rsid w:val="00BE4725"/>
    <w:rsid w:val="00BE6CF1"/>
    <w:rsid w:val="00BF547B"/>
    <w:rsid w:val="00BF707F"/>
    <w:rsid w:val="00C07040"/>
    <w:rsid w:val="00C21162"/>
    <w:rsid w:val="00C27C54"/>
    <w:rsid w:val="00C3197B"/>
    <w:rsid w:val="00C62E73"/>
    <w:rsid w:val="00C77883"/>
    <w:rsid w:val="00C832D3"/>
    <w:rsid w:val="00CB3778"/>
    <w:rsid w:val="00CC5C34"/>
    <w:rsid w:val="00CD6D89"/>
    <w:rsid w:val="00CE3CDE"/>
    <w:rsid w:val="00CE4580"/>
    <w:rsid w:val="00CF36D1"/>
    <w:rsid w:val="00CF55A2"/>
    <w:rsid w:val="00D03944"/>
    <w:rsid w:val="00D078F3"/>
    <w:rsid w:val="00D227CE"/>
    <w:rsid w:val="00D2553B"/>
    <w:rsid w:val="00D260E1"/>
    <w:rsid w:val="00D46CC5"/>
    <w:rsid w:val="00D7022F"/>
    <w:rsid w:val="00D73204"/>
    <w:rsid w:val="00D837F5"/>
    <w:rsid w:val="00D860E0"/>
    <w:rsid w:val="00D9187D"/>
    <w:rsid w:val="00DA4FC7"/>
    <w:rsid w:val="00DB23D6"/>
    <w:rsid w:val="00DB4378"/>
    <w:rsid w:val="00DC21BF"/>
    <w:rsid w:val="00DC2245"/>
    <w:rsid w:val="00DC692F"/>
    <w:rsid w:val="00DE6B5E"/>
    <w:rsid w:val="00DE6B9C"/>
    <w:rsid w:val="00DF0553"/>
    <w:rsid w:val="00E03023"/>
    <w:rsid w:val="00E3527B"/>
    <w:rsid w:val="00E65E57"/>
    <w:rsid w:val="00E73EC4"/>
    <w:rsid w:val="00E868EC"/>
    <w:rsid w:val="00EA2344"/>
    <w:rsid w:val="00EB4CFF"/>
    <w:rsid w:val="00ED1315"/>
    <w:rsid w:val="00EE18C5"/>
    <w:rsid w:val="00EE1BEE"/>
    <w:rsid w:val="00EE4F1A"/>
    <w:rsid w:val="00F026E0"/>
    <w:rsid w:val="00F10BB8"/>
    <w:rsid w:val="00F2226E"/>
    <w:rsid w:val="00F24494"/>
    <w:rsid w:val="00F413E1"/>
    <w:rsid w:val="00F430C2"/>
    <w:rsid w:val="00F74796"/>
    <w:rsid w:val="00F94AA0"/>
    <w:rsid w:val="00FA0123"/>
    <w:rsid w:val="00FA721E"/>
    <w:rsid w:val="00FC3B2D"/>
    <w:rsid w:val="00FE1F2C"/>
    <w:rsid w:val="01343C35"/>
    <w:rsid w:val="015441BC"/>
    <w:rsid w:val="01D812F0"/>
    <w:rsid w:val="01DF79C5"/>
    <w:rsid w:val="022F6C02"/>
    <w:rsid w:val="0250064D"/>
    <w:rsid w:val="025B0BD4"/>
    <w:rsid w:val="02B62AFF"/>
    <w:rsid w:val="034D18B2"/>
    <w:rsid w:val="03E203E0"/>
    <w:rsid w:val="03EF7383"/>
    <w:rsid w:val="04572A8F"/>
    <w:rsid w:val="04844854"/>
    <w:rsid w:val="04895DFF"/>
    <w:rsid w:val="04CA4768"/>
    <w:rsid w:val="051340F3"/>
    <w:rsid w:val="05EC3946"/>
    <w:rsid w:val="06AC0501"/>
    <w:rsid w:val="073161DB"/>
    <w:rsid w:val="07504EC1"/>
    <w:rsid w:val="07736C45"/>
    <w:rsid w:val="07872210"/>
    <w:rsid w:val="07F05315"/>
    <w:rsid w:val="08E67AA9"/>
    <w:rsid w:val="09187348"/>
    <w:rsid w:val="09FF5075"/>
    <w:rsid w:val="0A170DDB"/>
    <w:rsid w:val="0A1F7DCE"/>
    <w:rsid w:val="0A7375B2"/>
    <w:rsid w:val="0ACB7D6D"/>
    <w:rsid w:val="0C1E2070"/>
    <w:rsid w:val="0C275F3F"/>
    <w:rsid w:val="0C3B6B9E"/>
    <w:rsid w:val="0C922E30"/>
    <w:rsid w:val="0CD949B1"/>
    <w:rsid w:val="0D53094C"/>
    <w:rsid w:val="0DF748F5"/>
    <w:rsid w:val="0E4448F3"/>
    <w:rsid w:val="0E5E2860"/>
    <w:rsid w:val="0EBC43EC"/>
    <w:rsid w:val="0F231667"/>
    <w:rsid w:val="0FD56096"/>
    <w:rsid w:val="106172ED"/>
    <w:rsid w:val="11027246"/>
    <w:rsid w:val="11883E00"/>
    <w:rsid w:val="11B6183C"/>
    <w:rsid w:val="12460407"/>
    <w:rsid w:val="12E64FF5"/>
    <w:rsid w:val="12EE053A"/>
    <w:rsid w:val="131818EE"/>
    <w:rsid w:val="1381018F"/>
    <w:rsid w:val="13BB777D"/>
    <w:rsid w:val="13CE280D"/>
    <w:rsid w:val="141862B2"/>
    <w:rsid w:val="14322531"/>
    <w:rsid w:val="14D25167"/>
    <w:rsid w:val="14F055D6"/>
    <w:rsid w:val="14F212EA"/>
    <w:rsid w:val="15652DAA"/>
    <w:rsid w:val="16501227"/>
    <w:rsid w:val="175D17CA"/>
    <w:rsid w:val="17B473C2"/>
    <w:rsid w:val="17D271A5"/>
    <w:rsid w:val="17D77DA9"/>
    <w:rsid w:val="18006524"/>
    <w:rsid w:val="180A72FE"/>
    <w:rsid w:val="182868AE"/>
    <w:rsid w:val="18455E27"/>
    <w:rsid w:val="18831547"/>
    <w:rsid w:val="18893450"/>
    <w:rsid w:val="1979128B"/>
    <w:rsid w:val="19CA7222"/>
    <w:rsid w:val="1A8B0292"/>
    <w:rsid w:val="1B9F7CA6"/>
    <w:rsid w:val="1BE8708F"/>
    <w:rsid w:val="1C9054E9"/>
    <w:rsid w:val="1C9E2411"/>
    <w:rsid w:val="1D41310E"/>
    <w:rsid w:val="1D6B06CF"/>
    <w:rsid w:val="1D6D3BD2"/>
    <w:rsid w:val="1DE21613"/>
    <w:rsid w:val="1DF63666"/>
    <w:rsid w:val="1E0D0FBE"/>
    <w:rsid w:val="1E364920"/>
    <w:rsid w:val="1EC83421"/>
    <w:rsid w:val="1F330F55"/>
    <w:rsid w:val="1F6E6131"/>
    <w:rsid w:val="1FA228EE"/>
    <w:rsid w:val="201E1530"/>
    <w:rsid w:val="20F84124"/>
    <w:rsid w:val="21452025"/>
    <w:rsid w:val="21B76AE0"/>
    <w:rsid w:val="21D5653F"/>
    <w:rsid w:val="21E27DCE"/>
    <w:rsid w:val="221E0366"/>
    <w:rsid w:val="22D6753F"/>
    <w:rsid w:val="23110016"/>
    <w:rsid w:val="23620D1A"/>
    <w:rsid w:val="237B3E42"/>
    <w:rsid w:val="23A32E08"/>
    <w:rsid w:val="246C2851"/>
    <w:rsid w:val="247509BC"/>
    <w:rsid w:val="247C2AEC"/>
    <w:rsid w:val="249B0E74"/>
    <w:rsid w:val="24B1643E"/>
    <w:rsid w:val="24F87EB7"/>
    <w:rsid w:val="25CF4697"/>
    <w:rsid w:val="26407E4E"/>
    <w:rsid w:val="269D6920"/>
    <w:rsid w:val="26C40D95"/>
    <w:rsid w:val="272922EB"/>
    <w:rsid w:val="27424579"/>
    <w:rsid w:val="274E038B"/>
    <w:rsid w:val="27E078FA"/>
    <w:rsid w:val="283B0F0D"/>
    <w:rsid w:val="28660E58"/>
    <w:rsid w:val="28B50BD7"/>
    <w:rsid w:val="28E76302"/>
    <w:rsid w:val="29263821"/>
    <w:rsid w:val="294C43FF"/>
    <w:rsid w:val="298978D0"/>
    <w:rsid w:val="2A234631"/>
    <w:rsid w:val="2A3C0BEA"/>
    <w:rsid w:val="2AA9450A"/>
    <w:rsid w:val="2ACC1EE6"/>
    <w:rsid w:val="2C645E65"/>
    <w:rsid w:val="2D78169F"/>
    <w:rsid w:val="2ECC35BD"/>
    <w:rsid w:val="2F782E8B"/>
    <w:rsid w:val="2F874408"/>
    <w:rsid w:val="2FAB664D"/>
    <w:rsid w:val="2FCE2CA3"/>
    <w:rsid w:val="305A367F"/>
    <w:rsid w:val="30A45AD9"/>
    <w:rsid w:val="30ED1DF0"/>
    <w:rsid w:val="32181796"/>
    <w:rsid w:val="32927883"/>
    <w:rsid w:val="32E0414D"/>
    <w:rsid w:val="32FA4B9F"/>
    <w:rsid w:val="33637BDB"/>
    <w:rsid w:val="33C17F75"/>
    <w:rsid w:val="34741569"/>
    <w:rsid w:val="34C37DE1"/>
    <w:rsid w:val="35F1547D"/>
    <w:rsid w:val="373D66F1"/>
    <w:rsid w:val="374E17CB"/>
    <w:rsid w:val="37691FF5"/>
    <w:rsid w:val="3793297C"/>
    <w:rsid w:val="37A32ECD"/>
    <w:rsid w:val="37AB1B65"/>
    <w:rsid w:val="37C001F2"/>
    <w:rsid w:val="38161214"/>
    <w:rsid w:val="38192198"/>
    <w:rsid w:val="3831361A"/>
    <w:rsid w:val="3870436D"/>
    <w:rsid w:val="38FE3710"/>
    <w:rsid w:val="39123BB1"/>
    <w:rsid w:val="39324E64"/>
    <w:rsid w:val="398A41CF"/>
    <w:rsid w:val="39D8513B"/>
    <w:rsid w:val="39F178D8"/>
    <w:rsid w:val="3BB52984"/>
    <w:rsid w:val="3BCE0D76"/>
    <w:rsid w:val="3C2105FF"/>
    <w:rsid w:val="3C2B5E46"/>
    <w:rsid w:val="3C677B59"/>
    <w:rsid w:val="3C812767"/>
    <w:rsid w:val="3CFB3440"/>
    <w:rsid w:val="3D065366"/>
    <w:rsid w:val="3D734CA5"/>
    <w:rsid w:val="3DED5A53"/>
    <w:rsid w:val="3EAE3767"/>
    <w:rsid w:val="3F150D8C"/>
    <w:rsid w:val="40D35124"/>
    <w:rsid w:val="40E6578E"/>
    <w:rsid w:val="41064298"/>
    <w:rsid w:val="411C36E0"/>
    <w:rsid w:val="4176014F"/>
    <w:rsid w:val="42615CCA"/>
    <w:rsid w:val="42680F26"/>
    <w:rsid w:val="43CC374D"/>
    <w:rsid w:val="43F55B69"/>
    <w:rsid w:val="444631D1"/>
    <w:rsid w:val="44970113"/>
    <w:rsid w:val="44A57770"/>
    <w:rsid w:val="44B32884"/>
    <w:rsid w:val="44CA2EEC"/>
    <w:rsid w:val="44EC107E"/>
    <w:rsid w:val="452A1AEE"/>
    <w:rsid w:val="45726E6D"/>
    <w:rsid w:val="457345FE"/>
    <w:rsid w:val="45CA5863"/>
    <w:rsid w:val="465935F7"/>
    <w:rsid w:val="46B0341C"/>
    <w:rsid w:val="475A449F"/>
    <w:rsid w:val="47745049"/>
    <w:rsid w:val="478C4E3C"/>
    <w:rsid w:val="47A43767"/>
    <w:rsid w:val="47AE390E"/>
    <w:rsid w:val="485559BC"/>
    <w:rsid w:val="491856F9"/>
    <w:rsid w:val="493417A6"/>
    <w:rsid w:val="498C100B"/>
    <w:rsid w:val="49AB04EC"/>
    <w:rsid w:val="4A015677"/>
    <w:rsid w:val="4A416461"/>
    <w:rsid w:val="4A586086"/>
    <w:rsid w:val="4A7C1DA2"/>
    <w:rsid w:val="4A8A3CC5"/>
    <w:rsid w:val="4AC2736B"/>
    <w:rsid w:val="4B702179"/>
    <w:rsid w:val="4BB46342"/>
    <w:rsid w:val="4BF623B7"/>
    <w:rsid w:val="4C0A34CE"/>
    <w:rsid w:val="4C243DC7"/>
    <w:rsid w:val="4C794E06"/>
    <w:rsid w:val="4D144D0B"/>
    <w:rsid w:val="4D377BF5"/>
    <w:rsid w:val="4D5153DD"/>
    <w:rsid w:val="4D570F71"/>
    <w:rsid w:val="4D572B44"/>
    <w:rsid w:val="4D67120C"/>
    <w:rsid w:val="4DF34673"/>
    <w:rsid w:val="4E080D95"/>
    <w:rsid w:val="4E326C84"/>
    <w:rsid w:val="4E3C24E9"/>
    <w:rsid w:val="4E4E2408"/>
    <w:rsid w:val="4F1C538E"/>
    <w:rsid w:val="4F2B7952"/>
    <w:rsid w:val="4F5A77A5"/>
    <w:rsid w:val="4F5F1347"/>
    <w:rsid w:val="4FD00101"/>
    <w:rsid w:val="503C7AAB"/>
    <w:rsid w:val="50840506"/>
    <w:rsid w:val="50F413DD"/>
    <w:rsid w:val="51E909F0"/>
    <w:rsid w:val="51F55A16"/>
    <w:rsid w:val="51FB77C6"/>
    <w:rsid w:val="527D1264"/>
    <w:rsid w:val="53404825"/>
    <w:rsid w:val="5354435E"/>
    <w:rsid w:val="53813090"/>
    <w:rsid w:val="53D22156"/>
    <w:rsid w:val="54281796"/>
    <w:rsid w:val="54422AC8"/>
    <w:rsid w:val="548B3542"/>
    <w:rsid w:val="54FC685C"/>
    <w:rsid w:val="55583378"/>
    <w:rsid w:val="557575CC"/>
    <w:rsid w:val="55802B56"/>
    <w:rsid w:val="55B347D2"/>
    <w:rsid w:val="56162CC9"/>
    <w:rsid w:val="56827DFA"/>
    <w:rsid w:val="569A4429"/>
    <w:rsid w:val="56D16FAA"/>
    <w:rsid w:val="571D387C"/>
    <w:rsid w:val="57593233"/>
    <w:rsid w:val="57EA769F"/>
    <w:rsid w:val="58234804"/>
    <w:rsid w:val="583E0E16"/>
    <w:rsid w:val="587B59B6"/>
    <w:rsid w:val="58C46118"/>
    <w:rsid w:val="58F70910"/>
    <w:rsid w:val="5957661E"/>
    <w:rsid w:val="59BB6342"/>
    <w:rsid w:val="59DB4679"/>
    <w:rsid w:val="5A2D0246"/>
    <w:rsid w:val="5A2F4103"/>
    <w:rsid w:val="5A87311A"/>
    <w:rsid w:val="5AF53A87"/>
    <w:rsid w:val="5B327C0A"/>
    <w:rsid w:val="5B6372BA"/>
    <w:rsid w:val="5BAB1071"/>
    <w:rsid w:val="5BCB6169"/>
    <w:rsid w:val="5BE34A4E"/>
    <w:rsid w:val="5C7E26CE"/>
    <w:rsid w:val="5CE9292E"/>
    <w:rsid w:val="5D3959B1"/>
    <w:rsid w:val="5DCA5FA9"/>
    <w:rsid w:val="5E521D73"/>
    <w:rsid w:val="5F3E2C00"/>
    <w:rsid w:val="5FA2737C"/>
    <w:rsid w:val="5FE96E67"/>
    <w:rsid w:val="606D714B"/>
    <w:rsid w:val="60732927"/>
    <w:rsid w:val="608D2FCC"/>
    <w:rsid w:val="60C110C9"/>
    <w:rsid w:val="60E21846"/>
    <w:rsid w:val="60F46C91"/>
    <w:rsid w:val="60FE69AF"/>
    <w:rsid w:val="6131159B"/>
    <w:rsid w:val="61657B33"/>
    <w:rsid w:val="61A067CD"/>
    <w:rsid w:val="62026F36"/>
    <w:rsid w:val="6345240D"/>
    <w:rsid w:val="63467514"/>
    <w:rsid w:val="644D0143"/>
    <w:rsid w:val="64860031"/>
    <w:rsid w:val="64973A5A"/>
    <w:rsid w:val="64C44A96"/>
    <w:rsid w:val="64E1366E"/>
    <w:rsid w:val="6553674D"/>
    <w:rsid w:val="65C22480"/>
    <w:rsid w:val="66007D67"/>
    <w:rsid w:val="66295856"/>
    <w:rsid w:val="66726157"/>
    <w:rsid w:val="67C21B9B"/>
    <w:rsid w:val="67D9593F"/>
    <w:rsid w:val="67E54704"/>
    <w:rsid w:val="682A60F2"/>
    <w:rsid w:val="682D4AF8"/>
    <w:rsid w:val="68E36708"/>
    <w:rsid w:val="69405A1D"/>
    <w:rsid w:val="695D4175"/>
    <w:rsid w:val="69F95474"/>
    <w:rsid w:val="6A057CE5"/>
    <w:rsid w:val="6A190E9F"/>
    <w:rsid w:val="6A8504D0"/>
    <w:rsid w:val="6AD05952"/>
    <w:rsid w:val="6B065C4D"/>
    <w:rsid w:val="6B344DF0"/>
    <w:rsid w:val="6B391278"/>
    <w:rsid w:val="6B922F60"/>
    <w:rsid w:val="6BA32EA6"/>
    <w:rsid w:val="6C117390"/>
    <w:rsid w:val="6C313EC9"/>
    <w:rsid w:val="6C8247A4"/>
    <w:rsid w:val="6CD824B2"/>
    <w:rsid w:val="6D1945D1"/>
    <w:rsid w:val="6DA951F4"/>
    <w:rsid w:val="6E0A58FC"/>
    <w:rsid w:val="6E2476C2"/>
    <w:rsid w:val="6F9A0528"/>
    <w:rsid w:val="6F9F49B0"/>
    <w:rsid w:val="6FD54E8A"/>
    <w:rsid w:val="70206657"/>
    <w:rsid w:val="7022012B"/>
    <w:rsid w:val="70562CE7"/>
    <w:rsid w:val="711A1C9E"/>
    <w:rsid w:val="71411B5D"/>
    <w:rsid w:val="715C2428"/>
    <w:rsid w:val="715F6CDB"/>
    <w:rsid w:val="71C6563A"/>
    <w:rsid w:val="71CA0EB0"/>
    <w:rsid w:val="720D141A"/>
    <w:rsid w:val="7255784F"/>
    <w:rsid w:val="7295499B"/>
    <w:rsid w:val="72A204A0"/>
    <w:rsid w:val="72C26316"/>
    <w:rsid w:val="73177E6E"/>
    <w:rsid w:val="73326919"/>
    <w:rsid w:val="73892D1C"/>
    <w:rsid w:val="744318F3"/>
    <w:rsid w:val="749331CE"/>
    <w:rsid w:val="74D44721"/>
    <w:rsid w:val="75AB309B"/>
    <w:rsid w:val="761558C9"/>
    <w:rsid w:val="768C460E"/>
    <w:rsid w:val="76BB1740"/>
    <w:rsid w:val="76CF1C1E"/>
    <w:rsid w:val="76E75172"/>
    <w:rsid w:val="773B56AB"/>
    <w:rsid w:val="774D5922"/>
    <w:rsid w:val="77726C62"/>
    <w:rsid w:val="77C2468B"/>
    <w:rsid w:val="77C71871"/>
    <w:rsid w:val="77CF011D"/>
    <w:rsid w:val="78160D2B"/>
    <w:rsid w:val="782A4D5D"/>
    <w:rsid w:val="782D2F68"/>
    <w:rsid w:val="788F4CD8"/>
    <w:rsid w:val="79194C3C"/>
    <w:rsid w:val="797265CF"/>
    <w:rsid w:val="79E92285"/>
    <w:rsid w:val="79EF26F4"/>
    <w:rsid w:val="7A0A5919"/>
    <w:rsid w:val="7A2465E9"/>
    <w:rsid w:val="7A5A51A5"/>
    <w:rsid w:val="7A8F5AA2"/>
    <w:rsid w:val="7AFF45B9"/>
    <w:rsid w:val="7B0E3DF2"/>
    <w:rsid w:val="7B4B2CFB"/>
    <w:rsid w:val="7BD44AB5"/>
    <w:rsid w:val="7C0C4D1D"/>
    <w:rsid w:val="7C282F2D"/>
    <w:rsid w:val="7C6A62AD"/>
    <w:rsid w:val="7C7236B9"/>
    <w:rsid w:val="7C7C44BA"/>
    <w:rsid w:val="7CE628FB"/>
    <w:rsid w:val="7D4B7DB3"/>
    <w:rsid w:val="7D5676DD"/>
    <w:rsid w:val="7E32042F"/>
    <w:rsid w:val="7E6D0694"/>
    <w:rsid w:val="7E75126E"/>
    <w:rsid w:val="7E9B37B2"/>
    <w:rsid w:val="7EB10D15"/>
    <w:rsid w:val="7EF377C6"/>
    <w:rsid w:val="7F0B342C"/>
    <w:rsid w:val="7F370E72"/>
    <w:rsid w:val="7F5A30FD"/>
    <w:rsid w:val="7F6310E9"/>
    <w:rsid w:val="7F9E1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ind w:firstLine="420" w:firstLineChars="200"/>
      <w:outlineLvl w:val="3"/>
    </w:pPr>
    <w:rPr>
      <w:rFonts w:ascii="宋体" w:hAnsi="宋体"/>
      <w:bCs/>
      <w:kern w:val="0"/>
      <w:sz w:val="20"/>
      <w:szCs w:val="20"/>
      <w:lang w:val="en-GB"/>
    </w:rPr>
  </w:style>
  <w:style w:type="paragraph" w:styleId="3">
    <w:name w:val="Body Text First Indent 2"/>
    <w:basedOn w:val="2"/>
    <w:next w:val="4"/>
    <w:qFormat/>
    <w:uiPriority w:val="0"/>
  </w:style>
  <w:style w:type="paragraph" w:styleId="4">
    <w:name w:val="Body Text"/>
    <w:basedOn w:val="1"/>
    <w:next w:val="2"/>
    <w:semiHidden/>
    <w:qFormat/>
    <w:uiPriority w:val="0"/>
    <w:rPr>
      <w:rFonts w:ascii="仿宋" w:hAnsi="仿宋" w:eastAsia="仿宋" w:cs="仿宋"/>
      <w:sz w:val="31"/>
      <w:szCs w:val="31"/>
      <w:lang w:eastAsia="en-US"/>
    </w:rPr>
  </w:style>
  <w:style w:type="paragraph" w:styleId="5">
    <w:name w:val="annotation text"/>
    <w:basedOn w:val="1"/>
    <w:link w:val="19"/>
    <w:semiHidden/>
    <w:unhideWhenUsed/>
    <w:qFormat/>
    <w:uiPriority w:val="99"/>
    <w:pPr>
      <w:jc w:val="left"/>
    </w:pPr>
  </w:style>
  <w:style w:type="paragraph" w:styleId="6">
    <w:name w:val="Block Text"/>
    <w:basedOn w:val="1"/>
    <w:next w:val="1"/>
    <w:qFormat/>
    <w:uiPriority w:val="0"/>
    <w:pPr>
      <w:snapToGrid w:val="0"/>
      <w:spacing w:after="160" w:line="360" w:lineRule="auto"/>
      <w:ind w:left="-15" w:right="103" w:firstLine="447"/>
      <w:jc w:val="left"/>
    </w:pPr>
    <w:rPr>
      <w:rFonts w:ascii="宋体" w:hAnsi="宋体" w:eastAsiaTheme="minorEastAsia" w:cstheme="minorBidi"/>
      <w:spacing w:val="-2"/>
      <w:sz w:val="24"/>
      <w:szCs w:val="20"/>
      <w14:ligatures w14:val="standardContextual"/>
    </w:rPr>
  </w:style>
  <w:style w:type="paragraph" w:styleId="7">
    <w:name w:val="Plain Text"/>
    <w:basedOn w:val="1"/>
    <w:unhideWhenUsed/>
    <w:qFormat/>
    <w:uiPriority w:val="99"/>
    <w:rPr>
      <w:rFonts w:hAnsi="Courier New" w:cs="Courier New" w:asciiTheme="minorEastAsia"/>
    </w:rPr>
  </w:style>
  <w:style w:type="paragraph" w:styleId="8">
    <w:name w:val="Balloon Text"/>
    <w:basedOn w:val="1"/>
    <w:link w:val="21"/>
    <w:semiHidden/>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annotation subject"/>
    <w:basedOn w:val="5"/>
    <w:next w:val="5"/>
    <w:link w:val="20"/>
    <w:semiHidden/>
    <w:unhideWhenUsed/>
    <w:qFormat/>
    <w:uiPriority w:val="99"/>
    <w:rPr>
      <w:b/>
      <w:bCs/>
    </w:r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styleId="15">
    <w:name w:val="annotation reference"/>
    <w:basedOn w:val="13"/>
    <w:semiHidden/>
    <w:unhideWhenUsed/>
    <w:qFormat/>
    <w:uiPriority w:val="99"/>
    <w:rPr>
      <w:sz w:val="21"/>
      <w:szCs w:val="21"/>
    </w:rPr>
  </w:style>
  <w:style w:type="character" w:customStyle="1" w:styleId="16">
    <w:name w:val="页眉 Char"/>
    <w:basedOn w:val="13"/>
    <w:link w:val="10"/>
    <w:qFormat/>
    <w:uiPriority w:val="99"/>
    <w:rPr>
      <w:sz w:val="18"/>
      <w:szCs w:val="18"/>
    </w:rPr>
  </w:style>
  <w:style w:type="character" w:customStyle="1" w:styleId="17">
    <w:name w:val="页脚 Char"/>
    <w:basedOn w:val="13"/>
    <w:link w:val="9"/>
    <w:qFormat/>
    <w:uiPriority w:val="99"/>
    <w:rPr>
      <w:sz w:val="18"/>
      <w:szCs w:val="18"/>
    </w:rPr>
  </w:style>
  <w:style w:type="paragraph" w:styleId="18">
    <w:name w:val="No Spacing"/>
    <w:qFormat/>
    <w:uiPriority w:val="1"/>
    <w:pPr>
      <w:widowControl w:val="0"/>
    </w:pPr>
    <w:rPr>
      <w:rFonts w:asciiTheme="minorHAnsi" w:hAnsiTheme="minorHAnsi" w:eastAsiaTheme="minorEastAsia" w:cstheme="minorBidi"/>
      <w:kern w:val="2"/>
      <w:sz w:val="22"/>
      <w:szCs w:val="24"/>
      <w:lang w:val="en-US" w:eastAsia="zh-CN" w:bidi="ar-SA"/>
      <w14:ligatures w14:val="standardContextual"/>
    </w:rPr>
  </w:style>
  <w:style w:type="character" w:customStyle="1" w:styleId="19">
    <w:name w:val="批注文字 Char"/>
    <w:basedOn w:val="13"/>
    <w:link w:val="5"/>
    <w:semiHidden/>
    <w:qFormat/>
    <w:uiPriority w:val="99"/>
    <w:rPr>
      <w:rFonts w:ascii="Calibri" w:hAnsi="Calibri" w:eastAsia="微软雅黑" w:cs="Times New Roman"/>
      <w:szCs w:val="24"/>
    </w:rPr>
  </w:style>
  <w:style w:type="character" w:customStyle="1" w:styleId="20">
    <w:name w:val="批注主题 Char"/>
    <w:basedOn w:val="19"/>
    <w:link w:val="11"/>
    <w:semiHidden/>
    <w:qFormat/>
    <w:uiPriority w:val="99"/>
    <w:rPr>
      <w:rFonts w:ascii="Calibri" w:hAnsi="Calibri" w:eastAsia="微软雅黑" w:cs="Times New Roman"/>
      <w:b/>
      <w:bCs/>
      <w:szCs w:val="24"/>
    </w:rPr>
  </w:style>
  <w:style w:type="character" w:customStyle="1" w:styleId="21">
    <w:name w:val="批注框文本 Char"/>
    <w:basedOn w:val="13"/>
    <w:link w:val="8"/>
    <w:semiHidden/>
    <w:qFormat/>
    <w:uiPriority w:val="99"/>
    <w:rPr>
      <w:rFonts w:ascii="Calibri" w:hAnsi="Calibri" w:eastAsia="微软雅黑" w:cs="Times New Roman"/>
      <w:sz w:val="18"/>
      <w:szCs w:val="18"/>
    </w:rPr>
  </w:style>
  <w:style w:type="paragraph" w:customStyle="1" w:styleId="22">
    <w:name w:val="_Style 6"/>
    <w:basedOn w:val="1"/>
    <w:qFormat/>
    <w:uiPriority w:val="34"/>
    <w:pPr>
      <w:ind w:firstLine="420" w:firstLineChars="200"/>
    </w:pPr>
    <w:rPr>
      <w:rFonts w:eastAsia="宋体"/>
      <w:szCs w:val="22"/>
    </w:rPr>
  </w:style>
  <w:style w:type="paragraph" w:customStyle="1" w:styleId="23">
    <w:name w:val="Revision"/>
    <w:hidden/>
    <w:unhideWhenUsed/>
    <w:uiPriority w:val="99"/>
    <w:rPr>
      <w:rFonts w:ascii="Calibri" w:hAnsi="Calibri" w:eastAsia="微软雅黑"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1DA8F-6454-473E-97A9-255657516DBA}">
  <ds:schemaRefs/>
</ds:datastoreItem>
</file>

<file path=docProps/app.xml><?xml version="1.0" encoding="utf-8"?>
<Properties xmlns="http://schemas.openxmlformats.org/officeDocument/2006/extended-properties" xmlns:vt="http://schemas.openxmlformats.org/officeDocument/2006/docPropsVTypes">
  <Template>Normal.dotm</Template>
  <Company>AB</Company>
  <Pages>5</Pages>
  <Words>583</Words>
  <Characters>3325</Characters>
  <Lines>27</Lines>
  <Paragraphs>7</Paragraphs>
  <TotalTime>33</TotalTime>
  <ScaleCrop>false</ScaleCrop>
  <LinksUpToDate>false</LinksUpToDate>
  <CharactersWithSpaces>3901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2026-09-23T06:37:00Z</dcterms:created>
  <dc:creator>邱素萍</dc:creator>
  <cp:lastModifiedBy> </cp:lastModifiedBy>
  <cp:lastPrinted>2026-09-03T09:58:00Z</cp:lastPrinted>
  <dcterms:modified xsi:type="dcterms:W3CDTF">2026-09-23T07:52:54Z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47D723898BA344AEB7FA019A9F3E0AC4</vt:lpwstr>
  </property>
  <property fmtid="{D5CDD505-2E9C-101B-9397-08002B2CF9AE}" pid="4" name="KSOTemplateDocerSaveRecord">
    <vt:lpwstr>eyJoZGlkIjoiNDViOGQ4MWVkMTZhZjk0MDNhZTM3YWI5ZDYwZWZmMTIifQ==</vt:lpwstr>
  </property>
</Properties>
</file>