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firstLine="200" w:firstLineChars="100"/>
        <w:rPr>
          <w:rFonts w:ascii="宋体" w:hAnsi="宋体" w:eastAsia="宋体" w:cs="宋体"/>
          <w:sz w:val="20"/>
          <w:szCs w:val="20"/>
          <w:lang w:val="en-US"/>
        </w:rPr>
      </w:pPr>
      <w:r>
        <w:rPr>
          <w:rFonts w:hint="eastAsia" w:ascii="宋体" w:hAnsi="宋体" w:eastAsia="宋体" w:cs="宋体"/>
          <w:sz w:val="20"/>
          <w:szCs w:val="20"/>
          <w:lang w:val="en-US"/>
        </w:rPr>
        <w:t>证券代码：</w:t>
      </w:r>
      <w:r>
        <w:rPr>
          <w:rFonts w:ascii="宋体" w:hAnsi="宋体" w:eastAsia="宋体" w:cs="宋体"/>
          <w:sz w:val="20"/>
          <w:szCs w:val="20"/>
          <w:lang w:val="en-US"/>
        </w:rPr>
        <w:t>601878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                              </w:t>
      </w:r>
      <w:r>
        <w:rPr>
          <w:rFonts w:ascii="宋体" w:hAnsi="宋体" w:eastAsia="宋体" w:cs="宋体"/>
          <w:sz w:val="21"/>
          <w:szCs w:val="21"/>
          <w:lang w:val="en-US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证券简称：浙商证券</w:t>
      </w:r>
    </w:p>
    <w:p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浙商证券股份有限公司</w:t>
      </w:r>
    </w:p>
    <w:p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投资者关系活动记录表</w:t>
      </w:r>
    </w:p>
    <w:p>
      <w:pPr>
        <w:spacing w:before="51" w:after="32"/>
        <w:ind w:right="619"/>
        <w:jc w:val="right"/>
        <w:rPr>
          <w:rFonts w:hint="eastAsia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</w:rPr>
        <w:t>编号：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202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6</w:t>
      </w:r>
      <w:r>
        <w:rPr>
          <w:rFonts w:hint="eastAsia" w:ascii="宋体" w:hAnsi="宋体" w:eastAsia="宋体" w:cs="宋体"/>
          <w:sz w:val="20"/>
          <w:szCs w:val="20"/>
        </w:rPr>
        <w:t>-</w:t>
      </w:r>
      <w:r>
        <w:rPr>
          <w:rFonts w:ascii="宋体" w:hAnsi="宋体" w:eastAsia="宋体" w:cs="宋体"/>
          <w:sz w:val="20"/>
          <w:szCs w:val="20"/>
        </w:rPr>
        <w:t>00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1</w:t>
      </w:r>
    </w:p>
    <w:tbl>
      <w:tblPr>
        <w:tblStyle w:val="12"/>
        <w:tblW w:w="8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580"/>
        <w:gridCol w:w="594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1" w:hRule="atLeast"/>
          <w:jc w:val="center"/>
        </w:trPr>
        <w:tc>
          <w:tcPr>
            <w:tcW w:w="2580" w:type="dxa"/>
          </w:tcPr>
          <w:p>
            <w:pPr>
              <w:pStyle w:val="16"/>
              <w:spacing w:before="7"/>
              <w:rPr>
                <w:b/>
                <w:bCs/>
              </w:rPr>
            </w:pPr>
          </w:p>
          <w:p>
            <w:pPr>
              <w:pStyle w:val="16"/>
              <w:spacing w:before="1"/>
              <w:ind w:left="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投资者关系活动类别</w:t>
            </w:r>
          </w:p>
        </w:tc>
        <w:tc>
          <w:tcPr>
            <w:tcW w:w="5945" w:type="dxa"/>
          </w:tcPr>
          <w:p>
            <w:pPr>
              <w:pStyle w:val="16"/>
              <w:spacing w:before="7"/>
            </w:pPr>
          </w:p>
          <w:p>
            <w:pPr>
              <w:pStyle w:val="16"/>
              <w:tabs>
                <w:tab w:val="left" w:pos="2418"/>
              </w:tabs>
              <w:spacing w:before="1"/>
              <w:ind w:left="107"/>
            </w:pPr>
            <w:sdt>
              <w:sdtPr>
                <w:rPr>
                  <w:rFonts w:hint="eastAsia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特</w:t>
            </w:r>
            <w:r>
              <w:rPr>
                <w:rFonts w:hint="eastAsia"/>
                <w:spacing w:val="-3"/>
              </w:rPr>
              <w:t>定</w:t>
            </w:r>
            <w:r>
              <w:rPr>
                <w:rFonts w:hint="eastAsia"/>
              </w:rPr>
              <w:t>对</w:t>
            </w:r>
            <w:r>
              <w:rPr>
                <w:rFonts w:hint="eastAsia"/>
                <w:spacing w:val="-3"/>
              </w:rPr>
              <w:t>象</w:t>
            </w:r>
            <w:r>
              <w:rPr>
                <w:rFonts w:hint="eastAsia"/>
              </w:rPr>
              <w:t>调研</w:t>
            </w:r>
            <w:r>
              <w:rPr>
                <w:rFonts w:hint="eastAsia"/>
              </w:rPr>
              <w:tab/>
            </w:r>
            <w:sdt>
              <w:sdtPr>
                <w:rPr>
                  <w:rFonts w:hint="eastAsia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分</w:t>
            </w:r>
            <w:r>
              <w:rPr>
                <w:rFonts w:hint="eastAsia"/>
                <w:spacing w:val="-3"/>
              </w:rPr>
              <w:t>析</w:t>
            </w:r>
            <w:r>
              <w:rPr>
                <w:rFonts w:hint="eastAsia"/>
              </w:rPr>
              <w:t>师</w:t>
            </w:r>
            <w:r>
              <w:rPr>
                <w:rFonts w:hint="eastAsia"/>
                <w:spacing w:val="-3"/>
              </w:rPr>
              <w:t>会</w:t>
            </w:r>
            <w:r>
              <w:rPr>
                <w:rFonts w:hint="eastAsia"/>
              </w:rPr>
              <w:t>议</w:t>
            </w:r>
          </w:p>
          <w:p>
            <w:pPr>
              <w:pStyle w:val="16"/>
              <w:spacing w:before="11"/>
            </w:pPr>
          </w:p>
          <w:p>
            <w:pPr>
              <w:pStyle w:val="16"/>
              <w:tabs>
                <w:tab w:val="left" w:pos="2418"/>
              </w:tabs>
              <w:ind w:left="107"/>
            </w:pPr>
            <w:sdt>
              <w:sdtPr>
                <w:rPr>
                  <w:rFonts w:hint="eastAsia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媒</w:t>
            </w:r>
            <w:r>
              <w:rPr>
                <w:rFonts w:hint="eastAsia"/>
                <w:spacing w:val="-3"/>
              </w:rPr>
              <w:t>体</w:t>
            </w:r>
            <w:r>
              <w:rPr>
                <w:rFonts w:hint="eastAsia"/>
              </w:rPr>
              <w:t>采访</w:t>
            </w:r>
            <w:r>
              <w:rPr>
                <w:rFonts w:hint="eastAsia"/>
              </w:rPr>
              <w:tab/>
            </w:r>
            <w:sdt>
              <w:sdtPr>
                <w:rPr>
                  <w:rFonts w:hint="eastAsia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ascii="Wingdings 2" w:hAnsi="Wingdings 2"/>
                  </w:rPr>
                  <w:t></w:t>
                </w:r>
              </w:sdtContent>
            </w:sdt>
            <w:r>
              <w:rPr>
                <w:rFonts w:hint="eastAsia"/>
              </w:rPr>
              <w:t>业</w:t>
            </w:r>
            <w:r>
              <w:rPr>
                <w:rFonts w:hint="eastAsia"/>
                <w:spacing w:val="-3"/>
              </w:rPr>
              <w:t>绩</w:t>
            </w:r>
            <w:r>
              <w:rPr>
                <w:rFonts w:hint="eastAsia"/>
              </w:rPr>
              <w:t>说</w:t>
            </w:r>
            <w:r>
              <w:rPr>
                <w:rFonts w:hint="eastAsia"/>
                <w:spacing w:val="-3"/>
              </w:rPr>
              <w:t>明</w:t>
            </w:r>
            <w:r>
              <w:rPr>
                <w:rFonts w:hint="eastAsia"/>
              </w:rPr>
              <w:t>会</w:t>
            </w:r>
          </w:p>
          <w:p>
            <w:pPr>
              <w:pStyle w:val="16"/>
              <w:spacing w:before="8"/>
            </w:pPr>
          </w:p>
          <w:p>
            <w:pPr>
              <w:pStyle w:val="16"/>
              <w:tabs>
                <w:tab w:val="left" w:pos="2418"/>
              </w:tabs>
              <w:ind w:left="107"/>
            </w:pPr>
            <w:sdt>
              <w:sdtPr>
                <w:rPr>
                  <w:rFonts w:hint="eastAsia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新</w:t>
            </w:r>
            <w:r>
              <w:rPr>
                <w:rFonts w:hint="eastAsia"/>
                <w:spacing w:val="-3"/>
              </w:rPr>
              <w:t>闻</w:t>
            </w:r>
            <w:r>
              <w:rPr>
                <w:rFonts w:hint="eastAsia"/>
              </w:rPr>
              <w:t>发</w:t>
            </w:r>
            <w:r>
              <w:rPr>
                <w:rFonts w:hint="eastAsia"/>
                <w:spacing w:val="-3"/>
              </w:rPr>
              <w:t>布</w:t>
            </w:r>
            <w:r>
              <w:rPr>
                <w:rFonts w:hint="eastAsia"/>
              </w:rPr>
              <w:t>会</w:t>
            </w:r>
            <w:r>
              <w:rPr>
                <w:rFonts w:hint="eastAsia"/>
              </w:rPr>
              <w:tab/>
            </w:r>
            <w:sdt>
              <w:sdtPr>
                <w:rPr>
                  <w:rFonts w:hint="eastAsia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路</w:t>
            </w:r>
            <w:r>
              <w:rPr>
                <w:rFonts w:hint="eastAsia"/>
                <w:spacing w:val="-3"/>
              </w:rPr>
              <w:t>演</w:t>
            </w:r>
            <w:r>
              <w:rPr>
                <w:rFonts w:hint="eastAsia"/>
              </w:rPr>
              <w:t>活动</w:t>
            </w:r>
          </w:p>
          <w:p>
            <w:pPr>
              <w:pStyle w:val="16"/>
              <w:spacing w:before="8"/>
            </w:pPr>
          </w:p>
          <w:p>
            <w:pPr>
              <w:pStyle w:val="16"/>
              <w:ind w:left="107"/>
            </w:pPr>
            <w:sdt>
              <w:sdtPr>
                <w:rPr>
                  <w:rFonts w:hint="eastAsia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现场参观</w:t>
            </w:r>
          </w:p>
          <w:p>
            <w:pPr>
              <w:pStyle w:val="16"/>
              <w:spacing w:before="11"/>
            </w:pPr>
          </w:p>
          <w:p>
            <w:pPr>
              <w:pStyle w:val="16"/>
              <w:ind w:left="107"/>
            </w:pPr>
            <w:sdt>
              <w:sdtPr>
                <w:rPr>
                  <w:rFonts w:hint="eastAsia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其他（</w:t>
            </w:r>
            <w:r>
              <w:rPr>
                <w:rFonts w:hint="eastAsia"/>
                <w:u w:val="single"/>
              </w:rPr>
              <w:t>请文字说明其他活动内容）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2580" w:type="dxa"/>
            <w:vAlign w:val="center"/>
          </w:tcPr>
          <w:p>
            <w:pPr>
              <w:pStyle w:val="16"/>
              <w:spacing w:line="560" w:lineRule="exact"/>
              <w:ind w:left="107" w:right="96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>
            <w:pPr>
              <w:pStyle w:val="16"/>
              <w:spacing w:before="100" w:beforeAutospacing="1" w:line="360" w:lineRule="auto"/>
            </w:pPr>
            <w:r>
              <w:rPr>
                <w:rFonts w:hint="eastAsia"/>
              </w:rPr>
              <w:t>线上参与公司</w:t>
            </w:r>
            <w:r>
              <w:t>202</w:t>
            </w:r>
            <w:r>
              <w:rPr>
                <w:rFonts w:hint="eastAsia"/>
                <w:lang w:val="en-US" w:eastAsia="zh-CN"/>
              </w:rPr>
              <w:t>6</w:t>
            </w:r>
            <w:r>
              <w:t>年半年度业绩说明会</w:t>
            </w:r>
            <w:r>
              <w:rPr>
                <w:rFonts w:hint="eastAsia"/>
              </w:rPr>
              <w:t>的全体投资者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>
            <w:pPr>
              <w:pStyle w:val="16"/>
              <w:ind w:left="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时间</w:t>
            </w:r>
          </w:p>
        </w:tc>
        <w:tc>
          <w:tcPr>
            <w:tcW w:w="5945" w:type="dxa"/>
            <w:vAlign w:val="center"/>
          </w:tcPr>
          <w:p>
            <w:pPr>
              <w:spacing w:before="100" w:beforeAutospacing="1" w:line="360" w:lineRule="auto"/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年</w:t>
            </w:r>
            <w:r>
              <w:t>10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1</w:t>
            </w:r>
            <w:r>
              <w:t>3</w:t>
            </w:r>
            <w:r>
              <w:rPr>
                <w:rFonts w:hint="eastAsia"/>
              </w:rPr>
              <w:t>日 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:00-1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:00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580" w:type="dxa"/>
            <w:vAlign w:val="center"/>
          </w:tcPr>
          <w:p>
            <w:pPr>
              <w:pStyle w:val="16"/>
              <w:ind w:left="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地点</w:t>
            </w:r>
          </w:p>
        </w:tc>
        <w:tc>
          <w:tcPr>
            <w:tcW w:w="5945" w:type="dxa"/>
            <w:vAlign w:val="center"/>
          </w:tcPr>
          <w:p>
            <w:pPr>
              <w:pStyle w:val="16"/>
              <w:spacing w:before="100" w:beforeAutospacing="1" w:line="360" w:lineRule="auto"/>
              <w:rPr>
                <w:lang w:val="en-US"/>
              </w:rPr>
            </w:pPr>
            <w:r>
              <w:rPr>
                <w:rFonts w:hint="eastAsia"/>
                <w:lang w:val="en-US"/>
              </w:rPr>
              <w:t>上证路演中心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>
            <w:pPr>
              <w:pStyle w:val="16"/>
              <w:spacing w:before="1"/>
              <w:ind w:left="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上市公司</w:t>
            </w:r>
            <w:r>
              <w:rPr>
                <w:rFonts w:hint="eastAsia"/>
                <w:b/>
                <w:bCs/>
                <w:lang w:val="en-US" w:eastAsia="zh-CN"/>
              </w:rPr>
              <w:t>出席</w:t>
            </w:r>
            <w:r>
              <w:rPr>
                <w:rFonts w:hint="eastAsia"/>
                <w:b/>
                <w:bCs/>
              </w:rPr>
              <w:t>人员</w:t>
            </w:r>
          </w:p>
        </w:tc>
        <w:tc>
          <w:tcPr>
            <w:tcW w:w="5945" w:type="dxa"/>
            <w:vAlign w:val="center"/>
          </w:tcPr>
          <w:p>
            <w:pPr>
              <w:pStyle w:val="2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  <w:t>董事长：钱文海</w:t>
            </w:r>
          </w:p>
          <w:p>
            <w:pPr>
              <w:pStyle w:val="2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  <w:t>首席风险官、董事会秘书：邓宏光</w:t>
            </w:r>
          </w:p>
          <w:p>
            <w:pPr>
              <w:pStyle w:val="2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  <w:t>财务总监：楼敏</w:t>
            </w:r>
          </w:p>
          <w:p>
            <w:pPr>
              <w:pStyle w:val="2"/>
              <w:ind w:left="0" w:leftChars="0" w:firstLine="0" w:firstLineChars="0"/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  <w:t>独立董事：金雪军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910" w:hRule="atLeast"/>
          <w:jc w:val="center"/>
        </w:trPr>
        <w:tc>
          <w:tcPr>
            <w:tcW w:w="2580" w:type="dxa"/>
          </w:tcPr>
          <w:p>
            <w:pPr>
              <w:pStyle w:val="16"/>
              <w:rPr>
                <w:rFonts w:ascii="宋体" w:hAnsi="宋体" w:eastAsia="宋体" w:cs="宋体"/>
                <w:b/>
                <w:bCs/>
              </w:rPr>
            </w:pPr>
          </w:p>
          <w:p>
            <w:pPr>
              <w:pStyle w:val="16"/>
              <w:rPr>
                <w:rFonts w:ascii="宋体" w:hAnsi="宋体" w:eastAsia="宋体" w:cs="宋体"/>
                <w:b/>
                <w:bCs/>
              </w:rPr>
            </w:pPr>
          </w:p>
          <w:p>
            <w:pPr>
              <w:pStyle w:val="16"/>
              <w:spacing w:before="1"/>
              <w:ind w:left="107"/>
              <w:rPr>
                <w:b/>
                <w:bCs/>
              </w:rPr>
            </w:pPr>
          </w:p>
          <w:p>
            <w:pPr>
              <w:pStyle w:val="16"/>
              <w:spacing w:before="1"/>
              <w:ind w:left="107"/>
              <w:rPr>
                <w:rFonts w:ascii="宋体" w:hAnsi="宋体" w:eastAsia="宋体" w:cs="宋体"/>
              </w:rPr>
            </w:pPr>
            <w:r>
              <w:rPr>
                <w:rFonts w:hint="eastAsia"/>
                <w:b/>
                <w:bCs/>
              </w:rPr>
              <w:t>投资者关系活动主要内容介绍</w:t>
            </w:r>
          </w:p>
        </w:tc>
        <w:tc>
          <w:tcPr>
            <w:tcW w:w="5945" w:type="dxa"/>
          </w:tcPr>
          <w:p>
            <w:pPr>
              <w:rPr>
                <w:lang w:val="en-US"/>
              </w:rPr>
            </w:pPr>
            <w:r>
              <w:rPr>
                <w:rFonts w:hint="eastAsia"/>
                <w:lang w:val="en-US"/>
              </w:rPr>
              <w:t>1、并购国都证券后的整合进展如何？</w:t>
            </w:r>
          </w:p>
          <w:p>
            <w:pPr>
              <w:spacing w:before="240"/>
              <w:rPr>
                <w:rFonts w:hint="eastAsia" w:eastAsia="仿宋"/>
                <w:lang w:val="en-US" w:eastAsia="zh-CN"/>
              </w:rPr>
            </w:pPr>
            <w:r>
              <w:rPr>
                <w:rFonts w:hint="eastAsia"/>
                <w:lang w:val="en-US"/>
              </w:rPr>
              <w:t>尊敬的投资者：公司正在与各方保持密切的沟通，完善和优化整合方案，确保在规定期限内，完成相关工作。</w:t>
            </w:r>
            <w:r>
              <w:rPr>
                <w:rFonts w:hint="eastAsia"/>
                <w:lang w:val="en-US" w:eastAsia="zh-CN"/>
              </w:rPr>
              <w:t>谢谢！</w:t>
            </w:r>
            <w:bookmarkStart w:id="0" w:name="_GoBack"/>
            <w:bookmarkEnd w:id="0"/>
          </w:p>
          <w:p>
            <w:pPr>
              <w:spacing w:before="240"/>
              <w:rPr>
                <w:lang w:val="en-US"/>
              </w:rPr>
            </w:pPr>
            <w:r>
              <w:rPr>
                <w:rFonts w:hint="eastAsia"/>
                <w:lang w:val="en-US"/>
              </w:rPr>
              <w:t>2、公司2026年上半年营收和净利润均实现了增长，请问主要驱动因素是什么？</w:t>
            </w:r>
          </w:p>
          <w:p>
            <w:pPr>
              <w:spacing w:before="240"/>
              <w:rPr>
                <w:rFonts w:hint="eastAsia" w:eastAsia="仿宋"/>
                <w:lang w:val="en-US" w:eastAsia="zh-CN"/>
              </w:rPr>
            </w:pPr>
            <w:r>
              <w:rPr>
                <w:rFonts w:hint="eastAsia"/>
                <w:lang w:val="en-US"/>
              </w:rPr>
              <w:t>尊敬的投资者：2026年上半年，市场行情转暖、成交持续活跃，公司坚持“稳底盘”“求增量”“优布局”，竞争力持续提升，经纪、投行、自营等多业务板块协同发力、稳健提质，实现较快增长，业绩创下历史同期新高。其中，利息净收入较上年同期增长42.40%，手续费及佣金净收入较上年同期增长49.19%，投资收益较上年同期增长67.45%。</w:t>
            </w:r>
            <w:r>
              <w:rPr>
                <w:rFonts w:hint="eastAsia"/>
                <w:lang w:val="en-US" w:eastAsia="zh-CN"/>
              </w:rPr>
              <w:t>谢谢！</w:t>
            </w:r>
          </w:p>
          <w:p>
            <w:pPr>
              <w:spacing w:before="240"/>
              <w:rPr>
                <w:lang w:val="en-US"/>
              </w:rPr>
            </w:pPr>
            <w:r>
              <w:rPr>
                <w:rFonts w:hint="eastAsia"/>
                <w:lang w:val="en-US"/>
              </w:rPr>
              <w:t>3、公司业绩与市场行情的关联度较高，请问在平滑业绩波动方面有哪些战略安排？</w:t>
            </w:r>
          </w:p>
          <w:p>
            <w:pPr>
              <w:pStyle w:val="2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  <w:t>尊敬的投资者：针对行业的特征，公司有长期系统的安排，包括三个维度：</w:t>
            </w:r>
          </w:p>
          <w:p>
            <w:pPr>
              <w:pStyle w:val="2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  <w:t>一是公司加强市场研究，提前做好预判；</w:t>
            </w:r>
          </w:p>
          <w:p>
            <w:pPr>
              <w:pStyle w:val="2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  <w:t>二是公司构建战略性业务组合，可以最大限度减少波动；</w:t>
            </w:r>
          </w:p>
          <w:p>
            <w:pPr>
              <w:pStyle w:val="2"/>
              <w:ind w:left="0" w:leftChars="0" w:firstLine="0" w:firstLineChars="0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 w:bidi="zh-CN"/>
              </w:rPr>
              <w:t>三是公司坚持长期稳定的布局，持续夯实压舱石业务，兼顾业务发展的稳定性与成长性。谢谢！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580" w:type="dxa"/>
            <w:vAlign w:val="center"/>
          </w:tcPr>
          <w:p>
            <w:pPr>
              <w:pStyle w:val="16"/>
              <w:spacing w:before="1"/>
              <w:ind w:left="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>
            <w:pPr>
              <w:pStyle w:val="10"/>
              <w:widowControl/>
              <w:spacing w:line="240" w:lineRule="exact"/>
              <w:rPr>
                <w:sz w:val="22"/>
                <w:lang w:eastAsia="zh-Hans"/>
              </w:rPr>
            </w:pPr>
            <w:r>
              <w:rPr>
                <w:rFonts w:hint="eastAsia"/>
                <w:sz w:val="22"/>
                <w:lang w:eastAsia="zh-Hans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>
            <w:pPr>
              <w:pStyle w:val="16"/>
              <w:spacing w:before="1"/>
              <w:ind w:left="10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日期</w:t>
            </w:r>
          </w:p>
        </w:tc>
        <w:tc>
          <w:tcPr>
            <w:tcW w:w="5945" w:type="dxa"/>
            <w:vAlign w:val="center"/>
          </w:tcPr>
          <w:p>
            <w:pPr>
              <w:pStyle w:val="10"/>
              <w:widowControl/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202</w:t>
            </w:r>
            <w:r>
              <w:rPr>
                <w:rFonts w:hint="eastAsia"/>
                <w:sz w:val="22"/>
                <w:lang w:val="en-US" w:eastAsia="zh-CN"/>
              </w:rPr>
              <w:t>6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>10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  <w:lang w:val="en-US" w:eastAsia="zh-CN"/>
              </w:rPr>
              <w:t>1</w:t>
            </w:r>
            <w:r>
              <w:rPr>
                <w:sz w:val="22"/>
              </w:rPr>
              <w:t>3</w:t>
            </w:r>
            <w:r>
              <w:rPr>
                <w:rFonts w:hint="eastAsia"/>
                <w:sz w:val="22"/>
              </w:rPr>
              <w:t>日</w:t>
            </w:r>
          </w:p>
        </w:tc>
      </w:tr>
    </w:tbl>
    <w:p>
      <w:pPr>
        <w:rPr>
          <w:rFonts w:ascii="宋体" w:hAnsi="宋体" w:eastAsia="宋体" w:cs="宋体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5MjcwYWNlZThiOGMwZDUyZjM5MDlmNWI1NjUzZGE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0E796E"/>
    <w:rsid w:val="001067E1"/>
    <w:rsid w:val="0011418F"/>
    <w:rsid w:val="00131385"/>
    <w:rsid w:val="00133EE2"/>
    <w:rsid w:val="00172C24"/>
    <w:rsid w:val="001C303B"/>
    <w:rsid w:val="001E59D1"/>
    <w:rsid w:val="001E5EA4"/>
    <w:rsid w:val="002042A7"/>
    <w:rsid w:val="00205911"/>
    <w:rsid w:val="002146AD"/>
    <w:rsid w:val="00232838"/>
    <w:rsid w:val="00275CB6"/>
    <w:rsid w:val="002800B5"/>
    <w:rsid w:val="00295B29"/>
    <w:rsid w:val="002D4073"/>
    <w:rsid w:val="002E7098"/>
    <w:rsid w:val="00301D32"/>
    <w:rsid w:val="00334D97"/>
    <w:rsid w:val="00346470"/>
    <w:rsid w:val="00362C97"/>
    <w:rsid w:val="00363035"/>
    <w:rsid w:val="00366FAD"/>
    <w:rsid w:val="0037105B"/>
    <w:rsid w:val="003975BA"/>
    <w:rsid w:val="003A74E6"/>
    <w:rsid w:val="003B73DD"/>
    <w:rsid w:val="003D011C"/>
    <w:rsid w:val="003E6C00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A3996"/>
    <w:rsid w:val="004F6FF3"/>
    <w:rsid w:val="0054521D"/>
    <w:rsid w:val="00571B49"/>
    <w:rsid w:val="005743AE"/>
    <w:rsid w:val="00575EAD"/>
    <w:rsid w:val="005C64F8"/>
    <w:rsid w:val="005D64CA"/>
    <w:rsid w:val="005E5717"/>
    <w:rsid w:val="005E6DB2"/>
    <w:rsid w:val="006127F8"/>
    <w:rsid w:val="0061433E"/>
    <w:rsid w:val="0062751D"/>
    <w:rsid w:val="006354AA"/>
    <w:rsid w:val="00661807"/>
    <w:rsid w:val="00661AFA"/>
    <w:rsid w:val="006726BF"/>
    <w:rsid w:val="00677B77"/>
    <w:rsid w:val="0068718A"/>
    <w:rsid w:val="006A2739"/>
    <w:rsid w:val="006B5C95"/>
    <w:rsid w:val="006E14B0"/>
    <w:rsid w:val="006F0108"/>
    <w:rsid w:val="00703820"/>
    <w:rsid w:val="00704AE6"/>
    <w:rsid w:val="00704B6A"/>
    <w:rsid w:val="007153A2"/>
    <w:rsid w:val="00724A68"/>
    <w:rsid w:val="007271BF"/>
    <w:rsid w:val="00730DD3"/>
    <w:rsid w:val="00733224"/>
    <w:rsid w:val="007400B7"/>
    <w:rsid w:val="007472A6"/>
    <w:rsid w:val="00764128"/>
    <w:rsid w:val="007824B8"/>
    <w:rsid w:val="007910DD"/>
    <w:rsid w:val="007A0F3A"/>
    <w:rsid w:val="007A3EC1"/>
    <w:rsid w:val="007A5C6D"/>
    <w:rsid w:val="007B3368"/>
    <w:rsid w:val="007C1538"/>
    <w:rsid w:val="007D0A69"/>
    <w:rsid w:val="007D6DC4"/>
    <w:rsid w:val="008514FC"/>
    <w:rsid w:val="00853463"/>
    <w:rsid w:val="00861CCC"/>
    <w:rsid w:val="00893F25"/>
    <w:rsid w:val="00895035"/>
    <w:rsid w:val="008B2B14"/>
    <w:rsid w:val="008C6AED"/>
    <w:rsid w:val="008C7604"/>
    <w:rsid w:val="008E1B27"/>
    <w:rsid w:val="008F7FC1"/>
    <w:rsid w:val="00903379"/>
    <w:rsid w:val="00906975"/>
    <w:rsid w:val="00917F0B"/>
    <w:rsid w:val="00917F8B"/>
    <w:rsid w:val="00951B2E"/>
    <w:rsid w:val="00960964"/>
    <w:rsid w:val="00965E4D"/>
    <w:rsid w:val="009B1D5C"/>
    <w:rsid w:val="009C2E31"/>
    <w:rsid w:val="009E1955"/>
    <w:rsid w:val="00A3341B"/>
    <w:rsid w:val="00A527AA"/>
    <w:rsid w:val="00A5684D"/>
    <w:rsid w:val="00A676C4"/>
    <w:rsid w:val="00A75C61"/>
    <w:rsid w:val="00A9601B"/>
    <w:rsid w:val="00AB38FC"/>
    <w:rsid w:val="00AC04EC"/>
    <w:rsid w:val="00AD100E"/>
    <w:rsid w:val="00AE1E36"/>
    <w:rsid w:val="00AF74AA"/>
    <w:rsid w:val="00B03C2F"/>
    <w:rsid w:val="00B15064"/>
    <w:rsid w:val="00B2545A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20AD"/>
    <w:rsid w:val="00D33FBC"/>
    <w:rsid w:val="00D7535C"/>
    <w:rsid w:val="00D76302"/>
    <w:rsid w:val="00D77B12"/>
    <w:rsid w:val="00DA5CE2"/>
    <w:rsid w:val="00DE10E8"/>
    <w:rsid w:val="00DE6ACD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1257"/>
    <w:rsid w:val="00F14977"/>
    <w:rsid w:val="00F21207"/>
    <w:rsid w:val="00FB4A08"/>
    <w:rsid w:val="00FC0C2A"/>
    <w:rsid w:val="00FD7F8E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1831B4"/>
    <w:rsid w:val="28734C1A"/>
    <w:rsid w:val="28C72DDD"/>
    <w:rsid w:val="29EE0E64"/>
    <w:rsid w:val="2A5D7158"/>
    <w:rsid w:val="2BC4020A"/>
    <w:rsid w:val="2EF90F16"/>
    <w:rsid w:val="2F125C63"/>
    <w:rsid w:val="302C3D0A"/>
    <w:rsid w:val="3104598F"/>
    <w:rsid w:val="33DE31BB"/>
    <w:rsid w:val="34284113"/>
    <w:rsid w:val="378E0557"/>
    <w:rsid w:val="389C49C0"/>
    <w:rsid w:val="39BC78F4"/>
    <w:rsid w:val="3B35486F"/>
    <w:rsid w:val="3D802D79"/>
    <w:rsid w:val="3EF1250A"/>
    <w:rsid w:val="40567DB0"/>
    <w:rsid w:val="40FF5CD2"/>
    <w:rsid w:val="418C2F00"/>
    <w:rsid w:val="421C2449"/>
    <w:rsid w:val="42246753"/>
    <w:rsid w:val="42DB40B0"/>
    <w:rsid w:val="43B71B0A"/>
    <w:rsid w:val="44FA0589"/>
    <w:rsid w:val="453D6684"/>
    <w:rsid w:val="45A663E3"/>
    <w:rsid w:val="469F09AF"/>
    <w:rsid w:val="4B756271"/>
    <w:rsid w:val="4C1B2975"/>
    <w:rsid w:val="4C8E1CA8"/>
    <w:rsid w:val="4D6D36A4"/>
    <w:rsid w:val="510903EF"/>
    <w:rsid w:val="518B4DF2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24D69CC"/>
    <w:rsid w:val="67095496"/>
    <w:rsid w:val="67ED7463"/>
    <w:rsid w:val="681A546A"/>
    <w:rsid w:val="69CB37D4"/>
    <w:rsid w:val="6A0D5B9B"/>
    <w:rsid w:val="6A3B23B1"/>
    <w:rsid w:val="6AEA32DC"/>
    <w:rsid w:val="6CC24AB5"/>
    <w:rsid w:val="6D9271B2"/>
    <w:rsid w:val="6F134790"/>
    <w:rsid w:val="6FE81F5F"/>
    <w:rsid w:val="70100030"/>
    <w:rsid w:val="72446028"/>
    <w:rsid w:val="73076EC0"/>
    <w:rsid w:val="74210CA6"/>
    <w:rsid w:val="746F4E76"/>
    <w:rsid w:val="74E32B01"/>
    <w:rsid w:val="788C25F5"/>
    <w:rsid w:val="79F72AA9"/>
    <w:rsid w:val="7A144529"/>
    <w:rsid w:val="7DD37FAE"/>
    <w:rsid w:val="F7BAE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ind w:firstLine="883" w:firstLineChars="200"/>
      <w:outlineLvl w:val="1"/>
    </w:pPr>
    <w:rPr>
      <w:rFonts w:ascii="Arial" w:hAnsi="Arial" w:eastAsia="楷体" w:cs="Times New Roman"/>
      <w:b/>
      <w:bCs/>
      <w:sz w:val="28"/>
      <w:szCs w:val="32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9"/>
    <w:qFormat/>
    <w:uiPriority w:val="0"/>
  </w:style>
  <w:style w:type="paragraph" w:styleId="5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6">
    <w:name w:val="Balloon Text"/>
    <w:basedOn w:val="1"/>
    <w:link w:val="21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ascii="宋体" w:hAnsi="宋体" w:eastAsia="宋体" w:cs="Times New Roman"/>
      <w:sz w:val="24"/>
      <w:szCs w:val="24"/>
      <w:lang w:val="en-US" w:bidi="ar-SA"/>
    </w:rPr>
  </w:style>
  <w:style w:type="paragraph" w:styleId="10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val="en-US" w:bidi="ar-SA"/>
    </w:rPr>
  </w:style>
  <w:style w:type="paragraph" w:styleId="11">
    <w:name w:val="annotation subject"/>
    <w:basedOn w:val="4"/>
    <w:next w:val="4"/>
    <w:link w:val="20"/>
    <w:qFormat/>
    <w:uiPriority w:val="0"/>
    <w:rPr>
      <w:b/>
      <w:bCs/>
    </w:r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Table Paragraph"/>
    <w:basedOn w:val="1"/>
    <w:qFormat/>
    <w:uiPriority w:val="1"/>
  </w:style>
  <w:style w:type="character" w:customStyle="1" w:styleId="17">
    <w:name w:val="页眉 字符"/>
    <w:basedOn w:val="13"/>
    <w:link w:val="8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8">
    <w:name w:val="页脚 字符"/>
    <w:basedOn w:val="13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9">
    <w:name w:val="批注文字 字符"/>
    <w:basedOn w:val="13"/>
    <w:link w:val="4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20">
    <w:name w:val="批注主题 字符"/>
    <w:basedOn w:val="19"/>
    <w:link w:val="11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21">
    <w:name w:val="批注框文本 字符"/>
    <w:basedOn w:val="13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</Words>
  <Characters>729</Characters>
  <Lines>6</Lines>
  <Paragraphs>1</Paragraphs>
  <TotalTime>9</TotalTime>
  <ScaleCrop>false</ScaleCrop>
  <LinksUpToDate>false</LinksUpToDate>
  <CharactersWithSpaces>855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2023-11-17T08:58:00Z</dcterms:created>
  <dc:creator>jie.huang</dc:creator>
  <cp:lastModifiedBy>李雷</cp:lastModifiedBy>
  <dcterms:modified xsi:type="dcterms:W3CDTF">2026-10-13T08:05:36Z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BC2E84AAE0A947758240BEF62148F5AE</vt:lpwstr>
  </property>
</Properties>
</file>