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证券代码：603033                                   证券简称：三维股份</w:t>
      </w:r>
    </w:p>
    <w:p>
      <w:pPr>
        <w:spacing w:line="360" w:lineRule="auto"/>
        <w:ind w:firstLine="482" w:firstLineChars="200"/>
        <w:jc w:val="left"/>
        <w:rPr>
          <w:rFonts w:asciiTheme="minorEastAsia" w:hAnsiTheme="minorEastAsia" w:cstheme="minorEastAsia"/>
          <w:b/>
          <w:bCs/>
          <w:sz w:val="24"/>
        </w:rPr>
      </w:pPr>
    </w:p>
    <w:p>
      <w:pPr>
        <w:spacing w:line="360" w:lineRule="auto"/>
        <w:ind w:firstLine="562" w:firstLineChars="200"/>
        <w:jc w:val="center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三维控股集团股份有限公司</w:t>
      </w:r>
    </w:p>
    <w:p>
      <w:pPr>
        <w:spacing w:line="360" w:lineRule="auto"/>
        <w:ind w:firstLine="562" w:firstLineChars="200"/>
        <w:jc w:val="center"/>
        <w:rPr>
          <w:rFonts w:asciiTheme="minorEastAsia" w:hAnsi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</w:rPr>
        <w:t>投资者关系活动记录表</w:t>
      </w:r>
    </w:p>
    <w:tbl>
      <w:tblPr>
        <w:tblStyle w:val="8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5"/>
        <w:gridCol w:w="64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vAlign w:val="center"/>
          </w:tcPr>
          <w:p>
            <w:pPr>
              <w:spacing w:line="360" w:lineRule="auto"/>
              <w:rPr>
                <w:rFonts w:asciiTheme="minorEastAsia" w:hAnsi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</w:rPr>
              <w:t>投资者关系活动类别</w:t>
            </w:r>
          </w:p>
        </w:tc>
        <w:tc>
          <w:tcPr>
            <w:tcW w:w="6477" w:type="dxa"/>
          </w:tcPr>
          <w:p>
            <w:pPr>
              <w:pStyle w:val="13"/>
              <w:tabs>
                <w:tab w:val="left" w:pos="2418"/>
              </w:tabs>
              <w:spacing w:before="1"/>
              <w:ind w:left="107"/>
              <w:rPr>
                <w:rFonts w:hint="eastAsia" w:ascii="宋体" w:hAnsi="宋体" w:eastAsia="宋体" w:cs="宋体"/>
                <w:sz w:val="24"/>
              </w:rPr>
            </w:pPr>
            <w:sdt>
              <w:sdtPr>
                <w:rPr>
                  <w:rFonts w:hint="eastAsia" w:ascii="宋体" w:hAnsi="宋体" w:eastAsia="宋体" w:cs="宋体"/>
                  <w:sz w:val="24"/>
                </w:rPr>
                <w:id w:val="249780449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</w:rPr>
                  <w:sym w:font="Wingdings 2" w:char="F052"/>
                </w:r>
              </w:sdtContent>
            </w:sdt>
            <w:r>
              <w:rPr>
                <w:rFonts w:hint="eastAsia" w:ascii="宋体" w:hAnsi="宋体" w:eastAsia="宋体" w:cs="宋体"/>
                <w:sz w:val="24"/>
              </w:rPr>
              <w:t>特</w:t>
            </w:r>
            <w:r>
              <w:rPr>
                <w:rFonts w:hint="eastAsia" w:ascii="宋体" w:hAnsi="宋体" w:eastAsia="宋体" w:cs="宋体"/>
                <w:spacing w:val="-3"/>
                <w:sz w:val="24"/>
              </w:rPr>
              <w:t>定</w:t>
            </w:r>
            <w:r>
              <w:rPr>
                <w:rFonts w:hint="eastAsia" w:ascii="宋体" w:hAnsi="宋体" w:eastAsia="宋体" w:cs="宋体"/>
                <w:sz w:val="24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4"/>
              </w:rPr>
              <w:t>象</w:t>
            </w:r>
            <w:r>
              <w:rPr>
                <w:rFonts w:hint="eastAsia" w:ascii="宋体" w:hAnsi="宋体" w:eastAsia="宋体" w:cs="宋体"/>
                <w:sz w:val="24"/>
              </w:rPr>
              <w:t>调研</w:t>
            </w:r>
            <w:r>
              <w:rPr>
                <w:rFonts w:hint="eastAsia" w:ascii="宋体" w:hAnsi="宋体" w:eastAsia="宋体" w:cs="宋体"/>
                <w:sz w:val="24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4"/>
                </w:rPr>
                <w:id w:val="-41687572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</w:rPr>
              <w:t>分</w:t>
            </w:r>
            <w:r>
              <w:rPr>
                <w:rFonts w:hint="eastAsia" w:ascii="宋体" w:hAnsi="宋体" w:eastAsia="宋体" w:cs="宋体"/>
                <w:spacing w:val="-3"/>
                <w:sz w:val="24"/>
              </w:rPr>
              <w:t>析</w:t>
            </w:r>
            <w:r>
              <w:rPr>
                <w:rFonts w:hint="eastAsia" w:ascii="宋体" w:hAnsi="宋体" w:eastAsia="宋体" w:cs="宋体"/>
                <w:sz w:val="24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4"/>
              </w:rPr>
              <w:t>会</w:t>
            </w:r>
            <w:r>
              <w:rPr>
                <w:rFonts w:hint="eastAsia" w:ascii="宋体" w:hAnsi="宋体" w:eastAsia="宋体" w:cs="宋体"/>
                <w:sz w:val="24"/>
              </w:rPr>
              <w:t>议</w:t>
            </w:r>
          </w:p>
          <w:p>
            <w:pPr>
              <w:pStyle w:val="13"/>
              <w:tabs>
                <w:tab w:val="left" w:pos="2418"/>
              </w:tabs>
              <w:ind w:left="107"/>
              <w:rPr>
                <w:rFonts w:hint="eastAsia" w:ascii="宋体" w:hAnsi="宋体" w:eastAsia="宋体" w:cs="宋体"/>
                <w:sz w:val="24"/>
              </w:rPr>
            </w:pPr>
            <w:sdt>
              <w:sdtPr>
                <w:rPr>
                  <w:rFonts w:hint="eastAsia" w:ascii="宋体" w:hAnsi="宋体" w:eastAsia="宋体" w:cs="宋体"/>
                  <w:sz w:val="24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</w:rPr>
              <w:t>媒</w:t>
            </w:r>
            <w:r>
              <w:rPr>
                <w:rFonts w:hint="eastAsia" w:ascii="宋体" w:hAnsi="宋体" w:eastAsia="宋体" w:cs="宋体"/>
                <w:spacing w:val="-3"/>
                <w:sz w:val="24"/>
              </w:rPr>
              <w:t>体</w:t>
            </w:r>
            <w:r>
              <w:rPr>
                <w:rFonts w:hint="eastAsia" w:ascii="宋体" w:hAnsi="宋体" w:eastAsia="宋体" w:cs="宋体"/>
                <w:sz w:val="24"/>
              </w:rPr>
              <w:t>采访</w:t>
            </w:r>
            <w:r>
              <w:rPr>
                <w:rFonts w:hint="eastAsia" w:ascii="宋体" w:hAnsi="宋体" w:eastAsia="宋体" w:cs="宋体"/>
                <w:sz w:val="24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4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  <w:lang w:val="zh-CN" w:bidi="zh-CN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4"/>
              </w:rPr>
              <w:t>绩</w:t>
            </w:r>
            <w:r>
              <w:rPr>
                <w:rFonts w:hint="eastAsia" w:ascii="宋体" w:hAnsi="宋体" w:eastAsia="宋体" w:cs="宋体"/>
                <w:sz w:val="24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4"/>
              </w:rPr>
              <w:t>明</w:t>
            </w:r>
            <w:r>
              <w:rPr>
                <w:rFonts w:hint="eastAsia" w:ascii="宋体" w:hAnsi="宋体" w:eastAsia="宋体" w:cs="宋体"/>
                <w:sz w:val="24"/>
              </w:rPr>
              <w:t>会</w:t>
            </w:r>
          </w:p>
          <w:p>
            <w:pPr>
              <w:pStyle w:val="13"/>
              <w:tabs>
                <w:tab w:val="left" w:pos="2418"/>
              </w:tabs>
              <w:ind w:left="107"/>
              <w:rPr>
                <w:rFonts w:hint="eastAsia" w:ascii="宋体" w:hAnsi="宋体" w:eastAsia="宋体" w:cs="宋体"/>
                <w:sz w:val="24"/>
              </w:rPr>
            </w:pPr>
            <w:sdt>
              <w:sdtPr>
                <w:rPr>
                  <w:rFonts w:hint="eastAsia" w:ascii="宋体" w:hAnsi="宋体" w:eastAsia="宋体" w:cs="宋体"/>
                  <w:sz w:val="24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</w:rPr>
              <w:t>新</w:t>
            </w:r>
            <w:r>
              <w:rPr>
                <w:rFonts w:hint="eastAsia" w:ascii="宋体" w:hAnsi="宋体" w:eastAsia="宋体" w:cs="宋体"/>
                <w:spacing w:val="-3"/>
                <w:sz w:val="24"/>
              </w:rPr>
              <w:t>闻</w:t>
            </w:r>
            <w:r>
              <w:rPr>
                <w:rFonts w:hint="eastAsia" w:ascii="宋体" w:hAnsi="宋体" w:eastAsia="宋体" w:cs="宋体"/>
                <w:sz w:val="24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4"/>
              </w:rPr>
              <w:t>布</w:t>
            </w:r>
            <w:r>
              <w:rPr>
                <w:rFonts w:hint="eastAsia" w:ascii="宋体" w:hAnsi="宋体" w:eastAsia="宋体" w:cs="宋体"/>
                <w:sz w:val="24"/>
              </w:rPr>
              <w:t>会</w:t>
            </w:r>
            <w:r>
              <w:rPr>
                <w:rFonts w:hint="eastAsia" w:ascii="宋体" w:hAnsi="宋体" w:eastAsia="宋体" w:cs="宋体"/>
                <w:sz w:val="24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4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4"/>
              </w:rPr>
              <w:t>演</w:t>
            </w:r>
            <w:r>
              <w:rPr>
                <w:rFonts w:hint="eastAsia" w:ascii="宋体" w:hAnsi="宋体" w:eastAsia="宋体" w:cs="宋体"/>
                <w:sz w:val="24"/>
              </w:rPr>
              <w:t>活动</w:t>
            </w:r>
          </w:p>
          <w:p>
            <w:pPr>
              <w:pStyle w:val="13"/>
              <w:ind w:left="107"/>
              <w:rPr>
                <w:rFonts w:asciiTheme="minorEastAsia" w:hAnsiTheme="minorEastAsia" w:cstheme="minorEastAsia"/>
                <w:kern w:val="0"/>
                <w:sz w:val="24"/>
              </w:rPr>
            </w:pPr>
            <w:sdt>
              <w:sdtPr>
                <w:rPr>
                  <w:rFonts w:hint="eastAsia" w:ascii="宋体" w:hAnsi="宋体" w:eastAsia="宋体" w:cs="宋体"/>
                  <w:sz w:val="24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</w:rPr>
              <w:t xml:space="preserve">现场参观          </w:t>
            </w:r>
            <w:sdt>
              <w:sdtPr>
                <w:rPr>
                  <w:rFonts w:hint="eastAsia" w:ascii="宋体" w:hAnsi="宋体" w:eastAsia="宋体" w:cs="宋体"/>
                  <w:sz w:val="24"/>
                </w:rPr>
                <w:id w:val="400885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4"/>
                </w:rPr>
              </w:sdtEndPr>
              <w:sdtContent>
                <w:r>
                  <w:rPr>
                    <w:rFonts w:hint="eastAsia" w:ascii="宋体" w:hAnsi="宋体" w:eastAsia="宋体" w:cs="宋体"/>
                    <w:sz w:val="24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vAlign w:val="center"/>
          </w:tcPr>
          <w:p>
            <w:pPr>
              <w:spacing w:line="360" w:lineRule="auto"/>
              <w:rPr>
                <w:rFonts w:asciiTheme="minorEastAsia" w:hAnsi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</w:rPr>
              <w:t>参与单位名称及人员姓名</w:t>
            </w:r>
          </w:p>
        </w:tc>
        <w:tc>
          <w:tcPr>
            <w:tcW w:w="6477" w:type="dxa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sz w:val="24"/>
              </w:rPr>
              <w:t>中邮证券 费晨洪；东方财富证券 马小萱、梅宇鑫；申银万国证券 任杰、浩勒、蔡悦灵；方正证券 林建东；华泰证券 杨文韬、苏海斌；华西证券 李彬；中邮保险资管 齐翔；国泰海通证券 张涛；中金财富证券 杨玉梅；杭州城投 周炜；中财招商投资 应如等</w:t>
            </w:r>
            <w:r>
              <w:rPr>
                <w:rFonts w:asciiTheme="minorEastAsia" w:hAnsiTheme="minorEastAsia" w:cstheme="minorEastAsia"/>
                <w:kern w:val="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2045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</w:rPr>
              <w:t>时间</w:t>
            </w:r>
          </w:p>
        </w:tc>
        <w:tc>
          <w:tcPr>
            <w:tcW w:w="6477" w:type="dxa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sz w:val="24"/>
              </w:rPr>
              <w:t>202</w:t>
            </w:r>
            <w:r>
              <w:rPr>
                <w:rFonts w:asciiTheme="minorEastAsia" w:hAnsiTheme="minorEastAsia" w:cstheme="minorEastAsia"/>
                <w:sz w:val="24"/>
              </w:rPr>
              <w:t>6</w:t>
            </w:r>
            <w:r>
              <w:rPr>
                <w:rFonts w:hint="eastAsia" w:asciiTheme="minorEastAsia" w:hAnsiTheme="minorEastAsia" w:cstheme="minorEastAsia"/>
                <w:sz w:val="24"/>
              </w:rPr>
              <w:t>年</w:t>
            </w:r>
            <w:r>
              <w:rPr>
                <w:rFonts w:asciiTheme="minorEastAsia" w:hAnsiTheme="minorEastAsia" w:cstheme="minorEastAsia"/>
                <w:sz w:val="24"/>
              </w:rPr>
              <w:t>10</w:t>
            </w:r>
            <w:r>
              <w:rPr>
                <w:rFonts w:hint="eastAsia" w:asciiTheme="minorEastAsia" w:hAnsiTheme="minorEastAsia" w:cstheme="minorEastAsia"/>
                <w:sz w:val="24"/>
              </w:rPr>
              <w:t>月1</w:t>
            </w:r>
            <w:r>
              <w:rPr>
                <w:rFonts w:asciiTheme="minorEastAsia" w:hAnsiTheme="minorEastAsia" w:cstheme="minorEastAsia"/>
                <w:sz w:val="24"/>
              </w:rPr>
              <w:t>4</w:t>
            </w:r>
            <w:r>
              <w:rPr>
                <w:rFonts w:hint="eastAsia" w:asciiTheme="minorEastAsia" w:hAnsiTheme="minorEastAsia" w:cs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</w:rPr>
              <w:t>地点</w:t>
            </w:r>
          </w:p>
        </w:tc>
        <w:tc>
          <w:tcPr>
            <w:tcW w:w="6477" w:type="dxa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三维股份杭州分公司会议室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vAlign w:val="center"/>
          </w:tcPr>
          <w:p>
            <w:pPr>
              <w:spacing w:line="360" w:lineRule="auto"/>
              <w:rPr>
                <w:rFonts w:asciiTheme="minorEastAsia" w:hAnsi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</w:rPr>
              <w:t>上市公司接待人员姓名</w:t>
            </w:r>
          </w:p>
        </w:tc>
        <w:tc>
          <w:tcPr>
            <w:tcW w:w="6477" w:type="dxa"/>
          </w:tcPr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副总经理 叶泓开</w:t>
            </w: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副总经理、财务总监 李帅红</w:t>
            </w: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董事会秘书 程沧</w:t>
            </w:r>
          </w:p>
          <w:p>
            <w:pPr>
              <w:spacing w:line="360" w:lineRule="auto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投资者关系总监 刘晓帆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vAlign w:val="center"/>
          </w:tcPr>
          <w:p>
            <w:pPr>
              <w:spacing w:line="360" w:lineRule="auto"/>
              <w:rPr>
                <w:rFonts w:asciiTheme="minorEastAsia" w:hAnsiTheme="minorEastAsia" w:cstheme="minorEastAsia"/>
                <w:b/>
                <w:bCs/>
                <w:kern w:val="0"/>
                <w:sz w:val="24"/>
              </w:rPr>
            </w:pPr>
            <w:bookmarkStart w:id="0" w:name="_Hlk242797929"/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</w:rPr>
              <w:t>投资者关系活动主要内容介绍</w:t>
            </w:r>
          </w:p>
        </w:tc>
        <w:tc>
          <w:tcPr>
            <w:tcW w:w="6477" w:type="dxa"/>
          </w:tcPr>
          <w:p>
            <w:pPr>
              <w:spacing w:line="36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1、近期BDO市场价格已突破万元关口，请问公司如何看待本轮涨价行情？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根据隆众资讯，10月份最新BDO华东散水价格最高报价10</w:t>
            </w:r>
            <w:r>
              <w:rPr>
                <w:rFonts w:hint="eastAsia" w:ascii="宋体" w:hAnsi="宋体" w:eastAsia="宋体" w:cs="宋体"/>
                <w:sz w:val="24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sz w:val="24"/>
                <w:lang w:bidi="ar"/>
              </w:rPr>
              <w:t>400元/吨，较7月初上涨约35%。本轮涨价行情主要受成本托底、供给收缩、需求回暖、供方挺价等多重利好推动。成本端，甲醇、电石等核心原材料价格上行，行业成本压力增加、多数企业亏损，企业挺价意愿较强；供给端，行业整体开工负荷维持低位，多地装置进入阶段性检修、降负周期，社会库存处于低位，货源供应偏紧；需求端，随着“金九”旺季到来，下游刚需采购逐步跟进。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公司并不单纯依赖产品价格上行来修复盈利：一方面，公司持续推进的电石炉尾气制氢、余热回收、泵类增效节电等降本技改项目正在逐步落地；另一方面，公司乌海基地具备煤炭、石灰石、电力等区位资源优势，一体化产业链的协同效应在行业波动期更能体现成本韧性。我们对BDO业务盈利能力的逐步改善保持信心。谢谢。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</w:p>
          <w:p>
            <w:pPr>
              <w:spacing w:line="36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2、请问公司三季度整体经营情况如何？对四季度有何预期？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关于三季度经营情况，公司将于2026年第三季度报告中按照监管规定及时、准确披露，敬请关注后续公告。从行业和经营层面看，公司BDO业务受行业价格波动及项目转固后折旧增加影响仍面临阶段性压力，但公司整体经营保持稳定，传统橡胶、轨交业务持续贡献稳定利润与现金流，是公司穿越周期的压舱石；同时，BDO价格自7月以来持续回升，公司电石炉尾气制氢等降本技改项目已陆续投产达效，余热回收、泵类增效节电等项目正持续推进，BDO生产成本有望逐步下降。公司管理层对经营状况的逐步改善保持信心，但市场供需、产品价格等存在不确定性，具体经营数据请以公司定期报告为准。谢谢。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</w:p>
          <w:p>
            <w:pPr>
              <w:spacing w:line="36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3、请问公司的核心竞争优势主要体现在哪些方面？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公司围绕“化工</w:t>
            </w:r>
            <w:r>
              <w:rPr>
                <w:rFonts w:hint="eastAsia" w:ascii="宋体" w:hAnsi="宋体" w:eastAsia="宋体" w:cs="宋体"/>
                <w:sz w:val="24"/>
                <w:lang w:val="en-US" w:eastAsia="zh-CN" w:bidi="ar"/>
              </w:rPr>
              <w:t>+</w:t>
            </w:r>
            <w:r>
              <w:rPr>
                <w:rFonts w:hint="eastAsia" w:ascii="宋体" w:hAnsi="宋体" w:eastAsia="宋体" w:cs="宋体"/>
                <w:sz w:val="24"/>
                <w:lang w:bidi="ar"/>
              </w:rPr>
              <w:t>交通”两大领域布局，核心竞争优势主要体现在三个方面：一是橡胶化工业务具备结构性护城河，公司深耕输送带、V带领域逾三十年，是全国唯一两类产品产销量连续多年位居行业前十的企业，累计多项发明专利并参与多项国家和行业标准制定，毛利率长期稳定，客户覆盖国家能源、中煤集团、宝武钢铁、海螺水泥、中国电建等大型企业；二是轨道交通业务具备资质与区域壁垒，公司为国铁集团认证定点生产企业，产品已获CRCC、CURC认证，多基地布局配套铁路专用线形成区域壁垒；三是BDO</w:t>
            </w:r>
            <w:r>
              <w:rPr>
                <w:rFonts w:hint="eastAsia" w:ascii="宋体" w:hAnsi="宋体" w:eastAsia="宋体" w:cs="宋体"/>
                <w:sz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sz w:val="24"/>
                <w:lang w:bidi="ar"/>
              </w:rPr>
              <w:t>电石业务具备资源与准入壁垒，公司乌海基地煤、石灰石、电力资源丰富，电石产能完全自给，且内蒙古</w:t>
            </w:r>
            <w:r>
              <w:rPr>
                <w:rFonts w:hint="eastAsia" w:ascii="宋体" w:hAnsi="宋体" w:eastAsia="宋体" w:cs="宋体"/>
                <w:sz w:val="24"/>
                <w:lang w:eastAsia="zh-CN" w:bidi="ar"/>
              </w:rPr>
              <w:t>自治区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sz w:val="24"/>
                <w:lang w:bidi="ar"/>
              </w:rPr>
              <w:t>自2021年起不再审批新增电石、兰炭产能，一体化成本优势帮助公司平稳度过行业周期底部。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总体来看，公司橡胶化工、轨道交通业务提供稳定的利润与现金流，是公司的基本盘；BDO业务则提供业绩向上弹性，随着BDO价格回暖叠加技改降本，BDO亏损有望收窄并转盈。长期来看，公司将持续做精橡胶、做大轨交、做强新材料，构建化工与交通两大领域协同发展的业务格局。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</w:p>
          <w:p>
            <w:pPr>
              <w:spacing w:line="36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4、目前公司BDO业务的开工情况如何？销售机制介绍？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开工方面，目前处于满产运行状态。销售以合约为主、现货为辅；定价参考ICIS（安迅思）平台市场价，采取按月均价结算的方式，即以每月20日至次月20日作为一个结算周期，价格随行就市。在结算方式上，贸易商客户以预付货款为主，大型客户视资信情况采用月结方式。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</w:p>
          <w:p>
            <w:pPr>
              <w:spacing w:line="36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5、公司此前已实施股份回购，请问是否有员工持股计划或股权激励的安排，预计何时推出？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公司此前公告的回购股份用途为员工持股计划或股权激励，目前尚未制定明确的激励方案。若未来推出相关方案，公司将严格按照相关规定履行董事会、股东会审议程序并及时履行信息披露义务，具体时间安排及方案内容请以公司正式公告为准。公司也将结合经营实际，统筹考虑多元化激励约束机制，促进公司价值与股东利益的协同增长。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 w:eastAsia="宋体" w:cs="宋体"/>
                <w:sz w:val="24"/>
                <w:lang w:bidi="ar"/>
              </w:rPr>
            </w:pPr>
          </w:p>
          <w:p>
            <w:pPr>
              <w:spacing w:line="360" w:lineRule="auto"/>
              <w:ind w:firstLine="482" w:firstLineChars="200"/>
              <w:rPr>
                <w:rFonts w:hint="eastAsia" w:ascii="宋体" w:hAnsi="宋体" w:eastAsia="宋体" w:cs="宋体"/>
                <w:b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bidi="ar"/>
              </w:rPr>
              <w:t>6、公司资产负债率较高，未来是否有再融资等资本运作计划？</w:t>
            </w:r>
          </w:p>
          <w:p>
            <w:pPr>
              <w:spacing w:line="360" w:lineRule="auto"/>
              <w:ind w:firstLine="480" w:firstLineChars="200"/>
              <w:rPr>
                <w:rFonts w:ascii="Times New Roman" w:hAnsi="Times New Roman" w:eastAsia="宋体" w:cs="Times New Roman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lang w:bidi="ar"/>
              </w:rPr>
              <w:t>公司当前资产负债率相对较高，主要与BDO一体化项目前期的重资产投入及项目贷款有关，属于阶段性特征。公司降负债的核心思路是通过经营改善实现内生修复：一方面推动BDO业务减亏、提升盈利能力，持续增厚所有者权益；另一方面依托橡胶、轨交等传统业务持续贡献的稳定利润与现金流，并不断优化债务结构、严控资本开支节奏。关于融资安排，公司将结合经营需要、资本市场环境和监管要求综合评估，如后续有相关计划，将严格履行审议程序并及时履行信息披露义务，请以公司正式公告为准。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</w:rPr>
              <w:t>附件清单（如有）</w:t>
            </w:r>
          </w:p>
        </w:tc>
        <w:tc>
          <w:tcPr>
            <w:tcW w:w="6477" w:type="dxa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5" w:type="dxa"/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cstheme="minorEastAsia"/>
                <w:b/>
                <w:bCs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kern w:val="0"/>
                <w:sz w:val="24"/>
              </w:rPr>
              <w:t>日期</w:t>
            </w:r>
          </w:p>
        </w:tc>
        <w:tc>
          <w:tcPr>
            <w:tcW w:w="6477" w:type="dxa"/>
          </w:tcPr>
          <w:p>
            <w:pPr>
              <w:spacing w:line="360" w:lineRule="auto"/>
              <w:jc w:val="left"/>
              <w:rPr>
                <w:rFonts w:asciiTheme="minorEastAsia" w:hAnsiTheme="minorEastAsia" w:cstheme="minorEastAsia"/>
                <w:kern w:val="0"/>
                <w:sz w:val="24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202</w:t>
            </w:r>
            <w:r>
              <w:rPr>
                <w:rFonts w:asciiTheme="minorEastAsia" w:hAnsiTheme="minorEastAsia" w:cstheme="minorEastAsia"/>
                <w:kern w:val="0"/>
                <w:sz w:val="24"/>
              </w:rPr>
              <w:t>6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年</w:t>
            </w:r>
            <w:r>
              <w:rPr>
                <w:rFonts w:asciiTheme="minorEastAsia" w:hAnsiTheme="minorEastAsia" w:cstheme="minorEastAsia"/>
                <w:kern w:val="0"/>
                <w:sz w:val="24"/>
              </w:rPr>
              <w:t>10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月1</w:t>
            </w:r>
            <w:r>
              <w:rPr>
                <w:rFonts w:asciiTheme="minorEastAsia" w:hAnsiTheme="minorEastAsia" w:cstheme="minorEastAsia"/>
                <w:kern w:val="0"/>
                <w:sz w:val="24"/>
              </w:rPr>
              <w:t>4</w:t>
            </w:r>
            <w:r>
              <w:rPr>
                <w:rFonts w:hint="eastAsia" w:asciiTheme="minorEastAsia" w:hAnsiTheme="minorEastAsia" w:cstheme="minorEastAsia"/>
                <w:kern w:val="0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F31"/>
    <w:rsid w:val="00012D47"/>
    <w:rsid w:val="00016474"/>
    <w:rsid w:val="00017459"/>
    <w:rsid w:val="00020DAB"/>
    <w:rsid w:val="000277FF"/>
    <w:rsid w:val="00033933"/>
    <w:rsid w:val="00034316"/>
    <w:rsid w:val="00042493"/>
    <w:rsid w:val="00066762"/>
    <w:rsid w:val="000835B9"/>
    <w:rsid w:val="00083DB1"/>
    <w:rsid w:val="000A1473"/>
    <w:rsid w:val="000B7072"/>
    <w:rsid w:val="000D0FF0"/>
    <w:rsid w:val="000D7989"/>
    <w:rsid w:val="000F7B67"/>
    <w:rsid w:val="001029FD"/>
    <w:rsid w:val="00112696"/>
    <w:rsid w:val="001136FF"/>
    <w:rsid w:val="00130CE4"/>
    <w:rsid w:val="00130F57"/>
    <w:rsid w:val="00137EF2"/>
    <w:rsid w:val="00147CAC"/>
    <w:rsid w:val="0015227A"/>
    <w:rsid w:val="0015489F"/>
    <w:rsid w:val="0015745D"/>
    <w:rsid w:val="0018424C"/>
    <w:rsid w:val="00197DFC"/>
    <w:rsid w:val="001A296A"/>
    <w:rsid w:val="001C21DB"/>
    <w:rsid w:val="001D369D"/>
    <w:rsid w:val="00203E1D"/>
    <w:rsid w:val="00222DBA"/>
    <w:rsid w:val="002331BA"/>
    <w:rsid w:val="0023656E"/>
    <w:rsid w:val="002620E1"/>
    <w:rsid w:val="00272C27"/>
    <w:rsid w:val="00272F85"/>
    <w:rsid w:val="002766B9"/>
    <w:rsid w:val="002A28A6"/>
    <w:rsid w:val="002A4945"/>
    <w:rsid w:val="002A7D31"/>
    <w:rsid w:val="002B1005"/>
    <w:rsid w:val="002B1A68"/>
    <w:rsid w:val="002C0C84"/>
    <w:rsid w:val="002C1A8A"/>
    <w:rsid w:val="002C4D09"/>
    <w:rsid w:val="002D1503"/>
    <w:rsid w:val="002E2642"/>
    <w:rsid w:val="002F155B"/>
    <w:rsid w:val="002F3FD4"/>
    <w:rsid w:val="00316E6D"/>
    <w:rsid w:val="0031758C"/>
    <w:rsid w:val="003176F9"/>
    <w:rsid w:val="003254FC"/>
    <w:rsid w:val="00335F30"/>
    <w:rsid w:val="00340416"/>
    <w:rsid w:val="0034102E"/>
    <w:rsid w:val="00341F81"/>
    <w:rsid w:val="00342AD0"/>
    <w:rsid w:val="00343930"/>
    <w:rsid w:val="003478CA"/>
    <w:rsid w:val="00356C0E"/>
    <w:rsid w:val="0037038B"/>
    <w:rsid w:val="003873C5"/>
    <w:rsid w:val="003A3E31"/>
    <w:rsid w:val="003B5B3A"/>
    <w:rsid w:val="003C0A25"/>
    <w:rsid w:val="003C192A"/>
    <w:rsid w:val="003D23C6"/>
    <w:rsid w:val="003D37F1"/>
    <w:rsid w:val="003D75F9"/>
    <w:rsid w:val="003E2AE7"/>
    <w:rsid w:val="003E3D0B"/>
    <w:rsid w:val="003F355B"/>
    <w:rsid w:val="003F5F85"/>
    <w:rsid w:val="00401314"/>
    <w:rsid w:val="00402996"/>
    <w:rsid w:val="00421F6C"/>
    <w:rsid w:val="004339E4"/>
    <w:rsid w:val="004413E8"/>
    <w:rsid w:val="0046159D"/>
    <w:rsid w:val="004615DC"/>
    <w:rsid w:val="004620CC"/>
    <w:rsid w:val="00463FD1"/>
    <w:rsid w:val="004761A2"/>
    <w:rsid w:val="004819C6"/>
    <w:rsid w:val="00483944"/>
    <w:rsid w:val="00496117"/>
    <w:rsid w:val="00496429"/>
    <w:rsid w:val="004A7273"/>
    <w:rsid w:val="004D29A5"/>
    <w:rsid w:val="0050213F"/>
    <w:rsid w:val="005131A3"/>
    <w:rsid w:val="0052378A"/>
    <w:rsid w:val="00524D07"/>
    <w:rsid w:val="005540A6"/>
    <w:rsid w:val="005705C7"/>
    <w:rsid w:val="00581225"/>
    <w:rsid w:val="005816C2"/>
    <w:rsid w:val="0059293E"/>
    <w:rsid w:val="005B3669"/>
    <w:rsid w:val="005B5071"/>
    <w:rsid w:val="005C0232"/>
    <w:rsid w:val="005C3EAD"/>
    <w:rsid w:val="005D4BC8"/>
    <w:rsid w:val="005F187D"/>
    <w:rsid w:val="005F3BBD"/>
    <w:rsid w:val="005F3D84"/>
    <w:rsid w:val="0060105B"/>
    <w:rsid w:val="00613134"/>
    <w:rsid w:val="006248B5"/>
    <w:rsid w:val="00632DF0"/>
    <w:rsid w:val="00641064"/>
    <w:rsid w:val="00644880"/>
    <w:rsid w:val="0065286F"/>
    <w:rsid w:val="00666B08"/>
    <w:rsid w:val="00682F31"/>
    <w:rsid w:val="00696493"/>
    <w:rsid w:val="006A2EDD"/>
    <w:rsid w:val="006B1C4A"/>
    <w:rsid w:val="006B4E8D"/>
    <w:rsid w:val="006C7B29"/>
    <w:rsid w:val="006D48BA"/>
    <w:rsid w:val="006E1895"/>
    <w:rsid w:val="006E66B3"/>
    <w:rsid w:val="006F23FE"/>
    <w:rsid w:val="00705716"/>
    <w:rsid w:val="00717965"/>
    <w:rsid w:val="00752104"/>
    <w:rsid w:val="00755653"/>
    <w:rsid w:val="00762F11"/>
    <w:rsid w:val="00767BAE"/>
    <w:rsid w:val="00786EBB"/>
    <w:rsid w:val="007C56AC"/>
    <w:rsid w:val="007E7AC6"/>
    <w:rsid w:val="008164C1"/>
    <w:rsid w:val="008219C6"/>
    <w:rsid w:val="00822BF5"/>
    <w:rsid w:val="008350AD"/>
    <w:rsid w:val="008404F1"/>
    <w:rsid w:val="00842357"/>
    <w:rsid w:val="00846A4D"/>
    <w:rsid w:val="00852180"/>
    <w:rsid w:val="0088026D"/>
    <w:rsid w:val="00881A58"/>
    <w:rsid w:val="00886CF3"/>
    <w:rsid w:val="008B50D4"/>
    <w:rsid w:val="008C3900"/>
    <w:rsid w:val="008C7972"/>
    <w:rsid w:val="008D0D81"/>
    <w:rsid w:val="008F23C3"/>
    <w:rsid w:val="009305EC"/>
    <w:rsid w:val="00940A18"/>
    <w:rsid w:val="0094124B"/>
    <w:rsid w:val="00950CB8"/>
    <w:rsid w:val="00955DAA"/>
    <w:rsid w:val="00972E51"/>
    <w:rsid w:val="00977B78"/>
    <w:rsid w:val="00984D66"/>
    <w:rsid w:val="009A0D47"/>
    <w:rsid w:val="009E118B"/>
    <w:rsid w:val="009E5302"/>
    <w:rsid w:val="009E6481"/>
    <w:rsid w:val="009E7C4C"/>
    <w:rsid w:val="009F4437"/>
    <w:rsid w:val="00A00A6F"/>
    <w:rsid w:val="00A20768"/>
    <w:rsid w:val="00A36DDB"/>
    <w:rsid w:val="00A51613"/>
    <w:rsid w:val="00A544EB"/>
    <w:rsid w:val="00A55A44"/>
    <w:rsid w:val="00A66AC3"/>
    <w:rsid w:val="00A7266C"/>
    <w:rsid w:val="00A74983"/>
    <w:rsid w:val="00A82DAD"/>
    <w:rsid w:val="00A8593A"/>
    <w:rsid w:val="00A90910"/>
    <w:rsid w:val="00A95F2F"/>
    <w:rsid w:val="00AB3D11"/>
    <w:rsid w:val="00AE1494"/>
    <w:rsid w:val="00AF6965"/>
    <w:rsid w:val="00B10EF4"/>
    <w:rsid w:val="00B14588"/>
    <w:rsid w:val="00B24BDB"/>
    <w:rsid w:val="00B312BE"/>
    <w:rsid w:val="00B408EB"/>
    <w:rsid w:val="00B4097C"/>
    <w:rsid w:val="00B629B0"/>
    <w:rsid w:val="00B640A8"/>
    <w:rsid w:val="00B65D8C"/>
    <w:rsid w:val="00B737AD"/>
    <w:rsid w:val="00B8180D"/>
    <w:rsid w:val="00B95238"/>
    <w:rsid w:val="00BA1DE6"/>
    <w:rsid w:val="00BA1F3B"/>
    <w:rsid w:val="00BB4A22"/>
    <w:rsid w:val="00BC6381"/>
    <w:rsid w:val="00BD55A7"/>
    <w:rsid w:val="00BF2666"/>
    <w:rsid w:val="00C16040"/>
    <w:rsid w:val="00C220F7"/>
    <w:rsid w:val="00C2744A"/>
    <w:rsid w:val="00C45902"/>
    <w:rsid w:val="00C54732"/>
    <w:rsid w:val="00C56354"/>
    <w:rsid w:val="00C66A03"/>
    <w:rsid w:val="00C70187"/>
    <w:rsid w:val="00C746C1"/>
    <w:rsid w:val="00C749DE"/>
    <w:rsid w:val="00CB59FE"/>
    <w:rsid w:val="00CD1752"/>
    <w:rsid w:val="00CE5BCF"/>
    <w:rsid w:val="00D0003E"/>
    <w:rsid w:val="00D12A4F"/>
    <w:rsid w:val="00D25B9D"/>
    <w:rsid w:val="00D3397B"/>
    <w:rsid w:val="00D45569"/>
    <w:rsid w:val="00D52234"/>
    <w:rsid w:val="00D54971"/>
    <w:rsid w:val="00D6469C"/>
    <w:rsid w:val="00D816EA"/>
    <w:rsid w:val="00DA6AA2"/>
    <w:rsid w:val="00DB1CC6"/>
    <w:rsid w:val="00DB3C83"/>
    <w:rsid w:val="00DC7F7A"/>
    <w:rsid w:val="00DD226D"/>
    <w:rsid w:val="00E14961"/>
    <w:rsid w:val="00E176B3"/>
    <w:rsid w:val="00E24041"/>
    <w:rsid w:val="00E36416"/>
    <w:rsid w:val="00E63422"/>
    <w:rsid w:val="00E667F8"/>
    <w:rsid w:val="00E679A9"/>
    <w:rsid w:val="00E76FB1"/>
    <w:rsid w:val="00E81256"/>
    <w:rsid w:val="00E813CA"/>
    <w:rsid w:val="00E9697C"/>
    <w:rsid w:val="00EA2866"/>
    <w:rsid w:val="00EA52EF"/>
    <w:rsid w:val="00EA68C9"/>
    <w:rsid w:val="00EC133D"/>
    <w:rsid w:val="00EC1742"/>
    <w:rsid w:val="00EC545C"/>
    <w:rsid w:val="00EC6825"/>
    <w:rsid w:val="00EF3307"/>
    <w:rsid w:val="00F05716"/>
    <w:rsid w:val="00F1391B"/>
    <w:rsid w:val="00F16C96"/>
    <w:rsid w:val="00F32C1F"/>
    <w:rsid w:val="00F4160B"/>
    <w:rsid w:val="00F501B8"/>
    <w:rsid w:val="00F85CB6"/>
    <w:rsid w:val="00F9106B"/>
    <w:rsid w:val="00FA0C99"/>
    <w:rsid w:val="00FB23DE"/>
    <w:rsid w:val="00FB6C19"/>
    <w:rsid w:val="00FD766A"/>
    <w:rsid w:val="00FF0040"/>
    <w:rsid w:val="0353342F"/>
    <w:rsid w:val="046A25CD"/>
    <w:rsid w:val="0C012D8F"/>
    <w:rsid w:val="0D0F131E"/>
    <w:rsid w:val="0D912286"/>
    <w:rsid w:val="103E2346"/>
    <w:rsid w:val="12883727"/>
    <w:rsid w:val="14800DBF"/>
    <w:rsid w:val="14C16EC3"/>
    <w:rsid w:val="14F81DCF"/>
    <w:rsid w:val="15590953"/>
    <w:rsid w:val="16016B48"/>
    <w:rsid w:val="174238E7"/>
    <w:rsid w:val="174628D3"/>
    <w:rsid w:val="18607424"/>
    <w:rsid w:val="1E0E0231"/>
    <w:rsid w:val="1EAB168B"/>
    <w:rsid w:val="1EAC512C"/>
    <w:rsid w:val="2298569F"/>
    <w:rsid w:val="230B2896"/>
    <w:rsid w:val="234C5ED9"/>
    <w:rsid w:val="2872353B"/>
    <w:rsid w:val="2AF13AB4"/>
    <w:rsid w:val="2EB6442C"/>
    <w:rsid w:val="2F3B43CB"/>
    <w:rsid w:val="2F8E2741"/>
    <w:rsid w:val="32C53982"/>
    <w:rsid w:val="333D0DFF"/>
    <w:rsid w:val="33E7446D"/>
    <w:rsid w:val="353B486A"/>
    <w:rsid w:val="3A7975FB"/>
    <w:rsid w:val="3B9F2782"/>
    <w:rsid w:val="3D6E7B38"/>
    <w:rsid w:val="3DD61D33"/>
    <w:rsid w:val="3EE161E9"/>
    <w:rsid w:val="418D0338"/>
    <w:rsid w:val="421B6045"/>
    <w:rsid w:val="4269670B"/>
    <w:rsid w:val="42D1094E"/>
    <w:rsid w:val="42FB1252"/>
    <w:rsid w:val="47782CC2"/>
    <w:rsid w:val="47A31488"/>
    <w:rsid w:val="4A6320FC"/>
    <w:rsid w:val="4C531F86"/>
    <w:rsid w:val="4CBA771C"/>
    <w:rsid w:val="4DFA27BC"/>
    <w:rsid w:val="51373C68"/>
    <w:rsid w:val="518F24E8"/>
    <w:rsid w:val="51C01E3C"/>
    <w:rsid w:val="54700B18"/>
    <w:rsid w:val="55592280"/>
    <w:rsid w:val="5B3F0B5A"/>
    <w:rsid w:val="639367E6"/>
    <w:rsid w:val="64BF61A9"/>
    <w:rsid w:val="676B3662"/>
    <w:rsid w:val="6D100BEE"/>
    <w:rsid w:val="6D2B0F5F"/>
    <w:rsid w:val="71C55295"/>
    <w:rsid w:val="71CA2942"/>
    <w:rsid w:val="72C01FF7"/>
    <w:rsid w:val="73FA6D7A"/>
    <w:rsid w:val="74DF0F4C"/>
    <w:rsid w:val="75A5314B"/>
    <w:rsid w:val="76074109"/>
    <w:rsid w:val="76C4765F"/>
    <w:rsid w:val="78620369"/>
    <w:rsid w:val="7ABB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rPr>
      <w:rFonts w:ascii="宋体" w:hAnsi="宋体" w:eastAsia="宋体" w:cs="宋体"/>
      <w:sz w:val="24"/>
      <w:lang w:eastAsia="en-US"/>
    </w:r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6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4"/>
    <w:qFormat/>
    <w:uiPriority w:val="99"/>
    <w:rPr>
      <w:sz w:val="18"/>
      <w:szCs w:val="18"/>
    </w:rPr>
  </w:style>
  <w:style w:type="character" w:customStyle="1" w:styleId="11">
    <w:name w:val="批注框文本 字符"/>
    <w:basedOn w:val="6"/>
    <w:link w:val="3"/>
    <w:semiHidden/>
    <w:qFormat/>
    <w:uiPriority w:val="99"/>
    <w:rPr>
      <w:sz w:val="18"/>
      <w:szCs w:val="18"/>
    </w:rPr>
  </w:style>
  <w:style w:type="paragraph" w:customStyle="1" w:styleId="12">
    <w:name w:val="_Style 107"/>
    <w:basedOn w:val="1"/>
    <w:qFormat/>
    <w:uiPriority w:val="0"/>
    <w:rPr>
      <w:rFonts w:ascii="Times New Roman" w:hAnsi="Times New Roman" w:eastAsia="宋体" w:cs="Times New Roman"/>
      <w:szCs w:val="21"/>
    </w:rPr>
  </w:style>
  <w:style w:type="paragraph" w:customStyle="1" w:styleId="13">
    <w:name w:val="Table Paragraph"/>
    <w:basedOn w:val="1"/>
    <w:qFormat/>
    <w:uiPriority w:val="1"/>
  </w:style>
  <w:style w:type="paragraph" w:customStyle="1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333</Words>
  <Characters>1899</Characters>
  <Lines>15</Lines>
  <Paragraphs>4</Paragraphs>
  <ScaleCrop>false</ScaleCrop>
  <LinksUpToDate>false</LinksUpToDate>
  <CharactersWithSpaces>2228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2021-09-09T06:49:00Z</dcterms:created>
  <dc:creator>admin</dc:creator>
  <cp:lastModifiedBy>三维股份张雷</cp:lastModifiedBy>
  <dcterms:modified xsi:type="dcterms:W3CDTF">2026-10-15T00:06:47Z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2CF16B7666374A9497BA5C2B90ECB633</vt:lpwstr>
  </property>
  <property fmtid="{D5CDD505-2E9C-101B-9397-08002B2CF9AE}" pid="4" name="KSOTemplateDocerSaveRecord">
    <vt:lpwstr>eyJoZGlkIjoiNjZhYTI5Y2E5MWJiMWNjOWJkNTM3YzJhMGE0NzEwNzUiLCJ1c2VySWQiOiIyODM3MDc4MDgifQ==</vt:lpwstr>
  </property>
</Properties>
</file>