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6F80B">
      <w:pPr>
        <w:rPr>
          <w:rFonts w:hint="eastAsia"/>
          <w:bCs/>
        </w:rPr>
      </w:pPr>
      <w:bookmarkStart w:id="1" w:name="_GoBack"/>
      <w:bookmarkEnd w:id="1"/>
      <w:r>
        <w:rPr>
          <w:rFonts w:hint="eastAsia"/>
          <w:bCs/>
        </w:rPr>
        <w:t>证券代码：</w:t>
      </w:r>
      <w:r>
        <w:rPr>
          <w:rFonts w:hint="eastAsia" w:ascii="Times New Roman" w:hAnsi="Times New Roman" w:cs="Times New Roman"/>
          <w:bCs/>
        </w:rPr>
        <w:t>603345</w:t>
      </w:r>
      <w:r>
        <w:rPr>
          <w:rFonts w:hint="eastAsia"/>
          <w:bCs/>
        </w:rPr>
        <w:t xml:space="preserve">                                </w:t>
      </w:r>
      <w:r>
        <w:rPr>
          <w:bCs/>
        </w:rPr>
        <w:t xml:space="preserve"> </w:t>
      </w:r>
      <w:r>
        <w:rPr>
          <w:rFonts w:hint="eastAsia"/>
          <w:bCs/>
        </w:rPr>
        <w:t xml:space="preserve">  证券简称：安井食品</w:t>
      </w:r>
    </w:p>
    <w:p w14:paraId="7546F80C">
      <w:pPr>
        <w:rPr>
          <w:rFonts w:hint="eastAsia"/>
        </w:rPr>
      </w:pPr>
    </w:p>
    <w:p w14:paraId="012F4714">
      <w:pPr>
        <w:jc w:val="center"/>
        <w:rPr>
          <w:rFonts w:hint="eastAsia"/>
          <w:b/>
          <w:sz w:val="32"/>
          <w:szCs w:val="32"/>
        </w:rPr>
      </w:pPr>
      <w:r>
        <w:rPr>
          <w:rFonts w:hint="eastAsia"/>
          <w:b/>
          <w:sz w:val="32"/>
          <w:szCs w:val="32"/>
        </w:rPr>
        <w:t>安井食品集团股份有限公司</w:t>
      </w:r>
    </w:p>
    <w:p w14:paraId="7546F80E">
      <w:pPr>
        <w:jc w:val="center"/>
        <w:rPr>
          <w:rFonts w:hint="eastAsia"/>
          <w:b/>
          <w:sz w:val="32"/>
          <w:szCs w:val="32"/>
        </w:rPr>
      </w:pPr>
      <w:r>
        <w:rPr>
          <w:rFonts w:hint="eastAsia"/>
          <w:b/>
          <w:sz w:val="32"/>
          <w:szCs w:val="32"/>
        </w:rPr>
        <w:t>投资者调研记录表</w:t>
      </w:r>
      <w:r>
        <w:rPr>
          <w:b/>
          <w:sz w:val="32"/>
          <w:szCs w:val="32"/>
        </w:rPr>
        <w:t xml:space="preserve"> </w:t>
      </w:r>
    </w:p>
    <w:p w14:paraId="7546F80F">
      <w:pPr>
        <w:ind w:firstLine="5966" w:firstLineChars="2830"/>
        <w:rPr>
          <w:rFonts w:hint="eastAsia"/>
          <w:b/>
          <w:sz w:val="21"/>
          <w:szCs w:val="21"/>
        </w:rPr>
      </w:pPr>
    </w:p>
    <w:tbl>
      <w:tblPr>
        <w:tblStyle w:val="10"/>
        <w:tblW w:w="8789"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229"/>
      </w:tblGrid>
      <w:tr w14:paraId="7546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60" w:type="dxa"/>
          </w:tcPr>
          <w:p w14:paraId="7546F810">
            <w:pPr>
              <w:spacing w:line="360" w:lineRule="auto"/>
              <w:jc w:val="center"/>
              <w:rPr>
                <w:rFonts w:hint="eastAsia"/>
              </w:rPr>
            </w:pPr>
          </w:p>
          <w:p w14:paraId="7546F811">
            <w:pPr>
              <w:spacing w:line="360" w:lineRule="auto"/>
              <w:jc w:val="center"/>
              <w:rPr>
                <w:rFonts w:hint="eastAsia"/>
              </w:rPr>
            </w:pPr>
            <w:r>
              <w:rPr>
                <w:rFonts w:hint="eastAsia"/>
              </w:rPr>
              <w:t>投资者关系活动类别</w:t>
            </w:r>
          </w:p>
        </w:tc>
        <w:tc>
          <w:tcPr>
            <w:tcW w:w="7229" w:type="dxa"/>
          </w:tcPr>
          <w:p w14:paraId="7546F812">
            <w:pPr>
              <w:spacing w:line="360" w:lineRule="auto"/>
              <w:jc w:val="left"/>
              <w:rPr>
                <w:rFonts w:hint="eastAsia"/>
              </w:rPr>
            </w:pPr>
            <w:r>
              <w:rPr>
                <w:rFonts w:hint="eastAsia"/>
              </w:rPr>
              <w:t xml:space="preserve">□特定对象调研       </w:t>
            </w:r>
            <w:r>
              <w:t xml:space="preserve"> </w:t>
            </w:r>
            <w:r>
              <w:rPr/>
              <w:sym w:font="Wingdings 2" w:char="00A3"/>
            </w:r>
            <w:r>
              <w:t>分析师会议</w:t>
            </w:r>
          </w:p>
          <w:p w14:paraId="7546F813">
            <w:pPr>
              <w:spacing w:line="360" w:lineRule="auto"/>
              <w:jc w:val="left"/>
              <w:rPr>
                <w:rFonts w:hint="eastAsia"/>
              </w:rPr>
            </w:pPr>
            <w:r>
              <w:rPr>
                <w:rFonts w:hint="eastAsia"/>
                <w:lang w:eastAsia="zh-CN"/>
              </w:rPr>
              <w:t>□</w:t>
            </w:r>
            <w:r>
              <w:rPr>
                <w:rFonts w:hint="eastAsia"/>
              </w:rPr>
              <w:t xml:space="preserve">媒体采访           </w:t>
            </w:r>
            <w:r>
              <w:t xml:space="preserve"> </w:t>
            </w:r>
            <w:r>
              <w:rPr/>
              <w:sym w:font="Wingdings 2" w:char="00A3"/>
            </w:r>
            <w:r>
              <w:t>业绩说明会</w:t>
            </w:r>
          </w:p>
          <w:p w14:paraId="7546F814">
            <w:pPr>
              <w:spacing w:line="360" w:lineRule="auto"/>
              <w:jc w:val="left"/>
              <w:rPr>
                <w:rFonts w:hint="eastAsia"/>
              </w:rPr>
            </w:pPr>
            <w:r>
              <w:rPr>
                <w:rFonts w:hint="eastAsia"/>
              </w:rPr>
              <w:t xml:space="preserve">□新闻发布会         </w:t>
            </w:r>
            <w:r>
              <w:t xml:space="preserve"> </w:t>
            </w:r>
            <w:r>
              <w:rPr/>
              <w:sym w:font="Wingdings 2" w:char="0052"/>
            </w:r>
            <w:r>
              <w:t>路演活动</w:t>
            </w:r>
          </w:p>
          <w:p w14:paraId="7546F815">
            <w:pPr>
              <w:spacing w:line="360" w:lineRule="auto"/>
              <w:jc w:val="left"/>
              <w:rPr>
                <w:rFonts w:hint="eastAsia" w:eastAsia="宋体"/>
                <w:u w:val="single"/>
                <w:lang w:eastAsia="zh-CN"/>
              </w:rPr>
            </w:pPr>
            <w:r>
              <w:rPr>
                <w:rFonts w:hint="eastAsia"/>
              </w:rPr>
              <w:t xml:space="preserve">□现场参观            </w:t>
            </w:r>
            <w:r>
              <w:rPr>
                <w:rFonts w:hint="eastAsia" w:ascii="Times New Roman" w:hAnsi="Times New Roman" w:cs="Times New Roman"/>
              </w:rPr>
              <w:sym w:font="Wingdings 2" w:char="0052"/>
            </w:r>
            <w:r>
              <w:rPr>
                <w:rFonts w:hint="eastAsia"/>
              </w:rPr>
              <w:t>其他</w:t>
            </w:r>
          </w:p>
        </w:tc>
      </w:tr>
      <w:tr w14:paraId="754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60" w:type="dxa"/>
          </w:tcPr>
          <w:p w14:paraId="7546F817">
            <w:pPr>
              <w:spacing w:line="360" w:lineRule="auto"/>
              <w:ind w:firstLine="480" w:firstLineChars="200"/>
              <w:rPr>
                <w:rFonts w:hint="eastAsia"/>
              </w:rPr>
            </w:pPr>
            <w:r>
              <w:rPr>
                <w:rFonts w:hint="eastAsia"/>
              </w:rPr>
              <w:t>时间</w:t>
            </w:r>
          </w:p>
        </w:tc>
        <w:tc>
          <w:tcPr>
            <w:tcW w:w="7229" w:type="dxa"/>
          </w:tcPr>
          <w:p w14:paraId="7546F818">
            <w:pPr>
              <w:spacing w:line="360" w:lineRule="auto"/>
              <w:jc w:val="left"/>
              <w:rPr>
                <w:rFonts w:hint="eastAsia"/>
              </w:rPr>
            </w:pPr>
            <w:r>
              <w:rPr>
                <w:rFonts w:hint="eastAsia" w:ascii="Times New Roman" w:hAnsi="Times New Roman" w:cs="Times New Roman"/>
              </w:rPr>
              <w:t>202</w:t>
            </w:r>
            <w:r>
              <w:rPr>
                <w:rFonts w:hint="eastAsia" w:ascii="Times New Roman" w:hAnsi="Times New Roman" w:cs="Times New Roman"/>
                <w:lang w:val="en-US" w:eastAsia="zh-CN"/>
              </w:rPr>
              <w:t>6</w:t>
            </w:r>
            <w:r>
              <w:rPr>
                <w:rFonts w:hint="eastAsia"/>
              </w:rPr>
              <w:t>年</w:t>
            </w:r>
            <w:r>
              <w:rPr>
                <w:rFonts w:hint="eastAsia" w:ascii="Times New Roman" w:hAnsi="Times New Roman" w:cs="Times New Roman"/>
                <w:lang w:val="en-US" w:eastAsia="zh-CN"/>
              </w:rPr>
              <w:t>9</w:t>
            </w:r>
            <w:r>
              <w:rPr>
                <w:rFonts w:hint="eastAsia"/>
              </w:rPr>
              <w:t>月</w:t>
            </w:r>
          </w:p>
        </w:tc>
      </w:tr>
      <w:tr w14:paraId="7546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560" w:type="dxa"/>
          </w:tcPr>
          <w:p w14:paraId="7546F81A">
            <w:pPr>
              <w:spacing w:line="360" w:lineRule="auto"/>
              <w:rPr>
                <w:rFonts w:hint="eastAsia"/>
              </w:rPr>
            </w:pPr>
            <w:r>
              <w:rPr>
                <w:rFonts w:hint="eastAsia"/>
              </w:rPr>
              <w:t>上市公司接待人员姓名</w:t>
            </w:r>
          </w:p>
        </w:tc>
        <w:tc>
          <w:tcPr>
            <w:tcW w:w="7229" w:type="dxa"/>
            <w:vAlign w:val="center"/>
          </w:tcPr>
          <w:p w14:paraId="083E0619">
            <w:pPr>
              <w:spacing w:line="360" w:lineRule="auto"/>
              <w:rPr>
                <w:rFonts w:hint="eastAsia"/>
              </w:rPr>
            </w:pPr>
            <w:r>
              <w:rPr>
                <w:rFonts w:hint="eastAsia"/>
              </w:rPr>
              <w:t>总经理：张清苗；财务总监：唐奕；董事会秘书：梁晨</w:t>
            </w:r>
          </w:p>
          <w:p w14:paraId="7546F81B">
            <w:pPr>
              <w:spacing w:line="360" w:lineRule="auto"/>
              <w:rPr>
                <w:rFonts w:hint="default" w:eastAsia="宋体"/>
                <w:lang w:val="en-US" w:eastAsia="zh-CN"/>
              </w:rPr>
            </w:pPr>
            <w:r>
              <w:rPr>
                <w:rFonts w:hint="eastAsia"/>
                <w:lang w:val="en-US" w:eastAsia="zh-CN"/>
              </w:rPr>
              <w:t>证券事务代表：王庆祝；IR：李兰兰</w:t>
            </w:r>
          </w:p>
        </w:tc>
      </w:tr>
      <w:tr w14:paraId="7546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1560" w:type="dxa"/>
            <w:vAlign w:val="center"/>
          </w:tcPr>
          <w:p w14:paraId="7546F81D">
            <w:pPr>
              <w:spacing w:line="360" w:lineRule="auto"/>
              <w:rPr>
                <w:rFonts w:hint="eastAsia"/>
              </w:rPr>
            </w:pPr>
            <w:r>
              <w:rPr>
                <w:rFonts w:hint="eastAsia"/>
              </w:rPr>
              <w:t>投资者关注的主要问题</w:t>
            </w:r>
          </w:p>
        </w:tc>
        <w:tc>
          <w:tcPr>
            <w:tcW w:w="7229" w:type="dxa"/>
          </w:tcPr>
          <w:p w14:paraId="5F0A0A0A">
            <w:pPr>
              <w:pStyle w:val="20"/>
              <w:widowControl w:val="0"/>
              <w:numPr>
                <w:ilvl w:val="0"/>
                <w:numId w:val="0"/>
              </w:numPr>
              <w:spacing w:before="93" w:beforeLines="30" w:after="93" w:afterLines="30" w:line="360" w:lineRule="auto"/>
              <w:ind w:firstLine="482" w:firstLineChars="200"/>
              <w:jc w:val="both"/>
              <w:rPr>
                <w:rFonts w:hint="default" w:ascii="Times New Roman" w:hAnsi="Times New Roman" w:eastAsia="宋体" w:cs="Times New Roman"/>
                <w:b/>
                <w:bCs/>
                <w:kern w:val="2"/>
                <w:lang w:val="en-US" w:eastAsia="zh-CN"/>
              </w:rPr>
            </w:pPr>
            <w:bookmarkStart w:id="0" w:name="7311-1598268907905"/>
            <w:bookmarkEnd w:id="0"/>
            <w:r>
              <w:rPr>
                <w:rFonts w:hint="eastAsia" w:ascii="Times New Roman" w:hAnsi="Times New Roman" w:eastAsia="宋体" w:cs="Times New Roman"/>
                <w:b/>
                <w:bCs/>
                <w:kern w:val="2"/>
                <w:sz w:val="24"/>
                <w:szCs w:val="24"/>
                <w:lang w:val="en-US" w:eastAsia="zh-CN" w:bidi="ar-SA"/>
              </w:rPr>
              <w:t>1</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公司未来</w:t>
            </w:r>
            <w:r>
              <w:rPr>
                <w:rFonts w:hint="default" w:ascii="Times New Roman" w:hAnsi="Times New Roman" w:eastAsia="宋体" w:cs="Times New Roman"/>
                <w:b/>
                <w:bCs/>
                <w:kern w:val="2"/>
                <w:sz w:val="24"/>
                <w:szCs w:val="24"/>
                <w:lang w:val="en-US" w:eastAsia="zh-CN" w:bidi="ar-SA"/>
              </w:rPr>
              <w:t>3</w:t>
            </w:r>
            <w:r>
              <w:rPr>
                <w:rFonts w:hint="eastAsia"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bCs/>
                <w:kern w:val="2"/>
                <w:sz w:val="24"/>
                <w:szCs w:val="24"/>
                <w:lang w:val="en-US" w:eastAsia="zh-CN" w:bidi="ar-SA"/>
              </w:rPr>
              <w:t>5</w:t>
            </w:r>
            <w:r>
              <w:rPr>
                <w:rFonts w:hint="eastAsia" w:ascii="Times New Roman" w:hAnsi="Times New Roman" w:eastAsia="宋体" w:cs="Times New Roman"/>
                <w:b/>
                <w:bCs/>
                <w:kern w:val="2"/>
                <w:sz w:val="24"/>
                <w:szCs w:val="24"/>
                <w:lang w:val="en-US" w:eastAsia="zh-CN" w:bidi="ar-SA"/>
              </w:rPr>
              <w:t>年肠类、清真食品、冷冻烘焙的营收占比如何规划？海外业务预计何时能实质性贡献利润？</w:t>
            </w:r>
          </w:p>
          <w:p w14:paraId="7EB5FCF1">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eastAsia="zh-CN"/>
              </w:rPr>
            </w:pPr>
            <w:r>
              <w:rPr>
                <w:rFonts w:hint="default" w:ascii="Times New Roman" w:hAnsi="Times New Roman" w:eastAsia="宋体" w:cs="Times New Roman"/>
                <w:kern w:val="2"/>
                <w:lang w:eastAsia="zh-CN"/>
              </w:rPr>
              <w:t>基于烤肠板块广阔成长空间，公司今年对烤肠类产品做进一步聚焦，整合统筹为肠类制品，定位为主业的第三大板块；清真品牌“安斋”目前仍处于市场培育和渠道建设阶段；冷冻烘焙赛道本身具备市场规模大、增长速度快、行业集中度低、毛利率可观且竞争格局尚属蓝海的显著特点，具备广阔的市场拓展空间，目前公司冷冻烘焙业务依托新式茶饮、合作商超渠道稳步放量，增长符合预期。未来3</w:t>
            </w:r>
            <w:r>
              <w:rPr>
                <w:rFonts w:hint="eastAsia" w:ascii="Times New Roman" w:hAnsi="Times New Roman" w:eastAsia="宋体" w:cs="Times New Roman"/>
                <w:kern w:val="2"/>
                <w:lang w:val="en-US" w:eastAsia="zh-CN"/>
              </w:rPr>
              <w:t>-</w:t>
            </w:r>
            <w:r>
              <w:rPr>
                <w:rFonts w:hint="default" w:ascii="Times New Roman" w:hAnsi="Times New Roman" w:eastAsia="宋体" w:cs="Times New Roman"/>
                <w:kern w:val="2"/>
                <w:lang w:eastAsia="zh-CN"/>
              </w:rPr>
              <w:t>5年的上述业务收入占比将根据不同业务的产品竞争力、渠道渗透率、盈利能力等动态变化。</w:t>
            </w:r>
          </w:p>
          <w:p w14:paraId="73E0869B">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val="en-US" w:eastAsia="zh-CN"/>
              </w:rPr>
            </w:pPr>
            <w:r>
              <w:rPr>
                <w:rFonts w:hint="default" w:ascii="Times New Roman" w:hAnsi="Times New Roman" w:eastAsia="宋体" w:cs="Times New Roman"/>
                <w:kern w:val="2"/>
                <w:lang w:eastAsia="zh-CN"/>
              </w:rPr>
              <w:t>公司将海外市场作为长期战略的重要组成部分，目前正稳步推进东南亚市场的本地化布局，已披露设立印度尼西亚合资公司相关公告。从产能建设、产品导入到渠道培育和产能爬坡需要一定周期，因此海外业务短期内仍以</w:t>
            </w:r>
            <w:r>
              <w:rPr>
                <w:rFonts w:hint="eastAsia" w:ascii="Times New Roman" w:hAnsi="Times New Roman" w:eastAsia="宋体" w:cs="Times New Roman"/>
                <w:kern w:val="2"/>
                <w:lang w:val="en-US" w:eastAsia="zh-CN"/>
              </w:rPr>
              <w:t>产能</w:t>
            </w:r>
            <w:r>
              <w:rPr>
                <w:rFonts w:hint="default" w:ascii="Times New Roman" w:hAnsi="Times New Roman" w:eastAsia="宋体" w:cs="Times New Roman"/>
                <w:kern w:val="2"/>
                <w:lang w:eastAsia="zh-CN"/>
              </w:rPr>
              <w:t>建设和市场开拓为主，利润贡献预计将是一个逐步释放的过程。</w:t>
            </w:r>
          </w:p>
          <w:p w14:paraId="018021FF">
            <w:pPr>
              <w:pStyle w:val="20"/>
              <w:widowControl w:val="0"/>
              <w:numPr>
                <w:ilvl w:val="0"/>
                <w:numId w:val="0"/>
              </w:numPr>
              <w:spacing w:before="93" w:beforeLines="30" w:after="93" w:afterLines="30" w:line="360" w:lineRule="auto"/>
              <w:ind w:firstLine="482" w:firstLineChars="200"/>
              <w:jc w:val="both"/>
              <w:rPr>
                <w:rFonts w:hint="eastAsia" w:ascii="Times New Roman" w:hAnsi="Times New Roman" w:eastAsia="宋体" w:cs="Times New Roman"/>
                <w:b/>
                <w:bCs/>
                <w:kern w:val="2"/>
                <w:lang w:eastAsia="zh-CN"/>
              </w:rPr>
            </w:pPr>
            <w:r>
              <w:rPr>
                <w:rFonts w:hint="eastAsia" w:ascii="Times New Roman" w:hAnsi="Times New Roman" w:eastAsia="宋体" w:cs="Times New Roman"/>
                <w:b/>
                <w:bCs/>
                <w:kern w:val="2"/>
                <w:sz w:val="24"/>
                <w:szCs w:val="24"/>
                <w:lang w:val="en-US" w:eastAsia="zh-CN" w:bidi="ar-SA"/>
              </w:rPr>
              <w:t>2</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lang w:eastAsia="zh-CN"/>
              </w:rPr>
              <w:t>下半年在应对鱼糜供应趋紧和成本上行方面，公司有哪些具体的财务对冲与采购保障措施？</w:t>
            </w:r>
          </w:p>
          <w:p w14:paraId="1257621A">
            <w:pPr>
              <w:pStyle w:val="20"/>
              <w:widowControl w:val="0"/>
              <w:numPr>
                <w:ilvl w:val="0"/>
                <w:numId w:val="0"/>
              </w:numPr>
              <w:spacing w:before="93" w:beforeLines="30" w:after="93" w:afterLines="30" w:line="360" w:lineRule="auto"/>
              <w:ind w:firstLine="480" w:firstLineChars="200"/>
              <w:jc w:val="both"/>
              <w:rPr>
                <w:rFonts w:hint="default" w:ascii="Times New Roman" w:hAnsi="Times New Roman" w:eastAsia="宋体" w:cs="Times New Roman"/>
                <w:kern w:val="2"/>
                <w:lang w:val="en-US" w:eastAsia="zh-CN"/>
              </w:rPr>
            </w:pPr>
            <w:r>
              <w:rPr>
                <w:rFonts w:hint="default" w:ascii="Times New Roman" w:hAnsi="Times New Roman" w:eastAsia="宋体" w:cs="Times New Roman"/>
                <w:kern w:val="2"/>
                <w:lang w:val="en-US" w:eastAsia="zh-CN"/>
              </w:rPr>
              <w:t>针对鱼糜供应趋紧及成本上涨，公司将依托</w:t>
            </w:r>
            <w:r>
              <w:rPr>
                <w:rFonts w:hint="default" w:ascii="Times New Roman" w:hAnsi="Times New Roman" w:eastAsia="宋体" w:cs="Times New Roman"/>
                <w:kern w:val="2"/>
                <w:lang w:eastAsia="zh-CN"/>
              </w:rPr>
              <w:t>收购</w:t>
            </w:r>
            <w:r>
              <w:rPr>
                <w:rFonts w:hint="eastAsia" w:ascii="Times New Roman" w:hAnsi="Times New Roman" w:eastAsia="宋体" w:cs="Times New Roman"/>
                <w:kern w:val="2"/>
                <w:lang w:val="en-US" w:eastAsia="zh-CN"/>
              </w:rPr>
              <w:t>的</w:t>
            </w:r>
            <w:r>
              <w:rPr>
                <w:rFonts w:hint="default" w:ascii="Times New Roman" w:hAnsi="Times New Roman" w:eastAsia="宋体" w:cs="Times New Roman"/>
                <w:kern w:val="2"/>
                <w:lang w:eastAsia="zh-CN"/>
              </w:rPr>
              <w:t>新宏业、新柳伍持续夯实上游淡水鱼浆的供应安全与价格稳定</w:t>
            </w:r>
            <w:r>
              <w:rPr>
                <w:rFonts w:hint="eastAsia" w:ascii="Times New Roman" w:hAnsi="Times New Roman" w:eastAsia="宋体" w:cs="Times New Roman"/>
                <w:kern w:val="2"/>
                <w:lang w:eastAsia="zh-CN"/>
              </w:rPr>
              <w:t>，</w:t>
            </w:r>
            <w:r>
              <w:rPr>
                <w:rFonts w:hint="default" w:ascii="Times New Roman" w:hAnsi="Times New Roman" w:eastAsia="宋体" w:cs="Times New Roman"/>
                <w:kern w:val="2"/>
                <w:lang w:val="en-US" w:eastAsia="zh-CN"/>
              </w:rPr>
              <w:t>集团水产事业部加强统筹管理和资源协同，优先保障集团内部生产需求，并对鱼糜对外销售实施统一管理，进一步强化供应保障，并通过技术研发与工艺改良提高淡水鱼糜的出品率，合理安排采购及库存规模、统筹产销节奏，发挥公司在原料获取和成本控制方面的相对优势。</w:t>
            </w:r>
          </w:p>
          <w:p w14:paraId="1A8A5527">
            <w:pPr>
              <w:pStyle w:val="20"/>
              <w:widowControl w:val="0"/>
              <w:numPr>
                <w:ilvl w:val="0"/>
                <w:numId w:val="0"/>
              </w:numPr>
              <w:spacing w:before="93" w:beforeLines="30" w:after="93" w:afterLines="30" w:line="360" w:lineRule="auto"/>
              <w:ind w:firstLine="480" w:firstLineChars="200"/>
              <w:jc w:val="both"/>
              <w:rPr>
                <w:rFonts w:hint="eastAsia" w:ascii="Times New Roman" w:hAnsi="Times New Roman" w:eastAsia="宋体" w:cs="Times New Roman"/>
                <w:kern w:val="2"/>
                <w:lang w:eastAsia="zh-CN"/>
              </w:rPr>
            </w:pPr>
            <w:r>
              <w:rPr>
                <w:rFonts w:hint="default" w:ascii="Times New Roman" w:hAnsi="Times New Roman" w:eastAsia="宋体" w:cs="Times New Roman"/>
                <w:kern w:val="2"/>
                <w:lang w:val="en-US" w:eastAsia="zh-CN"/>
              </w:rPr>
              <w:t>同时，财务端将持续跟踪原材料价格、库存周转及产品毛利变化，销售端将结合市场情况逐步收窄促销力度，缓解原材料成本上涨带来的压力，努力保持经营稳定。</w:t>
            </w:r>
            <w:r>
              <w:rPr>
                <w:rFonts w:hint="default" w:ascii="Times New Roman" w:hAnsi="Times New Roman" w:eastAsia="宋体" w:cs="Times New Roman"/>
                <w:b/>
                <w:bCs/>
                <w:kern w:val="2"/>
                <w:sz w:val="24"/>
                <w:szCs w:val="24"/>
                <w:lang w:val="en-US" w:eastAsia="zh-CN" w:bidi="ar-SA"/>
              </w:rPr>
              <w:br w:type="textWrapping"/>
            </w:r>
            <w:r>
              <w:rPr>
                <w:rFonts w:hint="eastAsia" w:ascii="Times New Roman" w:hAnsi="Times New Roman" w:eastAsia="宋体" w:cs="Times New Roman"/>
                <w:b/>
                <w:bCs/>
                <w:kern w:val="2"/>
                <w:sz w:val="24"/>
                <w:szCs w:val="24"/>
                <w:lang w:val="en-US" w:eastAsia="zh-CN" w:bidi="ar-SA"/>
              </w:rPr>
              <w:t xml:space="preserve">    3.目前公司在小B端的标准是什么，在市场开发有哪些安排？上半年小B端市场表现如何？未来有哪些进一步的布局？</w:t>
            </w:r>
            <w:r>
              <w:rPr>
                <w:rFonts w:hint="eastAsia" w:ascii="Times New Roman" w:hAnsi="Times New Roman" w:eastAsia="宋体" w:cs="Times New Roman"/>
                <w:b/>
                <w:bCs/>
                <w:kern w:val="2"/>
                <w:lang w:val="en-US" w:eastAsia="zh-CN"/>
              </w:rPr>
              <w:br w:type="textWrapping"/>
            </w:r>
            <w:r>
              <w:rPr>
                <w:rFonts w:hint="eastAsia" w:ascii="Times New Roman" w:hAnsi="Times New Roman" w:eastAsia="宋体" w:cs="Times New Roman"/>
                <w:b/>
                <w:bCs/>
                <w:kern w:val="2"/>
                <w:lang w:val="en-US" w:eastAsia="zh-CN"/>
              </w:rPr>
              <w:t xml:space="preserve">   </w:t>
            </w:r>
            <w:r>
              <w:rPr>
                <w:rFonts w:hint="eastAsia" w:ascii="Times New Roman" w:hAnsi="Times New Roman" w:eastAsia="宋体" w:cs="Times New Roman"/>
                <w:kern w:val="2"/>
                <w:lang w:val="en-US" w:eastAsia="zh-CN"/>
              </w:rPr>
              <w:t xml:space="preserve"> </w:t>
            </w:r>
            <w:r>
              <w:rPr>
                <w:rFonts w:hint="eastAsia" w:ascii="Times New Roman" w:hAnsi="Times New Roman" w:eastAsia="宋体" w:cs="Times New Roman"/>
                <w:kern w:val="2"/>
                <w:lang w:eastAsia="zh-CN"/>
              </w:rPr>
              <w:t>公司所指的小B端，主要是以夫妻店、社区餐饮、麻辣烫、关东煮、卤味熟食、旅游景区等相对分散的终端客户为主，这类客户单体规模不大，但数量多、场景丰富、对产品适配度和供应稳定性要求较高。小B端一直是公司传统优势渠道之一，公司长期依托经销商体系进行覆盖，并通过丰富产品矩阵、提高终端渗透率和加强经销商赋能持续深耕。今年上半年，公司在小B相关场景持续推进产品和渠道开发。</w:t>
            </w:r>
          </w:p>
          <w:p w14:paraId="3FEF1295">
            <w:pPr>
              <w:pStyle w:val="20"/>
              <w:widowControl w:val="0"/>
              <w:numPr>
                <w:ilvl w:val="0"/>
                <w:numId w:val="0"/>
              </w:numPr>
              <w:spacing w:before="93" w:beforeLines="30" w:after="93" w:afterLines="30" w:line="360" w:lineRule="auto"/>
              <w:ind w:firstLine="480" w:firstLineChars="200"/>
              <w:jc w:val="both"/>
              <w:rPr>
                <w:rFonts w:hint="default" w:ascii="Times New Roman" w:hAnsi="Times New Roman" w:eastAsia="宋体" w:cs="Times New Roman"/>
                <w:kern w:val="2"/>
                <w:lang w:val="en-US" w:eastAsia="zh-CN"/>
              </w:rPr>
            </w:pPr>
            <w:r>
              <w:rPr>
                <w:rFonts w:hint="eastAsia" w:ascii="Times New Roman" w:hAnsi="Times New Roman" w:eastAsia="宋体" w:cs="Times New Roman"/>
                <w:kern w:val="2"/>
                <w:lang w:eastAsia="zh-CN"/>
              </w:rPr>
              <w:t>未来，公司仍将坚持“BC兼顾、全渠发力”的渠道策略，一方面继续依托现有经销商网络做深终端覆盖，通过星级终端建设、数字化工具、短视频营销等方式提升经销商开发和服务终端的能力；另一方面将围绕不同消费场景开发更适配的规格、口味和产品组合，提高单个终端的品项渗透率。公司也会进一步发挥在开放式小B渠道的经验和资源优势，持续提升小B市场的覆盖深度和经营效率。</w:t>
            </w:r>
          </w:p>
          <w:p w14:paraId="0FBA1C69">
            <w:pPr>
              <w:pStyle w:val="20"/>
              <w:widowControl w:val="0"/>
              <w:numPr>
                <w:ilvl w:val="0"/>
                <w:numId w:val="0"/>
              </w:numPr>
              <w:spacing w:before="93" w:beforeLines="30" w:after="93" w:afterLines="30" w:line="360" w:lineRule="auto"/>
              <w:ind w:firstLine="482" w:firstLineChars="200"/>
              <w:jc w:val="both"/>
              <w:rPr>
                <w:rFonts w:hint="default" w:ascii="Times New Roman" w:hAnsi="Times New Roman" w:eastAsia="宋体" w:cs="Times New Roman"/>
                <w:b/>
                <w:bCs/>
                <w:kern w:val="2"/>
                <w:lang w:val="en-US" w:eastAsia="zh-CN"/>
              </w:rPr>
            </w:pPr>
            <w:r>
              <w:rPr>
                <w:rFonts w:hint="eastAsia" w:ascii="Times New Roman" w:hAnsi="Times New Roman" w:eastAsia="宋体" w:cs="Times New Roman"/>
                <w:b/>
                <w:bCs/>
                <w:kern w:val="2"/>
                <w:sz w:val="24"/>
                <w:szCs w:val="24"/>
                <w:lang w:val="en-US" w:eastAsia="zh-CN" w:bidi="ar-SA"/>
              </w:rPr>
              <w:t>4</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公司如何复盘新宏业、新柳伍并购的收获与挑战？面向预制菜赛道，公司后续并购和投资策略会有哪些考量？</w:t>
            </w:r>
          </w:p>
          <w:p w14:paraId="414B8EA6">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eastAsia="zh-CN"/>
              </w:rPr>
            </w:pPr>
            <w:r>
              <w:rPr>
                <w:rFonts w:hint="default" w:ascii="Times New Roman" w:hAnsi="Times New Roman" w:eastAsia="宋体" w:cs="Times New Roman"/>
                <w:kern w:val="2"/>
                <w:lang w:eastAsia="zh-CN"/>
              </w:rPr>
              <w:t xml:space="preserve"> 公司收购新柳伍、新宏业，一方面借助其在小龙虾等水产品领域的优势切入水产预制菜赛道，另一方面也看中新柳伍、新宏业在淡水鱼糜上游供应体系的保障地位。站在当前节点，这项并购在产业协同方面发挥了积极作用，特别是在当前鱼糜供应趋紧、成本上行的背景下，新宏业、新柳伍对公司淡水鱼糜的供应安全和价格相对趋稳形成了较好的保障。</w:t>
            </w:r>
          </w:p>
          <w:p w14:paraId="38520A5B">
            <w:pPr>
              <w:pStyle w:val="3"/>
              <w:widowControl w:val="0"/>
              <w:spacing w:before="93" w:beforeLines="30" w:after="93" w:afterLines="30" w:line="360" w:lineRule="auto"/>
              <w:ind w:firstLine="480" w:firstLineChars="200"/>
              <w:jc w:val="both"/>
              <w:rPr>
                <w:rFonts w:hint="default" w:ascii="Times New Roman" w:hAnsi="Times New Roman" w:eastAsia="宋体" w:cs="Times New Roman"/>
                <w:kern w:val="2"/>
                <w:lang w:eastAsia="zh-CN"/>
              </w:rPr>
            </w:pPr>
            <w:r>
              <w:rPr>
                <w:rFonts w:hint="default" w:ascii="Times New Roman" w:hAnsi="Times New Roman" w:eastAsia="宋体" w:cs="Times New Roman"/>
                <w:kern w:val="2"/>
                <w:lang w:eastAsia="zh-CN"/>
              </w:rPr>
              <w:t>未来在预制菜赛道，公司将关注标的企业与公司现有业务在原料供应、产品品类、渠道资源、研发能力、生产工艺及管理体系等方面能否形成真正的产业协同，对符合公司长期战略、具备较好产业基础和协同价值的投资机会保持关注，稳步推进相关布局。</w:t>
            </w:r>
          </w:p>
          <w:p w14:paraId="7546F831">
            <w:pPr>
              <w:widowControl/>
              <w:jc w:val="left"/>
              <w:rPr>
                <w:rFonts w:hint="eastAsia"/>
              </w:rPr>
            </w:pPr>
            <w:r>
              <w:rPr>
                <w:rStyle w:val="17"/>
                <w:rFonts w:hint="eastAsia" w:ascii="楷体" w:hAnsi="楷体" w:eastAsia="楷体" w:cs="楷体"/>
                <w:i w:val="0"/>
                <w:iCs w:val="0"/>
                <w:color w:val="000000"/>
                <w14:textFill>
                  <w14:solidFill>
                    <w14:srgbClr w14:val="000000">
                      <w14:lumMod w14:val="75000"/>
                      <w14:lumOff w14:val="25000"/>
                    </w14:srgbClr>
                  </w14:solidFill>
                </w14:textFill>
              </w:rPr>
              <w:t>上述调研会议，公司与投资者进行了交流与沟通，严格依照相关管理制度及规定执行，保证信息披露的真实、准确、完整、及时、公平，未出现未公开重大信息泄露等情况。</w:t>
            </w:r>
          </w:p>
        </w:tc>
      </w:tr>
      <w:tr w14:paraId="7546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560" w:type="dxa"/>
          </w:tcPr>
          <w:p w14:paraId="7546F833">
            <w:pPr>
              <w:spacing w:line="360" w:lineRule="auto"/>
              <w:jc w:val="center"/>
              <w:rPr>
                <w:rFonts w:hint="eastAsia"/>
              </w:rPr>
            </w:pPr>
            <w:r>
              <w:rPr>
                <w:rFonts w:hint="eastAsia" w:cs="宋体"/>
                <w:kern w:val="0"/>
              </w:rPr>
              <w:t>参与单位名称及人员姓名</w:t>
            </w:r>
          </w:p>
        </w:tc>
        <w:tc>
          <w:tcPr>
            <w:tcW w:w="7229" w:type="dxa"/>
            <w:vAlign w:val="center"/>
          </w:tcPr>
          <w:p w14:paraId="7546F834">
            <w:pPr>
              <w:widowControl/>
              <w:spacing w:line="360" w:lineRule="auto"/>
              <w:rPr>
                <w:rFonts w:hint="eastAsia"/>
              </w:rPr>
            </w:pPr>
            <w:r>
              <w:rPr>
                <w:rFonts w:hint="eastAsia"/>
              </w:rPr>
              <w:t>详见《附件</w:t>
            </w:r>
            <w:r>
              <w:rPr>
                <w:rFonts w:hint="eastAsia" w:ascii="Times New Roman" w:hAnsi="Times New Roman" w:cs="Times New Roman"/>
              </w:rPr>
              <w:t>1</w:t>
            </w:r>
            <w:r>
              <w:rPr>
                <w:rFonts w:hint="eastAsia"/>
              </w:rPr>
              <w:t>：参会名单》</w:t>
            </w:r>
          </w:p>
        </w:tc>
      </w:tr>
    </w:tbl>
    <w:p w14:paraId="7546F836">
      <w:pPr>
        <w:rPr>
          <w:rFonts w:hint="eastAsia"/>
        </w:rPr>
      </w:pPr>
      <w:r>
        <w:br w:type="page"/>
      </w:r>
    </w:p>
    <w:p w14:paraId="394338F9">
      <w:pPr>
        <w:spacing w:line="360" w:lineRule="auto"/>
        <w:rPr>
          <w:rFonts w:hint="eastAsia" w:ascii="Times New Roman" w:hAnsi="Times New Roman" w:cs="Times New Roman"/>
          <w:b/>
          <w:bCs/>
        </w:rPr>
      </w:pPr>
      <w:r>
        <w:rPr>
          <w:rFonts w:hint="eastAsia"/>
          <w:b/>
          <w:bCs/>
        </w:rPr>
        <w:t>附件</w:t>
      </w:r>
      <w:r>
        <w:rPr>
          <w:rFonts w:hint="eastAsia" w:ascii="Times New Roman" w:hAnsi="Times New Roman" w:cs="Times New Roman"/>
          <w:b/>
          <w:bCs/>
        </w:rPr>
        <w:t>1</w:t>
      </w:r>
      <w:r>
        <w:rPr>
          <w:rFonts w:hint="eastAsia"/>
          <w:b/>
          <w:bCs/>
        </w:rPr>
        <w:t>：参会名单</w:t>
      </w:r>
    </w:p>
    <w:p w14:paraId="32E5E9E7">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01</w:t>
      </w:r>
      <w:r>
        <w:rPr>
          <w:rFonts w:hint="eastAsia"/>
          <w:b/>
          <w:bCs/>
        </w:rPr>
        <w:t>日，</w:t>
      </w:r>
      <w:r>
        <w:rPr>
          <w:rFonts w:hint="eastAsia"/>
          <w:b/>
          <w:bCs/>
          <w:lang w:val="en-US" w:eastAsia="zh-CN"/>
        </w:rPr>
        <w:t>参加国泰海通证券组织的线上调研</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61F6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744AA41A">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1A237B85">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589A511F">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77DAF19C">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61387B3C">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2E62199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24CC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F78B6D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0FA7FA5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程碧升</w:t>
            </w:r>
          </w:p>
        </w:tc>
        <w:tc>
          <w:tcPr>
            <w:tcW w:w="1226" w:type="pct"/>
            <w:shd w:val="clear" w:color="000000" w:fill="auto"/>
            <w:noWrap/>
            <w:vAlign w:val="center"/>
          </w:tcPr>
          <w:p w14:paraId="4BAF5DE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国泰海通</w:t>
            </w:r>
          </w:p>
        </w:tc>
        <w:tc>
          <w:tcPr>
            <w:tcW w:w="463" w:type="pct"/>
            <w:shd w:val="clear" w:color="000000" w:fill="auto"/>
            <w:noWrap/>
            <w:vAlign w:val="center"/>
          </w:tcPr>
          <w:p w14:paraId="55BBF2E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1621CDB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郑名洋</w:t>
            </w:r>
          </w:p>
        </w:tc>
        <w:tc>
          <w:tcPr>
            <w:tcW w:w="1121" w:type="pct"/>
            <w:shd w:val="clear" w:color="000000" w:fill="auto"/>
            <w:noWrap/>
            <w:vAlign w:val="center"/>
          </w:tcPr>
          <w:p w14:paraId="5407225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泓德基金</w:t>
            </w:r>
          </w:p>
        </w:tc>
      </w:tr>
      <w:tr w14:paraId="53EE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43CCE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0A4BA7A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张程</w:t>
            </w:r>
          </w:p>
        </w:tc>
        <w:tc>
          <w:tcPr>
            <w:tcW w:w="1226" w:type="pct"/>
            <w:shd w:val="clear" w:color="000000" w:fill="auto"/>
            <w:noWrap/>
            <w:vAlign w:val="center"/>
          </w:tcPr>
          <w:p w14:paraId="619B021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交银基金</w:t>
            </w:r>
          </w:p>
        </w:tc>
        <w:tc>
          <w:tcPr>
            <w:tcW w:w="463" w:type="pct"/>
            <w:shd w:val="clear" w:color="000000" w:fill="auto"/>
            <w:noWrap/>
            <w:vAlign w:val="center"/>
          </w:tcPr>
          <w:p w14:paraId="791AC18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7C8BCD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Lynn</w:t>
            </w:r>
          </w:p>
        </w:tc>
        <w:tc>
          <w:tcPr>
            <w:tcW w:w="1121" w:type="pct"/>
            <w:shd w:val="clear" w:color="000000" w:fill="auto"/>
            <w:noWrap/>
            <w:vAlign w:val="center"/>
          </w:tcPr>
          <w:p w14:paraId="5567BF2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国泰投信qfii</w:t>
            </w:r>
          </w:p>
        </w:tc>
      </w:tr>
      <w:tr w14:paraId="092D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0E2649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6EF684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于玥</w:t>
            </w:r>
          </w:p>
        </w:tc>
        <w:tc>
          <w:tcPr>
            <w:tcW w:w="1226" w:type="pct"/>
            <w:shd w:val="clear" w:color="000000" w:fill="auto"/>
            <w:noWrap/>
            <w:vAlign w:val="center"/>
          </w:tcPr>
          <w:p w14:paraId="6963B63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博时基金</w:t>
            </w:r>
          </w:p>
        </w:tc>
        <w:tc>
          <w:tcPr>
            <w:tcW w:w="463" w:type="pct"/>
            <w:shd w:val="clear" w:color="000000" w:fill="auto"/>
            <w:noWrap/>
            <w:vAlign w:val="center"/>
          </w:tcPr>
          <w:p w14:paraId="07830C2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6" w:type="pct"/>
            <w:shd w:val="clear" w:color="000000" w:fill="auto"/>
            <w:noWrap/>
            <w:vAlign w:val="center"/>
          </w:tcPr>
          <w:p w14:paraId="3DD6A2A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智健</w:t>
            </w:r>
          </w:p>
        </w:tc>
        <w:tc>
          <w:tcPr>
            <w:tcW w:w="1121" w:type="pct"/>
            <w:shd w:val="clear" w:color="000000" w:fill="auto"/>
            <w:noWrap/>
            <w:vAlign w:val="center"/>
          </w:tcPr>
          <w:p w14:paraId="2D475E0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国泰基金</w:t>
            </w:r>
          </w:p>
        </w:tc>
      </w:tr>
      <w:tr w14:paraId="7F53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FD28AE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54D8179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钟天皓</w:t>
            </w:r>
          </w:p>
        </w:tc>
        <w:tc>
          <w:tcPr>
            <w:tcW w:w="1226" w:type="pct"/>
            <w:shd w:val="clear" w:color="000000" w:fill="auto"/>
            <w:noWrap/>
            <w:vAlign w:val="center"/>
          </w:tcPr>
          <w:p w14:paraId="786DD6D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博时基金</w:t>
            </w:r>
          </w:p>
        </w:tc>
        <w:tc>
          <w:tcPr>
            <w:tcW w:w="463" w:type="pct"/>
            <w:shd w:val="clear" w:color="000000" w:fill="auto"/>
            <w:noWrap/>
            <w:vAlign w:val="center"/>
          </w:tcPr>
          <w:p w14:paraId="07D83EF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6" w:type="pct"/>
            <w:shd w:val="clear" w:color="000000" w:fill="auto"/>
            <w:noWrap/>
            <w:vAlign w:val="center"/>
          </w:tcPr>
          <w:p w14:paraId="05D48B1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吴悠</w:t>
            </w:r>
          </w:p>
        </w:tc>
        <w:tc>
          <w:tcPr>
            <w:tcW w:w="1121" w:type="pct"/>
            <w:shd w:val="clear" w:color="000000" w:fill="auto"/>
            <w:noWrap/>
            <w:vAlign w:val="center"/>
          </w:tcPr>
          <w:p w14:paraId="3D17FC4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兴全基金</w:t>
            </w:r>
          </w:p>
        </w:tc>
      </w:tr>
      <w:tr w14:paraId="5324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D44604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453D06C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陈磊</w:t>
            </w:r>
          </w:p>
        </w:tc>
        <w:tc>
          <w:tcPr>
            <w:tcW w:w="1226" w:type="pct"/>
            <w:shd w:val="clear" w:color="000000" w:fill="auto"/>
            <w:noWrap/>
            <w:vAlign w:val="center"/>
          </w:tcPr>
          <w:p w14:paraId="6B7E810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博道基金</w:t>
            </w:r>
          </w:p>
        </w:tc>
        <w:tc>
          <w:tcPr>
            <w:tcW w:w="463" w:type="pct"/>
            <w:shd w:val="clear" w:color="000000" w:fill="auto"/>
            <w:noWrap/>
            <w:vAlign w:val="center"/>
          </w:tcPr>
          <w:p w14:paraId="768BA16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6" w:type="pct"/>
            <w:shd w:val="clear" w:color="000000" w:fill="auto"/>
            <w:noWrap/>
            <w:vAlign w:val="center"/>
          </w:tcPr>
          <w:p w14:paraId="0137DC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王金龙</w:t>
            </w:r>
          </w:p>
        </w:tc>
        <w:tc>
          <w:tcPr>
            <w:tcW w:w="1121" w:type="pct"/>
            <w:shd w:val="clear" w:color="000000" w:fill="auto"/>
            <w:noWrap/>
            <w:vAlign w:val="center"/>
          </w:tcPr>
          <w:p w14:paraId="488910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中荷人寿</w:t>
            </w:r>
          </w:p>
        </w:tc>
      </w:tr>
      <w:tr w14:paraId="7A97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D0E24E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15D7FE0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费馨涵</w:t>
            </w:r>
          </w:p>
        </w:tc>
        <w:tc>
          <w:tcPr>
            <w:tcW w:w="1226" w:type="pct"/>
            <w:shd w:val="clear" w:color="000000" w:fill="auto"/>
            <w:noWrap/>
            <w:vAlign w:val="center"/>
          </w:tcPr>
          <w:p w14:paraId="13135D0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汇丰晋信</w:t>
            </w:r>
          </w:p>
        </w:tc>
        <w:tc>
          <w:tcPr>
            <w:tcW w:w="463" w:type="pct"/>
            <w:shd w:val="clear" w:color="000000" w:fill="auto"/>
            <w:noWrap/>
            <w:vAlign w:val="center"/>
          </w:tcPr>
          <w:p w14:paraId="29F94C1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6" w:type="pct"/>
            <w:shd w:val="clear" w:color="000000" w:fill="auto"/>
            <w:noWrap/>
            <w:vAlign w:val="center"/>
          </w:tcPr>
          <w:p w14:paraId="73F08C3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尹健宇</w:t>
            </w:r>
          </w:p>
        </w:tc>
        <w:tc>
          <w:tcPr>
            <w:tcW w:w="1121" w:type="pct"/>
            <w:shd w:val="clear" w:color="000000" w:fill="auto"/>
            <w:noWrap/>
            <w:vAlign w:val="center"/>
          </w:tcPr>
          <w:p w14:paraId="2A59864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盈泰投资</w:t>
            </w:r>
          </w:p>
        </w:tc>
      </w:tr>
      <w:tr w14:paraId="6EB4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3E9775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w:t>
            </w:r>
          </w:p>
        </w:tc>
        <w:tc>
          <w:tcPr>
            <w:tcW w:w="987" w:type="pct"/>
            <w:shd w:val="clear" w:color="000000" w:fill="auto"/>
            <w:noWrap/>
            <w:vAlign w:val="center"/>
          </w:tcPr>
          <w:p w14:paraId="58F0AD6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宋仁杰</w:t>
            </w:r>
          </w:p>
        </w:tc>
        <w:tc>
          <w:tcPr>
            <w:tcW w:w="1226" w:type="pct"/>
            <w:shd w:val="clear" w:color="000000" w:fill="auto"/>
            <w:noWrap/>
            <w:vAlign w:val="center"/>
          </w:tcPr>
          <w:p w14:paraId="6DC20CD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泰康基金</w:t>
            </w:r>
          </w:p>
        </w:tc>
        <w:tc>
          <w:tcPr>
            <w:tcW w:w="463" w:type="pct"/>
            <w:shd w:val="clear" w:color="000000" w:fill="auto"/>
            <w:noWrap/>
            <w:vAlign w:val="center"/>
          </w:tcPr>
          <w:p w14:paraId="6240D1B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w:t>
            </w:r>
          </w:p>
        </w:tc>
        <w:tc>
          <w:tcPr>
            <w:tcW w:w="786" w:type="pct"/>
            <w:shd w:val="clear" w:color="000000" w:fill="auto"/>
            <w:noWrap/>
            <w:vAlign w:val="center"/>
          </w:tcPr>
          <w:p w14:paraId="319CFE8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郭堃</w:t>
            </w:r>
          </w:p>
        </w:tc>
        <w:tc>
          <w:tcPr>
            <w:tcW w:w="1121" w:type="pct"/>
            <w:shd w:val="clear" w:color="000000" w:fill="auto"/>
            <w:noWrap/>
            <w:vAlign w:val="center"/>
          </w:tcPr>
          <w:p w14:paraId="24BB743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r>
      <w:tr w14:paraId="7C06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20BE5D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w:t>
            </w:r>
          </w:p>
        </w:tc>
        <w:tc>
          <w:tcPr>
            <w:tcW w:w="987" w:type="pct"/>
            <w:shd w:val="clear" w:color="000000" w:fill="auto"/>
            <w:noWrap/>
            <w:vAlign w:val="center"/>
          </w:tcPr>
          <w:p w14:paraId="0BC5FE4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雯妮</w:t>
            </w:r>
          </w:p>
        </w:tc>
        <w:tc>
          <w:tcPr>
            <w:tcW w:w="1226" w:type="pct"/>
            <w:shd w:val="clear" w:color="000000" w:fill="auto"/>
            <w:noWrap/>
            <w:vAlign w:val="center"/>
          </w:tcPr>
          <w:p w14:paraId="001FFAA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dymon asial</w:t>
            </w:r>
          </w:p>
        </w:tc>
        <w:tc>
          <w:tcPr>
            <w:tcW w:w="463" w:type="pct"/>
            <w:shd w:val="clear" w:color="000000" w:fill="auto"/>
            <w:noWrap/>
            <w:vAlign w:val="center"/>
          </w:tcPr>
          <w:p w14:paraId="4D6EB38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w:t>
            </w:r>
          </w:p>
        </w:tc>
        <w:tc>
          <w:tcPr>
            <w:tcW w:w="786" w:type="pct"/>
            <w:shd w:val="clear" w:color="000000" w:fill="auto"/>
            <w:noWrap/>
            <w:vAlign w:val="center"/>
          </w:tcPr>
          <w:p w14:paraId="62D5AD8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王家远</w:t>
            </w:r>
          </w:p>
        </w:tc>
        <w:tc>
          <w:tcPr>
            <w:tcW w:w="1121" w:type="pct"/>
            <w:shd w:val="clear" w:color="000000" w:fill="auto"/>
            <w:noWrap/>
            <w:vAlign w:val="center"/>
          </w:tcPr>
          <w:p w14:paraId="43BE0EE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惠理基金</w:t>
            </w:r>
          </w:p>
        </w:tc>
      </w:tr>
      <w:tr w14:paraId="613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3B8090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w:t>
            </w:r>
          </w:p>
        </w:tc>
        <w:tc>
          <w:tcPr>
            <w:tcW w:w="987" w:type="pct"/>
            <w:shd w:val="clear" w:color="000000" w:fill="auto"/>
            <w:noWrap/>
            <w:vAlign w:val="center"/>
          </w:tcPr>
          <w:p w14:paraId="0A708C3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訾猛</w:t>
            </w:r>
          </w:p>
        </w:tc>
        <w:tc>
          <w:tcPr>
            <w:tcW w:w="1226" w:type="pct"/>
            <w:shd w:val="clear" w:color="000000" w:fill="auto"/>
            <w:noWrap/>
            <w:vAlign w:val="center"/>
          </w:tcPr>
          <w:p w14:paraId="23C514B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国泰海通</w:t>
            </w:r>
          </w:p>
        </w:tc>
        <w:tc>
          <w:tcPr>
            <w:tcW w:w="463" w:type="pct"/>
            <w:shd w:val="clear" w:color="000000" w:fill="auto"/>
            <w:noWrap/>
            <w:vAlign w:val="center"/>
          </w:tcPr>
          <w:p w14:paraId="409F20B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w:t>
            </w:r>
          </w:p>
        </w:tc>
        <w:tc>
          <w:tcPr>
            <w:tcW w:w="786" w:type="pct"/>
            <w:shd w:val="clear" w:color="000000" w:fill="auto"/>
            <w:noWrap/>
            <w:vAlign w:val="center"/>
          </w:tcPr>
          <w:p w14:paraId="478D92D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颜慧菁</w:t>
            </w:r>
          </w:p>
        </w:tc>
        <w:tc>
          <w:tcPr>
            <w:tcW w:w="1121" w:type="pct"/>
            <w:shd w:val="clear" w:color="000000" w:fill="auto"/>
            <w:noWrap/>
            <w:vAlign w:val="center"/>
          </w:tcPr>
          <w:p w14:paraId="17BADF0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国泰海通</w:t>
            </w:r>
          </w:p>
        </w:tc>
      </w:tr>
    </w:tbl>
    <w:p w14:paraId="503142E1">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01</w:t>
      </w:r>
      <w:r>
        <w:rPr>
          <w:rFonts w:hint="eastAsia"/>
          <w:b/>
          <w:bCs/>
        </w:rPr>
        <w:t>日，</w:t>
      </w:r>
      <w:r>
        <w:rPr>
          <w:rFonts w:hint="eastAsia"/>
          <w:b/>
          <w:bCs/>
          <w:lang w:val="en-US" w:eastAsia="zh-CN"/>
        </w:rPr>
        <w:t>参加华创证券组织的线下调研</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701B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3BA2C133">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0C825644">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5A3B0267">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6612888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69108359">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55408B78">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25D4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62FDB4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502CFCD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严迪超</w:t>
            </w:r>
          </w:p>
        </w:tc>
        <w:tc>
          <w:tcPr>
            <w:tcW w:w="1227" w:type="pct"/>
            <w:shd w:val="clear" w:color="000000" w:fill="auto"/>
            <w:noWrap/>
            <w:vAlign w:val="center"/>
          </w:tcPr>
          <w:p w14:paraId="584D406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惠升基金</w:t>
            </w:r>
          </w:p>
        </w:tc>
        <w:tc>
          <w:tcPr>
            <w:tcW w:w="463" w:type="pct"/>
            <w:shd w:val="clear" w:color="000000" w:fill="auto"/>
            <w:noWrap/>
            <w:vAlign w:val="center"/>
          </w:tcPr>
          <w:p w14:paraId="49D9ED9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029CC6A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李文华</w:t>
            </w:r>
          </w:p>
        </w:tc>
        <w:tc>
          <w:tcPr>
            <w:tcW w:w="1121" w:type="pct"/>
            <w:shd w:val="clear" w:color="000000" w:fill="auto"/>
            <w:noWrap/>
            <w:vAlign w:val="center"/>
          </w:tcPr>
          <w:p w14:paraId="3C54652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汇丰晋信</w:t>
            </w:r>
          </w:p>
        </w:tc>
      </w:tr>
      <w:tr w14:paraId="3E0F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503C13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53F8A8C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王凯</w:t>
            </w:r>
          </w:p>
        </w:tc>
        <w:tc>
          <w:tcPr>
            <w:tcW w:w="1227" w:type="pct"/>
            <w:shd w:val="clear" w:color="000000" w:fill="auto"/>
            <w:noWrap/>
            <w:vAlign w:val="center"/>
          </w:tcPr>
          <w:p w14:paraId="5B8965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中金资管</w:t>
            </w:r>
          </w:p>
        </w:tc>
        <w:tc>
          <w:tcPr>
            <w:tcW w:w="463" w:type="pct"/>
            <w:shd w:val="clear" w:color="000000" w:fill="auto"/>
            <w:noWrap/>
            <w:vAlign w:val="center"/>
          </w:tcPr>
          <w:p w14:paraId="55266CE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7764645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邓怡</w:t>
            </w:r>
          </w:p>
        </w:tc>
        <w:tc>
          <w:tcPr>
            <w:tcW w:w="1121" w:type="pct"/>
            <w:shd w:val="clear" w:color="000000" w:fill="auto"/>
            <w:noWrap/>
            <w:vAlign w:val="center"/>
          </w:tcPr>
          <w:p w14:paraId="1921E10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浙商基金</w:t>
            </w:r>
          </w:p>
        </w:tc>
      </w:tr>
      <w:tr w14:paraId="0F4F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88B7F1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7E207AF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赵耀</w:t>
            </w:r>
          </w:p>
        </w:tc>
        <w:tc>
          <w:tcPr>
            <w:tcW w:w="1227" w:type="pct"/>
            <w:shd w:val="clear" w:color="000000" w:fill="auto"/>
            <w:noWrap/>
            <w:vAlign w:val="center"/>
          </w:tcPr>
          <w:p w14:paraId="7A4D6D8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安联基金</w:t>
            </w:r>
          </w:p>
        </w:tc>
        <w:tc>
          <w:tcPr>
            <w:tcW w:w="463" w:type="pct"/>
            <w:shd w:val="clear" w:color="000000" w:fill="auto"/>
            <w:noWrap/>
            <w:vAlign w:val="center"/>
          </w:tcPr>
          <w:p w14:paraId="627723C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62FD940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李彦诚</w:t>
            </w:r>
          </w:p>
        </w:tc>
        <w:tc>
          <w:tcPr>
            <w:tcW w:w="1121" w:type="pct"/>
            <w:shd w:val="clear" w:color="000000" w:fill="auto"/>
            <w:noWrap/>
            <w:vAlign w:val="center"/>
          </w:tcPr>
          <w:p w14:paraId="1821A5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东证资管</w:t>
            </w:r>
          </w:p>
        </w:tc>
      </w:tr>
      <w:tr w14:paraId="525E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1EFE52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5B8D96C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葛颂</w:t>
            </w:r>
          </w:p>
        </w:tc>
        <w:tc>
          <w:tcPr>
            <w:tcW w:w="1227" w:type="pct"/>
            <w:shd w:val="clear" w:color="000000" w:fill="auto"/>
            <w:noWrap/>
            <w:vAlign w:val="center"/>
          </w:tcPr>
          <w:p w14:paraId="59BA63B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朱雀基金</w:t>
            </w:r>
          </w:p>
        </w:tc>
        <w:tc>
          <w:tcPr>
            <w:tcW w:w="463" w:type="pct"/>
            <w:shd w:val="clear" w:color="000000" w:fill="auto"/>
            <w:noWrap/>
            <w:vAlign w:val="center"/>
          </w:tcPr>
          <w:p w14:paraId="6EBA20E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34B04DE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段怡帆</w:t>
            </w:r>
          </w:p>
        </w:tc>
        <w:tc>
          <w:tcPr>
            <w:tcW w:w="1121" w:type="pct"/>
            <w:shd w:val="clear" w:color="000000" w:fill="auto"/>
            <w:noWrap/>
            <w:vAlign w:val="center"/>
          </w:tcPr>
          <w:p w14:paraId="34AC170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开源自营</w:t>
            </w:r>
          </w:p>
        </w:tc>
      </w:tr>
      <w:tr w14:paraId="5CEA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7E3953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5A1476B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姚咏絮</w:t>
            </w:r>
          </w:p>
        </w:tc>
        <w:tc>
          <w:tcPr>
            <w:tcW w:w="1227" w:type="pct"/>
            <w:shd w:val="clear" w:color="000000" w:fill="auto"/>
            <w:noWrap/>
            <w:vAlign w:val="center"/>
          </w:tcPr>
          <w:p w14:paraId="23FE4EB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明河投资</w:t>
            </w:r>
          </w:p>
        </w:tc>
        <w:tc>
          <w:tcPr>
            <w:tcW w:w="463" w:type="pct"/>
            <w:shd w:val="clear" w:color="000000" w:fill="auto"/>
            <w:noWrap/>
            <w:vAlign w:val="center"/>
          </w:tcPr>
          <w:p w14:paraId="34ECC11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7" w:type="pct"/>
            <w:shd w:val="clear" w:color="000000" w:fill="auto"/>
            <w:noWrap/>
            <w:vAlign w:val="center"/>
          </w:tcPr>
          <w:p w14:paraId="7C3FC9F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张喆</w:t>
            </w:r>
          </w:p>
        </w:tc>
        <w:tc>
          <w:tcPr>
            <w:tcW w:w="1121" w:type="pct"/>
            <w:shd w:val="clear" w:color="000000" w:fill="auto"/>
            <w:noWrap/>
            <w:vAlign w:val="center"/>
          </w:tcPr>
          <w:p w14:paraId="0CC4E6C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长江养老</w:t>
            </w:r>
          </w:p>
        </w:tc>
      </w:tr>
      <w:tr w14:paraId="18A5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11DEBF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140D55C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智健</w:t>
            </w:r>
          </w:p>
        </w:tc>
        <w:tc>
          <w:tcPr>
            <w:tcW w:w="1227" w:type="pct"/>
            <w:shd w:val="clear" w:color="000000" w:fill="auto"/>
            <w:noWrap/>
            <w:vAlign w:val="center"/>
          </w:tcPr>
          <w:p w14:paraId="1E76354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国泰基金</w:t>
            </w:r>
          </w:p>
        </w:tc>
        <w:tc>
          <w:tcPr>
            <w:tcW w:w="463" w:type="pct"/>
            <w:shd w:val="clear" w:color="000000" w:fill="auto"/>
            <w:noWrap/>
            <w:vAlign w:val="center"/>
          </w:tcPr>
          <w:p w14:paraId="437C258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7" w:type="pct"/>
            <w:shd w:val="clear" w:color="000000" w:fill="auto"/>
            <w:noWrap/>
            <w:vAlign w:val="center"/>
          </w:tcPr>
          <w:p w14:paraId="15FAC29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王文心</w:t>
            </w:r>
          </w:p>
        </w:tc>
        <w:tc>
          <w:tcPr>
            <w:tcW w:w="1121" w:type="pct"/>
            <w:shd w:val="clear" w:color="000000" w:fill="auto"/>
            <w:noWrap/>
            <w:vAlign w:val="center"/>
          </w:tcPr>
          <w:p w14:paraId="5899724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百年资产</w:t>
            </w:r>
          </w:p>
        </w:tc>
      </w:tr>
    </w:tbl>
    <w:p w14:paraId="6C4AE1E7">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02</w:t>
      </w:r>
      <w:r>
        <w:rPr>
          <w:rFonts w:hint="eastAsia"/>
          <w:b/>
          <w:bCs/>
        </w:rPr>
        <w:t>日，</w:t>
      </w:r>
      <w:r>
        <w:rPr>
          <w:rFonts w:hint="eastAsia"/>
          <w:b/>
          <w:bCs/>
          <w:lang w:val="en-US" w:eastAsia="zh-CN"/>
        </w:rPr>
        <w:t>参加中信证券的线下调研</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25A7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146844E8">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65AC3AD1">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4EF2861B">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5B67EC7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5FA361EA">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45C66A95">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6D68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BED8F1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3E98D46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龙红亮</w:t>
            </w:r>
          </w:p>
        </w:tc>
        <w:tc>
          <w:tcPr>
            <w:tcW w:w="1226" w:type="pct"/>
            <w:shd w:val="clear" w:color="000000" w:fill="auto"/>
            <w:noWrap/>
            <w:vAlign w:val="center"/>
          </w:tcPr>
          <w:p w14:paraId="1C63E70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万联证券</w:t>
            </w:r>
          </w:p>
        </w:tc>
        <w:tc>
          <w:tcPr>
            <w:tcW w:w="463" w:type="pct"/>
            <w:shd w:val="clear" w:color="000000" w:fill="auto"/>
            <w:noWrap/>
            <w:vAlign w:val="center"/>
          </w:tcPr>
          <w:p w14:paraId="5F7F407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78F6E90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顾训丁</w:t>
            </w:r>
          </w:p>
        </w:tc>
        <w:tc>
          <w:tcPr>
            <w:tcW w:w="1121" w:type="pct"/>
            <w:shd w:val="clear" w:color="000000" w:fill="auto"/>
            <w:noWrap/>
            <w:vAlign w:val="center"/>
          </w:tcPr>
          <w:p w14:paraId="1425002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中信证券</w:t>
            </w:r>
          </w:p>
        </w:tc>
      </w:tr>
      <w:tr w14:paraId="6F0E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62900C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74064FB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江皓云</w:t>
            </w:r>
          </w:p>
        </w:tc>
        <w:tc>
          <w:tcPr>
            <w:tcW w:w="1226" w:type="pct"/>
            <w:shd w:val="clear" w:color="000000" w:fill="auto"/>
            <w:noWrap/>
            <w:vAlign w:val="center"/>
          </w:tcPr>
          <w:p w14:paraId="5AE6AF2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中信证券</w:t>
            </w:r>
          </w:p>
        </w:tc>
        <w:tc>
          <w:tcPr>
            <w:tcW w:w="463" w:type="pct"/>
            <w:shd w:val="clear" w:color="000000" w:fill="auto"/>
            <w:noWrap/>
            <w:vAlign w:val="center"/>
          </w:tcPr>
          <w:p w14:paraId="11FD98C8">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38E4BE1F">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6B89CE2B">
            <w:pPr>
              <w:widowControl/>
              <w:jc w:val="center"/>
              <w:rPr>
                <w:rFonts w:hint="eastAsia" w:ascii="Times New Roman" w:hAnsi="Times New Roman" w:cs="Times New Roman"/>
                <w:color w:val="000000"/>
                <w:kern w:val="0"/>
                <w:sz w:val="21"/>
                <w:szCs w:val="22"/>
                <w:lang w:val="en-US" w:eastAsia="zh-CN"/>
              </w:rPr>
            </w:pPr>
          </w:p>
        </w:tc>
      </w:tr>
    </w:tbl>
    <w:p w14:paraId="44112E55">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02</w:t>
      </w:r>
      <w:r>
        <w:rPr>
          <w:rFonts w:hint="eastAsia"/>
          <w:b/>
          <w:bCs/>
        </w:rPr>
        <w:t>日，</w:t>
      </w:r>
      <w:r>
        <w:rPr>
          <w:rFonts w:hint="eastAsia"/>
          <w:b/>
          <w:bCs/>
          <w:lang w:val="en-US" w:eastAsia="zh-CN"/>
        </w:rPr>
        <w:t>参加华泰证券组织的线上线下调研</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1902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3C5829D6">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705DD5C1">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6C6A0A69">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41ABA4D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61516E3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6DDB3081">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412F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2F4E8F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5CAE74B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王晓君</w:t>
            </w:r>
          </w:p>
        </w:tc>
        <w:tc>
          <w:tcPr>
            <w:tcW w:w="1227" w:type="pct"/>
            <w:shd w:val="clear" w:color="000000" w:fill="auto"/>
            <w:noWrap/>
            <w:vAlign w:val="center"/>
          </w:tcPr>
          <w:p w14:paraId="7C1014E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阳光资产</w:t>
            </w:r>
          </w:p>
        </w:tc>
        <w:tc>
          <w:tcPr>
            <w:tcW w:w="463" w:type="pct"/>
            <w:shd w:val="clear" w:color="000000" w:fill="auto"/>
            <w:noWrap/>
            <w:vAlign w:val="center"/>
          </w:tcPr>
          <w:p w14:paraId="3FB8D27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51B1724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周丽红</w:t>
            </w:r>
          </w:p>
        </w:tc>
        <w:tc>
          <w:tcPr>
            <w:tcW w:w="1121" w:type="pct"/>
            <w:shd w:val="clear" w:color="000000" w:fill="auto"/>
            <w:noWrap/>
            <w:vAlign w:val="center"/>
          </w:tcPr>
          <w:p w14:paraId="63B4680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阳光资产</w:t>
            </w:r>
          </w:p>
        </w:tc>
      </w:tr>
      <w:tr w14:paraId="5798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D7C030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35AA505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方圆</w:t>
            </w:r>
          </w:p>
        </w:tc>
        <w:tc>
          <w:tcPr>
            <w:tcW w:w="1227" w:type="pct"/>
            <w:shd w:val="clear" w:color="000000" w:fill="auto"/>
            <w:noWrap/>
            <w:vAlign w:val="center"/>
          </w:tcPr>
          <w:p w14:paraId="7DC2D1B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阳光资产</w:t>
            </w:r>
          </w:p>
        </w:tc>
        <w:tc>
          <w:tcPr>
            <w:tcW w:w="463" w:type="pct"/>
            <w:shd w:val="clear" w:color="000000" w:fill="auto"/>
            <w:noWrap/>
            <w:vAlign w:val="center"/>
          </w:tcPr>
          <w:p w14:paraId="4A10C35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610BE17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张溢</w:t>
            </w:r>
          </w:p>
        </w:tc>
        <w:tc>
          <w:tcPr>
            <w:tcW w:w="1121" w:type="pct"/>
            <w:shd w:val="clear" w:color="000000" w:fill="auto"/>
            <w:noWrap/>
            <w:vAlign w:val="center"/>
          </w:tcPr>
          <w:p w14:paraId="7D5A596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r>
      <w:tr w14:paraId="5520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1A3BC5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5A47892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张燕</w:t>
            </w:r>
          </w:p>
        </w:tc>
        <w:tc>
          <w:tcPr>
            <w:tcW w:w="1227" w:type="pct"/>
            <w:shd w:val="clear" w:color="000000" w:fill="auto"/>
            <w:noWrap/>
            <w:vAlign w:val="center"/>
          </w:tcPr>
          <w:p w14:paraId="7B40B35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c>
          <w:tcPr>
            <w:tcW w:w="463" w:type="pct"/>
            <w:shd w:val="clear" w:color="000000" w:fill="auto"/>
            <w:noWrap/>
            <w:vAlign w:val="center"/>
          </w:tcPr>
          <w:p w14:paraId="60DBF28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05AF474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袁辰昱</w:t>
            </w:r>
          </w:p>
        </w:tc>
        <w:tc>
          <w:tcPr>
            <w:tcW w:w="1121" w:type="pct"/>
            <w:shd w:val="clear" w:color="000000" w:fill="auto"/>
            <w:noWrap/>
            <w:vAlign w:val="center"/>
          </w:tcPr>
          <w:p w14:paraId="00DFF4C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r>
      <w:tr w14:paraId="431E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BD0444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6CFAE11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陈媛</w:t>
            </w:r>
          </w:p>
        </w:tc>
        <w:tc>
          <w:tcPr>
            <w:tcW w:w="1227" w:type="pct"/>
            <w:shd w:val="clear" w:color="000000" w:fill="auto"/>
            <w:noWrap/>
            <w:vAlign w:val="center"/>
          </w:tcPr>
          <w:p w14:paraId="0A5206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c>
          <w:tcPr>
            <w:tcW w:w="463" w:type="pct"/>
            <w:shd w:val="clear" w:color="000000" w:fill="auto"/>
            <w:noWrap/>
            <w:vAlign w:val="center"/>
          </w:tcPr>
          <w:p w14:paraId="1F111AF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31DEE76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李杨</w:t>
            </w:r>
          </w:p>
        </w:tc>
        <w:tc>
          <w:tcPr>
            <w:tcW w:w="1121" w:type="pct"/>
            <w:shd w:val="clear" w:color="000000" w:fill="auto"/>
            <w:noWrap/>
            <w:vAlign w:val="center"/>
          </w:tcPr>
          <w:p w14:paraId="3B3EEB7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r>
      <w:tr w14:paraId="40A2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A67C4E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0704E96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章昕乔</w:t>
            </w:r>
          </w:p>
        </w:tc>
        <w:tc>
          <w:tcPr>
            <w:tcW w:w="1227" w:type="pct"/>
            <w:shd w:val="clear" w:color="000000" w:fill="auto"/>
            <w:noWrap/>
            <w:vAlign w:val="center"/>
          </w:tcPr>
          <w:p w14:paraId="5A1C1A9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c>
          <w:tcPr>
            <w:tcW w:w="463" w:type="pct"/>
            <w:shd w:val="clear" w:color="000000" w:fill="auto"/>
            <w:noWrap/>
            <w:vAlign w:val="center"/>
          </w:tcPr>
          <w:p w14:paraId="3D903AC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7" w:type="pct"/>
            <w:shd w:val="clear" w:color="000000" w:fill="auto"/>
            <w:noWrap/>
            <w:vAlign w:val="center"/>
          </w:tcPr>
          <w:p w14:paraId="2ABA6DC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秦瑞</w:t>
            </w:r>
          </w:p>
        </w:tc>
        <w:tc>
          <w:tcPr>
            <w:tcW w:w="1121" w:type="pct"/>
            <w:shd w:val="clear" w:color="000000" w:fill="auto"/>
            <w:noWrap/>
            <w:vAlign w:val="center"/>
          </w:tcPr>
          <w:p w14:paraId="5E4EF1E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华泰资产</w:t>
            </w:r>
          </w:p>
        </w:tc>
      </w:tr>
      <w:tr w14:paraId="1D1E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0FD890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2870051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冯潇</w:t>
            </w:r>
          </w:p>
        </w:tc>
        <w:tc>
          <w:tcPr>
            <w:tcW w:w="1227" w:type="pct"/>
            <w:shd w:val="clear" w:color="000000" w:fill="auto"/>
            <w:noWrap/>
            <w:vAlign w:val="center"/>
          </w:tcPr>
          <w:p w14:paraId="47D8F36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华泰资产</w:t>
            </w:r>
          </w:p>
        </w:tc>
        <w:tc>
          <w:tcPr>
            <w:tcW w:w="463" w:type="pct"/>
            <w:shd w:val="clear" w:color="000000" w:fill="auto"/>
            <w:noWrap/>
            <w:vAlign w:val="center"/>
          </w:tcPr>
          <w:p w14:paraId="11300CD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7" w:type="pct"/>
            <w:shd w:val="clear" w:color="000000" w:fill="auto"/>
            <w:noWrap/>
            <w:vAlign w:val="center"/>
          </w:tcPr>
          <w:p w14:paraId="79BDA60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朱骏</w:t>
            </w:r>
          </w:p>
        </w:tc>
        <w:tc>
          <w:tcPr>
            <w:tcW w:w="1121" w:type="pct"/>
            <w:shd w:val="clear" w:color="000000" w:fill="auto"/>
            <w:noWrap/>
            <w:vAlign w:val="center"/>
          </w:tcPr>
          <w:p w14:paraId="6862B7A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华泰资产</w:t>
            </w:r>
          </w:p>
        </w:tc>
      </w:tr>
      <w:tr w14:paraId="485B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79FE47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w:t>
            </w:r>
          </w:p>
        </w:tc>
        <w:tc>
          <w:tcPr>
            <w:tcW w:w="987" w:type="pct"/>
            <w:shd w:val="clear" w:color="000000" w:fill="auto"/>
            <w:noWrap/>
            <w:vAlign w:val="center"/>
          </w:tcPr>
          <w:p w14:paraId="5E80105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张程</w:t>
            </w:r>
          </w:p>
        </w:tc>
        <w:tc>
          <w:tcPr>
            <w:tcW w:w="1227" w:type="pct"/>
            <w:shd w:val="clear" w:color="000000" w:fill="auto"/>
            <w:noWrap/>
            <w:vAlign w:val="center"/>
          </w:tcPr>
          <w:p w14:paraId="3DE7A59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c>
          <w:tcPr>
            <w:tcW w:w="463" w:type="pct"/>
            <w:shd w:val="clear" w:color="000000" w:fill="auto"/>
            <w:noWrap/>
            <w:vAlign w:val="center"/>
          </w:tcPr>
          <w:p w14:paraId="1E4D714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w:t>
            </w:r>
          </w:p>
        </w:tc>
        <w:tc>
          <w:tcPr>
            <w:tcW w:w="787" w:type="pct"/>
            <w:shd w:val="clear" w:color="000000" w:fill="auto"/>
            <w:noWrap/>
            <w:vAlign w:val="center"/>
          </w:tcPr>
          <w:p w14:paraId="0F2E330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杨金金</w:t>
            </w:r>
          </w:p>
        </w:tc>
        <w:tc>
          <w:tcPr>
            <w:tcW w:w="1121" w:type="pct"/>
            <w:shd w:val="clear" w:color="000000" w:fill="auto"/>
            <w:noWrap/>
            <w:vAlign w:val="center"/>
          </w:tcPr>
          <w:p w14:paraId="38C0497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r>
    </w:tbl>
    <w:p w14:paraId="2783C0A6">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02</w:t>
      </w:r>
      <w:r>
        <w:rPr>
          <w:rFonts w:hint="eastAsia"/>
          <w:b/>
          <w:bCs/>
        </w:rPr>
        <w:t>日，</w:t>
      </w:r>
      <w:r>
        <w:rPr>
          <w:rFonts w:hint="eastAsia"/>
          <w:b/>
          <w:bCs/>
          <w:lang w:val="en-US" w:eastAsia="zh-CN"/>
        </w:rPr>
        <w:t>参加广发证券策略会</w:t>
      </w:r>
      <w:r>
        <w:rPr>
          <w:rFonts w:hint="eastAsia"/>
          <w:b/>
          <w:bCs/>
        </w:rPr>
        <w:t>。</w:t>
      </w:r>
    </w:p>
    <w:tbl>
      <w:tblPr>
        <w:tblStyle w:val="9"/>
        <w:tblW w:w="45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26"/>
        <w:gridCol w:w="1495"/>
        <w:gridCol w:w="1857"/>
        <w:gridCol w:w="701"/>
        <w:gridCol w:w="1191"/>
        <w:gridCol w:w="1698"/>
      </w:tblGrid>
      <w:tr w14:paraId="0746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5266C5F6">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6F3A5FE9">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4B626096">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665ECB9D">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7" w:type="pct"/>
            <w:shd w:val="clear" w:color="auto" w:fill="D8D8D8" w:themeFill="background1" w:themeFillShade="D9"/>
            <w:noWrap/>
            <w:vAlign w:val="center"/>
          </w:tcPr>
          <w:p w14:paraId="2C12CEAE">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1C0B705C">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526A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A0FEA5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35DEC0B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冯允鹏</w:t>
            </w:r>
          </w:p>
        </w:tc>
        <w:tc>
          <w:tcPr>
            <w:tcW w:w="1227" w:type="pct"/>
            <w:shd w:val="clear" w:color="000000" w:fill="auto"/>
            <w:noWrap/>
            <w:vAlign w:val="center"/>
          </w:tcPr>
          <w:p w14:paraId="5A9C26D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中欧基金</w:t>
            </w:r>
          </w:p>
        </w:tc>
        <w:tc>
          <w:tcPr>
            <w:tcW w:w="463" w:type="pct"/>
            <w:shd w:val="clear" w:color="000000" w:fill="auto"/>
            <w:noWrap/>
            <w:vAlign w:val="center"/>
          </w:tcPr>
          <w:p w14:paraId="6C0E2DA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7" w:type="pct"/>
            <w:shd w:val="clear" w:color="000000" w:fill="auto"/>
            <w:noWrap/>
            <w:vAlign w:val="center"/>
          </w:tcPr>
          <w:p w14:paraId="30167E3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许文星</w:t>
            </w:r>
          </w:p>
        </w:tc>
        <w:tc>
          <w:tcPr>
            <w:tcW w:w="1121" w:type="pct"/>
            <w:shd w:val="clear" w:color="000000" w:fill="auto"/>
            <w:noWrap/>
            <w:vAlign w:val="center"/>
          </w:tcPr>
          <w:p w14:paraId="4C728CA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中欧基金</w:t>
            </w:r>
          </w:p>
        </w:tc>
      </w:tr>
      <w:tr w14:paraId="095A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E63496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0998083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成雨轩</w:t>
            </w:r>
          </w:p>
        </w:tc>
        <w:tc>
          <w:tcPr>
            <w:tcW w:w="1227" w:type="pct"/>
            <w:shd w:val="clear" w:color="000000" w:fill="auto"/>
            <w:noWrap/>
            <w:vAlign w:val="center"/>
          </w:tcPr>
          <w:p w14:paraId="782D82A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中欧基金</w:t>
            </w:r>
          </w:p>
        </w:tc>
        <w:tc>
          <w:tcPr>
            <w:tcW w:w="463" w:type="pct"/>
            <w:shd w:val="clear" w:color="000000" w:fill="auto"/>
            <w:noWrap/>
            <w:vAlign w:val="center"/>
          </w:tcPr>
          <w:p w14:paraId="51D91D3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7" w:type="pct"/>
            <w:shd w:val="clear" w:color="000000" w:fill="auto"/>
            <w:noWrap/>
            <w:vAlign w:val="center"/>
          </w:tcPr>
          <w:p w14:paraId="22A2CBC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罗立波</w:t>
            </w:r>
          </w:p>
        </w:tc>
        <w:tc>
          <w:tcPr>
            <w:tcW w:w="1121" w:type="pct"/>
            <w:shd w:val="clear" w:color="000000" w:fill="auto"/>
            <w:noWrap/>
            <w:vAlign w:val="center"/>
          </w:tcPr>
          <w:p w14:paraId="75422C1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NYLC</w:t>
            </w:r>
          </w:p>
        </w:tc>
      </w:tr>
      <w:tr w14:paraId="2505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D227BC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6B5C33B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徐嫱</w:t>
            </w:r>
          </w:p>
        </w:tc>
        <w:tc>
          <w:tcPr>
            <w:tcW w:w="1227" w:type="pct"/>
            <w:shd w:val="clear" w:color="000000" w:fill="auto"/>
            <w:noWrap/>
            <w:vAlign w:val="center"/>
          </w:tcPr>
          <w:p w14:paraId="42011F8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睿兴投资</w:t>
            </w:r>
          </w:p>
        </w:tc>
        <w:tc>
          <w:tcPr>
            <w:tcW w:w="463" w:type="pct"/>
            <w:shd w:val="clear" w:color="000000" w:fill="auto"/>
            <w:noWrap/>
            <w:vAlign w:val="center"/>
          </w:tcPr>
          <w:p w14:paraId="64E94E9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7" w:type="pct"/>
            <w:shd w:val="clear" w:color="000000" w:fill="auto"/>
            <w:noWrap/>
            <w:vAlign w:val="center"/>
          </w:tcPr>
          <w:p w14:paraId="60C28E6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姚一鸣</w:t>
            </w:r>
          </w:p>
        </w:tc>
        <w:tc>
          <w:tcPr>
            <w:tcW w:w="1121" w:type="pct"/>
            <w:shd w:val="clear" w:color="000000" w:fill="auto"/>
            <w:noWrap/>
            <w:vAlign w:val="center"/>
          </w:tcPr>
          <w:p w14:paraId="50C5431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东吴基金</w:t>
            </w:r>
          </w:p>
        </w:tc>
      </w:tr>
      <w:tr w14:paraId="7D2A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346DBD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089D1EE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蔡志鹏</w:t>
            </w:r>
          </w:p>
        </w:tc>
        <w:tc>
          <w:tcPr>
            <w:tcW w:w="1227" w:type="pct"/>
            <w:shd w:val="clear" w:color="000000" w:fill="auto"/>
            <w:noWrap/>
            <w:vAlign w:val="center"/>
          </w:tcPr>
          <w:p w14:paraId="1CA38D7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东方资管</w:t>
            </w:r>
          </w:p>
        </w:tc>
        <w:tc>
          <w:tcPr>
            <w:tcW w:w="463" w:type="pct"/>
            <w:shd w:val="clear" w:color="000000" w:fill="auto"/>
            <w:noWrap/>
            <w:vAlign w:val="center"/>
          </w:tcPr>
          <w:p w14:paraId="5BDE794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7" w:type="pct"/>
            <w:shd w:val="clear" w:color="000000" w:fill="auto"/>
            <w:noWrap/>
            <w:vAlign w:val="center"/>
          </w:tcPr>
          <w:p w14:paraId="5856F2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刘欣雨</w:t>
            </w:r>
          </w:p>
        </w:tc>
        <w:tc>
          <w:tcPr>
            <w:tcW w:w="1121" w:type="pct"/>
            <w:shd w:val="clear" w:color="000000" w:fill="auto"/>
            <w:noWrap/>
            <w:vAlign w:val="center"/>
          </w:tcPr>
          <w:p w14:paraId="513D387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中英人寿</w:t>
            </w:r>
          </w:p>
        </w:tc>
      </w:tr>
      <w:tr w14:paraId="0D61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64A3AE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4FABDC9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池文丽</w:t>
            </w:r>
          </w:p>
        </w:tc>
        <w:tc>
          <w:tcPr>
            <w:tcW w:w="1227" w:type="pct"/>
            <w:shd w:val="clear" w:color="000000" w:fill="auto"/>
            <w:noWrap/>
            <w:vAlign w:val="center"/>
          </w:tcPr>
          <w:p w14:paraId="1A7EB3B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中银基金</w:t>
            </w:r>
          </w:p>
        </w:tc>
        <w:tc>
          <w:tcPr>
            <w:tcW w:w="463" w:type="pct"/>
            <w:shd w:val="clear" w:color="000000" w:fill="auto"/>
            <w:noWrap/>
            <w:vAlign w:val="center"/>
          </w:tcPr>
          <w:p w14:paraId="4DEA1FE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7" w:type="pct"/>
            <w:shd w:val="clear" w:color="000000" w:fill="auto"/>
            <w:noWrap/>
            <w:vAlign w:val="center"/>
          </w:tcPr>
          <w:p w14:paraId="2EA3543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王子越</w:t>
            </w:r>
          </w:p>
        </w:tc>
        <w:tc>
          <w:tcPr>
            <w:tcW w:w="1121" w:type="pct"/>
            <w:shd w:val="clear" w:color="000000" w:fill="auto"/>
            <w:noWrap/>
            <w:vAlign w:val="center"/>
          </w:tcPr>
          <w:p w14:paraId="6E9CA48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兴业银行</w:t>
            </w:r>
          </w:p>
        </w:tc>
      </w:tr>
      <w:tr w14:paraId="7C9A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48AB99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49EA375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匡荣彪</w:t>
            </w:r>
          </w:p>
        </w:tc>
        <w:tc>
          <w:tcPr>
            <w:tcW w:w="1227" w:type="pct"/>
            <w:shd w:val="clear" w:color="000000" w:fill="auto"/>
            <w:noWrap/>
            <w:vAlign w:val="center"/>
          </w:tcPr>
          <w:p w14:paraId="1F4746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创金合信</w:t>
            </w:r>
          </w:p>
        </w:tc>
        <w:tc>
          <w:tcPr>
            <w:tcW w:w="463" w:type="pct"/>
            <w:shd w:val="clear" w:color="000000" w:fill="auto"/>
            <w:noWrap/>
            <w:vAlign w:val="center"/>
          </w:tcPr>
          <w:p w14:paraId="1D4C8C7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7" w:type="pct"/>
            <w:shd w:val="clear" w:color="000000" w:fill="auto"/>
            <w:noWrap/>
            <w:vAlign w:val="center"/>
          </w:tcPr>
          <w:p w14:paraId="24BEA8D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陆迪</w:t>
            </w:r>
          </w:p>
        </w:tc>
        <w:tc>
          <w:tcPr>
            <w:tcW w:w="1121" w:type="pct"/>
            <w:shd w:val="clear" w:color="000000" w:fill="auto"/>
            <w:noWrap/>
            <w:vAlign w:val="center"/>
          </w:tcPr>
          <w:p w14:paraId="13B7F59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创金合信</w:t>
            </w:r>
          </w:p>
        </w:tc>
      </w:tr>
      <w:tr w14:paraId="32CF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B65E60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w:t>
            </w:r>
          </w:p>
        </w:tc>
        <w:tc>
          <w:tcPr>
            <w:tcW w:w="987" w:type="pct"/>
            <w:shd w:val="clear" w:color="000000" w:fill="auto"/>
            <w:noWrap/>
            <w:vAlign w:val="center"/>
          </w:tcPr>
          <w:p w14:paraId="29DE616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周衍彤</w:t>
            </w:r>
          </w:p>
        </w:tc>
        <w:tc>
          <w:tcPr>
            <w:tcW w:w="1227" w:type="pct"/>
            <w:shd w:val="clear" w:color="000000" w:fill="auto"/>
            <w:noWrap/>
            <w:vAlign w:val="center"/>
          </w:tcPr>
          <w:p w14:paraId="662D2F1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半夏投资</w:t>
            </w:r>
          </w:p>
        </w:tc>
        <w:tc>
          <w:tcPr>
            <w:tcW w:w="463" w:type="pct"/>
            <w:shd w:val="clear" w:color="000000" w:fill="auto"/>
            <w:noWrap/>
            <w:vAlign w:val="center"/>
          </w:tcPr>
          <w:p w14:paraId="1DCFDD7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w:t>
            </w:r>
          </w:p>
        </w:tc>
        <w:tc>
          <w:tcPr>
            <w:tcW w:w="787" w:type="pct"/>
            <w:shd w:val="clear" w:color="000000" w:fill="auto"/>
            <w:noWrap/>
            <w:vAlign w:val="center"/>
          </w:tcPr>
          <w:p w14:paraId="096E5D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李明斯</w:t>
            </w:r>
          </w:p>
        </w:tc>
        <w:tc>
          <w:tcPr>
            <w:tcW w:w="1121" w:type="pct"/>
            <w:shd w:val="clear" w:color="000000" w:fill="auto"/>
            <w:noWrap/>
            <w:vAlign w:val="center"/>
          </w:tcPr>
          <w:p w14:paraId="10B72F7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华夏基金</w:t>
            </w:r>
          </w:p>
        </w:tc>
      </w:tr>
      <w:tr w14:paraId="0BA0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90EE4E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w:t>
            </w:r>
          </w:p>
        </w:tc>
        <w:tc>
          <w:tcPr>
            <w:tcW w:w="987" w:type="pct"/>
            <w:shd w:val="clear" w:color="000000" w:fill="auto"/>
            <w:noWrap/>
            <w:vAlign w:val="center"/>
          </w:tcPr>
          <w:p w14:paraId="178911F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董泓孛</w:t>
            </w:r>
          </w:p>
        </w:tc>
        <w:tc>
          <w:tcPr>
            <w:tcW w:w="1227" w:type="pct"/>
            <w:shd w:val="clear" w:color="000000" w:fill="auto"/>
            <w:noWrap/>
            <w:vAlign w:val="center"/>
          </w:tcPr>
          <w:p w14:paraId="520F78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南方基金</w:t>
            </w:r>
          </w:p>
        </w:tc>
        <w:tc>
          <w:tcPr>
            <w:tcW w:w="463" w:type="pct"/>
            <w:shd w:val="clear" w:color="000000" w:fill="auto"/>
            <w:noWrap/>
            <w:vAlign w:val="center"/>
          </w:tcPr>
          <w:p w14:paraId="66A90B6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w:t>
            </w:r>
          </w:p>
        </w:tc>
        <w:tc>
          <w:tcPr>
            <w:tcW w:w="787" w:type="pct"/>
            <w:shd w:val="clear" w:color="000000" w:fill="auto"/>
            <w:noWrap/>
            <w:vAlign w:val="center"/>
          </w:tcPr>
          <w:p w14:paraId="7C7F17F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黄超杰</w:t>
            </w:r>
          </w:p>
        </w:tc>
        <w:tc>
          <w:tcPr>
            <w:tcW w:w="1121" w:type="pct"/>
            <w:shd w:val="clear" w:color="000000" w:fill="auto"/>
            <w:noWrap/>
            <w:vAlign w:val="center"/>
          </w:tcPr>
          <w:p w14:paraId="204597D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博时基金</w:t>
            </w:r>
          </w:p>
        </w:tc>
      </w:tr>
      <w:tr w14:paraId="7186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8ED506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w:t>
            </w:r>
          </w:p>
        </w:tc>
        <w:tc>
          <w:tcPr>
            <w:tcW w:w="987" w:type="pct"/>
            <w:shd w:val="clear" w:color="000000" w:fill="auto"/>
            <w:noWrap/>
            <w:vAlign w:val="center"/>
          </w:tcPr>
          <w:p w14:paraId="6B2AE29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郑轶群</w:t>
            </w:r>
          </w:p>
        </w:tc>
        <w:tc>
          <w:tcPr>
            <w:tcW w:w="1227" w:type="pct"/>
            <w:shd w:val="clear" w:color="000000" w:fill="auto"/>
            <w:noWrap/>
            <w:vAlign w:val="center"/>
          </w:tcPr>
          <w:p w14:paraId="52DEB47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双安资产</w:t>
            </w:r>
          </w:p>
        </w:tc>
        <w:tc>
          <w:tcPr>
            <w:tcW w:w="463" w:type="pct"/>
            <w:shd w:val="clear" w:color="000000" w:fill="auto"/>
            <w:noWrap/>
            <w:vAlign w:val="center"/>
          </w:tcPr>
          <w:p w14:paraId="062C78F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w:t>
            </w:r>
          </w:p>
        </w:tc>
        <w:tc>
          <w:tcPr>
            <w:tcW w:w="787" w:type="pct"/>
            <w:shd w:val="clear" w:color="000000" w:fill="auto"/>
            <w:noWrap/>
            <w:vAlign w:val="center"/>
          </w:tcPr>
          <w:p w14:paraId="3C91E01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王晓璇</w:t>
            </w:r>
          </w:p>
        </w:tc>
        <w:tc>
          <w:tcPr>
            <w:tcW w:w="1121" w:type="pct"/>
            <w:shd w:val="clear" w:color="000000" w:fill="auto"/>
            <w:noWrap/>
            <w:vAlign w:val="center"/>
          </w:tcPr>
          <w:p w14:paraId="0477AF3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合远基金</w:t>
            </w:r>
          </w:p>
        </w:tc>
      </w:tr>
      <w:tr w14:paraId="0D30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A2FC09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w:t>
            </w:r>
          </w:p>
        </w:tc>
        <w:tc>
          <w:tcPr>
            <w:tcW w:w="987" w:type="pct"/>
            <w:shd w:val="clear" w:color="000000" w:fill="auto"/>
            <w:noWrap/>
            <w:vAlign w:val="center"/>
          </w:tcPr>
          <w:p w14:paraId="5AE4374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孟夏</w:t>
            </w:r>
          </w:p>
        </w:tc>
        <w:tc>
          <w:tcPr>
            <w:tcW w:w="1227" w:type="pct"/>
            <w:shd w:val="clear" w:color="000000" w:fill="auto"/>
            <w:noWrap/>
            <w:vAlign w:val="center"/>
          </w:tcPr>
          <w:p w14:paraId="7E47C60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嘉实基金</w:t>
            </w:r>
          </w:p>
        </w:tc>
        <w:tc>
          <w:tcPr>
            <w:tcW w:w="463" w:type="pct"/>
            <w:shd w:val="clear" w:color="000000" w:fill="auto"/>
            <w:noWrap/>
            <w:vAlign w:val="center"/>
          </w:tcPr>
          <w:p w14:paraId="09CF959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w:t>
            </w:r>
          </w:p>
        </w:tc>
        <w:tc>
          <w:tcPr>
            <w:tcW w:w="787" w:type="pct"/>
            <w:shd w:val="clear" w:color="000000" w:fill="auto"/>
            <w:noWrap/>
            <w:vAlign w:val="center"/>
          </w:tcPr>
          <w:p w14:paraId="7CD1376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赵钦</w:t>
            </w:r>
          </w:p>
        </w:tc>
        <w:tc>
          <w:tcPr>
            <w:tcW w:w="1121" w:type="pct"/>
            <w:shd w:val="clear" w:color="000000" w:fill="auto"/>
            <w:noWrap/>
            <w:vAlign w:val="center"/>
          </w:tcPr>
          <w:p w14:paraId="32960BF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国海富兰克林</w:t>
            </w:r>
          </w:p>
        </w:tc>
      </w:tr>
      <w:tr w14:paraId="233F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58371C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w:t>
            </w:r>
          </w:p>
        </w:tc>
        <w:tc>
          <w:tcPr>
            <w:tcW w:w="987" w:type="pct"/>
            <w:shd w:val="clear" w:color="000000" w:fill="auto"/>
            <w:noWrap/>
            <w:vAlign w:val="center"/>
          </w:tcPr>
          <w:p w14:paraId="10FC51C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王兴伟</w:t>
            </w:r>
          </w:p>
        </w:tc>
        <w:tc>
          <w:tcPr>
            <w:tcW w:w="1227" w:type="pct"/>
            <w:shd w:val="clear" w:color="000000" w:fill="auto"/>
            <w:noWrap/>
            <w:vAlign w:val="center"/>
          </w:tcPr>
          <w:p w14:paraId="498204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国联安基金</w:t>
            </w:r>
          </w:p>
        </w:tc>
        <w:tc>
          <w:tcPr>
            <w:tcW w:w="463" w:type="pct"/>
            <w:shd w:val="clear" w:color="000000" w:fill="auto"/>
            <w:noWrap/>
            <w:vAlign w:val="center"/>
          </w:tcPr>
          <w:p w14:paraId="15310A6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w:t>
            </w:r>
          </w:p>
        </w:tc>
        <w:tc>
          <w:tcPr>
            <w:tcW w:w="787" w:type="pct"/>
            <w:shd w:val="clear" w:color="000000" w:fill="auto"/>
            <w:noWrap/>
            <w:vAlign w:val="center"/>
          </w:tcPr>
          <w:p w14:paraId="3C2FD0F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王紫艳</w:t>
            </w:r>
          </w:p>
        </w:tc>
        <w:tc>
          <w:tcPr>
            <w:tcW w:w="1121" w:type="pct"/>
            <w:shd w:val="clear" w:color="000000" w:fill="auto"/>
            <w:noWrap/>
            <w:vAlign w:val="center"/>
          </w:tcPr>
          <w:p w14:paraId="7B25F2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太平资产</w:t>
            </w:r>
          </w:p>
        </w:tc>
      </w:tr>
      <w:tr w14:paraId="05E0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18D198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w:t>
            </w:r>
          </w:p>
        </w:tc>
        <w:tc>
          <w:tcPr>
            <w:tcW w:w="987" w:type="pct"/>
            <w:shd w:val="clear" w:color="000000" w:fill="auto"/>
            <w:noWrap/>
            <w:vAlign w:val="center"/>
          </w:tcPr>
          <w:p w14:paraId="0A7C731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赵耀</w:t>
            </w:r>
          </w:p>
        </w:tc>
        <w:tc>
          <w:tcPr>
            <w:tcW w:w="1227" w:type="pct"/>
            <w:shd w:val="clear" w:color="000000" w:fill="auto"/>
            <w:noWrap/>
            <w:vAlign w:val="center"/>
          </w:tcPr>
          <w:p w14:paraId="36620F3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安联基金</w:t>
            </w:r>
          </w:p>
        </w:tc>
        <w:tc>
          <w:tcPr>
            <w:tcW w:w="463" w:type="pct"/>
            <w:shd w:val="clear" w:color="000000" w:fill="auto"/>
            <w:noWrap/>
            <w:vAlign w:val="center"/>
          </w:tcPr>
          <w:p w14:paraId="7901FE3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24</w:t>
            </w:r>
          </w:p>
        </w:tc>
        <w:tc>
          <w:tcPr>
            <w:tcW w:w="787" w:type="pct"/>
            <w:shd w:val="clear" w:color="000000" w:fill="auto"/>
            <w:noWrap/>
            <w:vAlign w:val="center"/>
          </w:tcPr>
          <w:p w14:paraId="70E1AD7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张雨晴</w:t>
            </w:r>
          </w:p>
        </w:tc>
        <w:tc>
          <w:tcPr>
            <w:tcW w:w="1121" w:type="pct"/>
            <w:shd w:val="clear" w:color="000000" w:fill="auto"/>
            <w:noWrap/>
            <w:vAlign w:val="center"/>
          </w:tcPr>
          <w:p w14:paraId="07ED7DC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r>
      <w:tr w14:paraId="1B77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161F77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25</w:t>
            </w:r>
          </w:p>
        </w:tc>
        <w:tc>
          <w:tcPr>
            <w:tcW w:w="987" w:type="pct"/>
            <w:shd w:val="clear" w:color="000000" w:fill="auto"/>
            <w:noWrap/>
            <w:vAlign w:val="center"/>
          </w:tcPr>
          <w:p w14:paraId="31A7D96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彭哲远</w:t>
            </w:r>
          </w:p>
        </w:tc>
        <w:tc>
          <w:tcPr>
            <w:tcW w:w="1227" w:type="pct"/>
            <w:shd w:val="clear" w:color="000000" w:fill="auto"/>
            <w:noWrap/>
            <w:vAlign w:val="center"/>
          </w:tcPr>
          <w:p w14:paraId="4C06722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广发自营</w:t>
            </w:r>
          </w:p>
        </w:tc>
        <w:tc>
          <w:tcPr>
            <w:tcW w:w="463" w:type="pct"/>
            <w:shd w:val="clear" w:color="000000" w:fill="auto"/>
            <w:noWrap/>
            <w:vAlign w:val="center"/>
          </w:tcPr>
          <w:p w14:paraId="67DF66E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26</w:t>
            </w:r>
          </w:p>
        </w:tc>
        <w:tc>
          <w:tcPr>
            <w:tcW w:w="787" w:type="pct"/>
            <w:shd w:val="clear" w:color="000000" w:fill="auto"/>
            <w:noWrap/>
            <w:vAlign w:val="center"/>
          </w:tcPr>
          <w:p w14:paraId="5D06E97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高峰</w:t>
            </w:r>
          </w:p>
        </w:tc>
        <w:tc>
          <w:tcPr>
            <w:tcW w:w="1121" w:type="pct"/>
            <w:shd w:val="clear" w:color="000000" w:fill="auto"/>
            <w:noWrap/>
            <w:vAlign w:val="center"/>
          </w:tcPr>
          <w:p w14:paraId="2300223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广发自营</w:t>
            </w:r>
          </w:p>
        </w:tc>
      </w:tr>
      <w:tr w14:paraId="4901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1A34F9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27</w:t>
            </w:r>
          </w:p>
        </w:tc>
        <w:tc>
          <w:tcPr>
            <w:tcW w:w="987" w:type="pct"/>
            <w:shd w:val="clear" w:color="000000" w:fill="auto"/>
            <w:noWrap/>
            <w:vAlign w:val="center"/>
          </w:tcPr>
          <w:p w14:paraId="71723CE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刘旭明</w:t>
            </w:r>
          </w:p>
        </w:tc>
        <w:tc>
          <w:tcPr>
            <w:tcW w:w="1227" w:type="pct"/>
            <w:shd w:val="clear" w:color="000000" w:fill="auto"/>
            <w:noWrap/>
            <w:vAlign w:val="center"/>
          </w:tcPr>
          <w:p w14:paraId="5101CAD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建信养老</w:t>
            </w:r>
          </w:p>
        </w:tc>
        <w:tc>
          <w:tcPr>
            <w:tcW w:w="463" w:type="pct"/>
            <w:shd w:val="clear" w:color="000000" w:fill="auto"/>
            <w:noWrap/>
            <w:vAlign w:val="center"/>
          </w:tcPr>
          <w:p w14:paraId="62D752E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28</w:t>
            </w:r>
          </w:p>
        </w:tc>
        <w:tc>
          <w:tcPr>
            <w:tcW w:w="787" w:type="pct"/>
            <w:shd w:val="clear" w:color="000000" w:fill="auto"/>
            <w:noWrap/>
            <w:vAlign w:val="center"/>
          </w:tcPr>
          <w:p w14:paraId="7364086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刘坤</w:t>
            </w:r>
          </w:p>
        </w:tc>
        <w:tc>
          <w:tcPr>
            <w:tcW w:w="1121" w:type="pct"/>
            <w:shd w:val="clear" w:color="000000" w:fill="auto"/>
            <w:noWrap/>
            <w:vAlign w:val="center"/>
          </w:tcPr>
          <w:p w14:paraId="13C52BC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开源证券</w:t>
            </w:r>
          </w:p>
        </w:tc>
      </w:tr>
      <w:tr w14:paraId="118B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0CC054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29</w:t>
            </w:r>
          </w:p>
        </w:tc>
        <w:tc>
          <w:tcPr>
            <w:tcW w:w="987" w:type="pct"/>
            <w:shd w:val="clear" w:color="000000" w:fill="auto"/>
            <w:noWrap/>
            <w:vAlign w:val="center"/>
          </w:tcPr>
          <w:p w14:paraId="4910A47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刘健</w:t>
            </w:r>
          </w:p>
        </w:tc>
        <w:tc>
          <w:tcPr>
            <w:tcW w:w="1227" w:type="pct"/>
            <w:shd w:val="clear" w:color="000000" w:fill="auto"/>
            <w:noWrap/>
            <w:vAlign w:val="center"/>
          </w:tcPr>
          <w:p w14:paraId="21ABEDD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摩根资产</w:t>
            </w:r>
          </w:p>
        </w:tc>
        <w:tc>
          <w:tcPr>
            <w:tcW w:w="463" w:type="pct"/>
            <w:shd w:val="clear" w:color="000000" w:fill="auto"/>
            <w:noWrap/>
            <w:vAlign w:val="center"/>
          </w:tcPr>
          <w:p w14:paraId="0847021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30</w:t>
            </w:r>
          </w:p>
        </w:tc>
        <w:tc>
          <w:tcPr>
            <w:tcW w:w="787" w:type="pct"/>
            <w:shd w:val="clear" w:color="000000" w:fill="auto"/>
            <w:noWrap/>
            <w:vAlign w:val="center"/>
          </w:tcPr>
          <w:p w14:paraId="79EC09F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赵宇</w:t>
            </w:r>
          </w:p>
        </w:tc>
        <w:tc>
          <w:tcPr>
            <w:tcW w:w="1121" w:type="pct"/>
            <w:shd w:val="clear" w:color="000000" w:fill="auto"/>
            <w:noWrap/>
            <w:vAlign w:val="center"/>
          </w:tcPr>
          <w:p w14:paraId="301792B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新华养老</w:t>
            </w:r>
          </w:p>
        </w:tc>
      </w:tr>
      <w:tr w14:paraId="29C3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C6F0A8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31</w:t>
            </w:r>
          </w:p>
        </w:tc>
        <w:tc>
          <w:tcPr>
            <w:tcW w:w="987" w:type="pct"/>
            <w:shd w:val="clear" w:color="000000" w:fill="auto"/>
            <w:noWrap/>
            <w:vAlign w:val="center"/>
          </w:tcPr>
          <w:p w14:paraId="01EB91B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刘婷</w:t>
            </w:r>
          </w:p>
        </w:tc>
        <w:tc>
          <w:tcPr>
            <w:tcW w:w="1227" w:type="pct"/>
            <w:shd w:val="clear" w:color="000000" w:fill="auto"/>
            <w:noWrap/>
            <w:vAlign w:val="center"/>
          </w:tcPr>
          <w:p w14:paraId="5515F91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w:t>
            </w:r>
          </w:p>
        </w:tc>
        <w:tc>
          <w:tcPr>
            <w:tcW w:w="463" w:type="pct"/>
            <w:shd w:val="clear" w:color="000000" w:fill="auto"/>
            <w:noWrap/>
            <w:vAlign w:val="center"/>
          </w:tcPr>
          <w:p w14:paraId="0675E30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32</w:t>
            </w:r>
          </w:p>
        </w:tc>
        <w:tc>
          <w:tcPr>
            <w:tcW w:w="787" w:type="pct"/>
            <w:shd w:val="clear" w:color="000000" w:fill="auto"/>
            <w:noWrap/>
            <w:vAlign w:val="center"/>
          </w:tcPr>
          <w:p w14:paraId="227DCF0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郑亮</w:t>
            </w:r>
          </w:p>
        </w:tc>
        <w:tc>
          <w:tcPr>
            <w:tcW w:w="1121" w:type="pct"/>
            <w:shd w:val="clear" w:color="000000" w:fill="auto"/>
            <w:noWrap/>
            <w:vAlign w:val="center"/>
          </w:tcPr>
          <w:p w14:paraId="7105490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杭银理财</w:t>
            </w:r>
          </w:p>
        </w:tc>
      </w:tr>
      <w:tr w14:paraId="718F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411E3D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33</w:t>
            </w:r>
          </w:p>
        </w:tc>
        <w:tc>
          <w:tcPr>
            <w:tcW w:w="987" w:type="pct"/>
            <w:shd w:val="clear" w:color="000000" w:fill="auto"/>
            <w:noWrap/>
            <w:vAlign w:val="center"/>
          </w:tcPr>
          <w:p w14:paraId="19517B7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陈启航</w:t>
            </w:r>
          </w:p>
        </w:tc>
        <w:tc>
          <w:tcPr>
            <w:tcW w:w="1227" w:type="pct"/>
            <w:shd w:val="clear" w:color="000000" w:fill="auto"/>
            <w:noWrap/>
            <w:vAlign w:val="center"/>
          </w:tcPr>
          <w:p w14:paraId="4BB6B19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民生理财</w:t>
            </w:r>
          </w:p>
        </w:tc>
        <w:tc>
          <w:tcPr>
            <w:tcW w:w="463" w:type="pct"/>
            <w:shd w:val="clear" w:color="000000" w:fill="auto"/>
            <w:noWrap/>
            <w:vAlign w:val="center"/>
          </w:tcPr>
          <w:p w14:paraId="0BF334B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34</w:t>
            </w:r>
          </w:p>
        </w:tc>
        <w:tc>
          <w:tcPr>
            <w:tcW w:w="787" w:type="pct"/>
            <w:shd w:val="clear" w:color="000000" w:fill="auto"/>
            <w:noWrap/>
            <w:vAlign w:val="center"/>
          </w:tcPr>
          <w:p w14:paraId="6DBBB7B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钱栋彪</w:t>
            </w:r>
          </w:p>
        </w:tc>
        <w:tc>
          <w:tcPr>
            <w:tcW w:w="1121" w:type="pct"/>
            <w:shd w:val="clear" w:color="000000" w:fill="auto"/>
            <w:noWrap/>
            <w:vAlign w:val="center"/>
          </w:tcPr>
          <w:p w14:paraId="4EEF110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泰信基金</w:t>
            </w:r>
          </w:p>
        </w:tc>
      </w:tr>
      <w:tr w14:paraId="0250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139AAB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35</w:t>
            </w:r>
          </w:p>
        </w:tc>
        <w:tc>
          <w:tcPr>
            <w:tcW w:w="987" w:type="pct"/>
            <w:shd w:val="clear" w:color="000000" w:fill="auto"/>
            <w:noWrap/>
            <w:vAlign w:val="center"/>
          </w:tcPr>
          <w:p w14:paraId="043D4B8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邓怡</w:t>
            </w:r>
          </w:p>
        </w:tc>
        <w:tc>
          <w:tcPr>
            <w:tcW w:w="1227" w:type="pct"/>
            <w:shd w:val="clear" w:color="000000" w:fill="auto"/>
            <w:noWrap/>
            <w:vAlign w:val="center"/>
          </w:tcPr>
          <w:p w14:paraId="79FAAAD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浙商基金</w:t>
            </w:r>
          </w:p>
        </w:tc>
        <w:tc>
          <w:tcPr>
            <w:tcW w:w="463" w:type="pct"/>
            <w:shd w:val="clear" w:color="000000" w:fill="auto"/>
            <w:noWrap/>
            <w:vAlign w:val="center"/>
          </w:tcPr>
          <w:p w14:paraId="63840FB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36</w:t>
            </w:r>
          </w:p>
        </w:tc>
        <w:tc>
          <w:tcPr>
            <w:tcW w:w="787" w:type="pct"/>
            <w:shd w:val="clear" w:color="000000" w:fill="auto"/>
            <w:noWrap/>
            <w:vAlign w:val="center"/>
          </w:tcPr>
          <w:p w14:paraId="37A2D1E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陈业</w:t>
            </w:r>
          </w:p>
        </w:tc>
        <w:tc>
          <w:tcPr>
            <w:tcW w:w="1121" w:type="pct"/>
            <w:shd w:val="clear" w:color="000000" w:fill="auto"/>
            <w:noWrap/>
            <w:vAlign w:val="center"/>
          </w:tcPr>
          <w:p w14:paraId="1A0D726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源峰基金</w:t>
            </w:r>
          </w:p>
        </w:tc>
      </w:tr>
      <w:tr w14:paraId="6347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28ACDB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37</w:t>
            </w:r>
          </w:p>
        </w:tc>
        <w:tc>
          <w:tcPr>
            <w:tcW w:w="987" w:type="pct"/>
            <w:shd w:val="clear" w:color="000000" w:fill="auto"/>
            <w:noWrap/>
            <w:vAlign w:val="center"/>
          </w:tcPr>
          <w:p w14:paraId="0CBD908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蒋凌萌</w:t>
            </w:r>
          </w:p>
        </w:tc>
        <w:tc>
          <w:tcPr>
            <w:tcW w:w="1227" w:type="pct"/>
            <w:shd w:val="clear" w:color="000000" w:fill="auto"/>
            <w:noWrap/>
            <w:vAlign w:val="center"/>
          </w:tcPr>
          <w:p w14:paraId="3940762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红筹投资</w:t>
            </w:r>
          </w:p>
        </w:tc>
        <w:tc>
          <w:tcPr>
            <w:tcW w:w="463" w:type="pct"/>
            <w:shd w:val="clear" w:color="000000" w:fill="auto"/>
            <w:noWrap/>
            <w:vAlign w:val="center"/>
          </w:tcPr>
          <w:p w14:paraId="6FC7E5D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38</w:t>
            </w:r>
          </w:p>
        </w:tc>
        <w:tc>
          <w:tcPr>
            <w:tcW w:w="787" w:type="pct"/>
            <w:shd w:val="clear" w:color="000000" w:fill="auto"/>
            <w:noWrap/>
            <w:vAlign w:val="center"/>
          </w:tcPr>
          <w:p w14:paraId="5405065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苏林洁</w:t>
            </w:r>
          </w:p>
        </w:tc>
        <w:tc>
          <w:tcPr>
            <w:tcW w:w="1121" w:type="pct"/>
            <w:shd w:val="clear" w:color="000000" w:fill="auto"/>
            <w:noWrap/>
            <w:vAlign w:val="center"/>
          </w:tcPr>
          <w:p w14:paraId="61CE32A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融通基金</w:t>
            </w:r>
          </w:p>
        </w:tc>
      </w:tr>
      <w:tr w14:paraId="3EB2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6252B2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39</w:t>
            </w:r>
          </w:p>
        </w:tc>
        <w:tc>
          <w:tcPr>
            <w:tcW w:w="987" w:type="pct"/>
            <w:shd w:val="clear" w:color="000000" w:fill="auto"/>
            <w:noWrap/>
            <w:vAlign w:val="center"/>
          </w:tcPr>
          <w:p w14:paraId="6D6E1EA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曾广坤</w:t>
            </w:r>
          </w:p>
        </w:tc>
        <w:tc>
          <w:tcPr>
            <w:tcW w:w="1227" w:type="pct"/>
            <w:shd w:val="clear" w:color="000000" w:fill="auto"/>
            <w:noWrap/>
            <w:vAlign w:val="center"/>
          </w:tcPr>
          <w:p w14:paraId="0B2810A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诺安基金</w:t>
            </w:r>
          </w:p>
        </w:tc>
        <w:tc>
          <w:tcPr>
            <w:tcW w:w="463" w:type="pct"/>
            <w:shd w:val="clear" w:color="000000" w:fill="auto"/>
            <w:noWrap/>
            <w:vAlign w:val="center"/>
          </w:tcPr>
          <w:p w14:paraId="3B89B2E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40</w:t>
            </w:r>
          </w:p>
        </w:tc>
        <w:tc>
          <w:tcPr>
            <w:tcW w:w="787" w:type="pct"/>
            <w:shd w:val="clear" w:color="000000" w:fill="auto"/>
            <w:noWrap/>
            <w:vAlign w:val="center"/>
          </w:tcPr>
          <w:p w14:paraId="1696810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童宇</w:t>
            </w:r>
          </w:p>
        </w:tc>
        <w:tc>
          <w:tcPr>
            <w:tcW w:w="1121" w:type="pct"/>
            <w:shd w:val="clear" w:color="000000" w:fill="auto"/>
            <w:noWrap/>
            <w:vAlign w:val="center"/>
          </w:tcPr>
          <w:p w14:paraId="5065451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诺安基金</w:t>
            </w:r>
          </w:p>
        </w:tc>
      </w:tr>
      <w:tr w14:paraId="32CC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9AD070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41</w:t>
            </w:r>
          </w:p>
        </w:tc>
        <w:tc>
          <w:tcPr>
            <w:tcW w:w="987" w:type="pct"/>
            <w:shd w:val="clear" w:color="000000" w:fill="auto"/>
            <w:noWrap/>
            <w:vAlign w:val="center"/>
          </w:tcPr>
          <w:p w14:paraId="0036311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晏雯昕</w:t>
            </w:r>
          </w:p>
        </w:tc>
        <w:tc>
          <w:tcPr>
            <w:tcW w:w="1227" w:type="pct"/>
            <w:shd w:val="clear" w:color="000000" w:fill="auto"/>
            <w:noWrap/>
            <w:vAlign w:val="center"/>
          </w:tcPr>
          <w:p w14:paraId="653FEC23">
            <w:pPr>
              <w:widowControl/>
              <w:jc w:val="center"/>
              <w:rPr>
                <w:rFonts w:hint="eastAsia" w:ascii="Times New Roman" w:hAnsi="Times New Roman" w:eastAsia="宋体" w:cs="Times New Roman"/>
                <w:color w:val="000000"/>
                <w:kern w:val="0"/>
                <w:sz w:val="21"/>
                <w:szCs w:val="22"/>
                <w:lang w:val="en-US" w:eastAsia="zh-CN" w:bidi="ar-SA"/>
              </w:rPr>
            </w:pPr>
            <w:r>
              <w:rPr>
                <w:rFonts w:hint="eastAsia" w:ascii="Times New Roman" w:hAnsi="Times New Roman" w:eastAsia="宋体" w:cs="Times New Roman"/>
                <w:color w:val="000000"/>
                <w:kern w:val="0"/>
                <w:sz w:val="21"/>
                <w:szCs w:val="22"/>
                <w:lang w:val="en-US" w:eastAsia="zh-CN" w:bidi="ar-SA"/>
              </w:rPr>
              <w:t>财通资管</w:t>
            </w:r>
          </w:p>
        </w:tc>
        <w:tc>
          <w:tcPr>
            <w:tcW w:w="463" w:type="pct"/>
            <w:shd w:val="clear" w:color="000000" w:fill="auto"/>
            <w:noWrap/>
            <w:vAlign w:val="center"/>
          </w:tcPr>
          <w:p w14:paraId="726695B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42</w:t>
            </w:r>
          </w:p>
        </w:tc>
        <w:tc>
          <w:tcPr>
            <w:tcW w:w="787" w:type="pct"/>
            <w:shd w:val="clear" w:color="000000" w:fill="auto"/>
            <w:noWrap/>
            <w:vAlign w:val="center"/>
          </w:tcPr>
          <w:p w14:paraId="39D883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姚启璠</w:t>
            </w:r>
          </w:p>
        </w:tc>
        <w:tc>
          <w:tcPr>
            <w:tcW w:w="1121" w:type="pct"/>
            <w:shd w:val="clear" w:color="000000" w:fill="auto"/>
            <w:noWrap/>
            <w:vAlign w:val="center"/>
          </w:tcPr>
          <w:p w14:paraId="6A5065D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鑫元基金</w:t>
            </w:r>
          </w:p>
        </w:tc>
      </w:tr>
      <w:tr w14:paraId="1A5E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932D04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43</w:t>
            </w:r>
          </w:p>
        </w:tc>
        <w:tc>
          <w:tcPr>
            <w:tcW w:w="987" w:type="pct"/>
            <w:shd w:val="clear" w:color="000000" w:fill="auto"/>
            <w:noWrap/>
            <w:vAlign w:val="center"/>
          </w:tcPr>
          <w:p w14:paraId="5F0DC7E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王雅轩</w:t>
            </w:r>
          </w:p>
        </w:tc>
        <w:tc>
          <w:tcPr>
            <w:tcW w:w="1227" w:type="pct"/>
            <w:shd w:val="clear" w:color="000000" w:fill="auto"/>
            <w:noWrap/>
            <w:vAlign w:val="center"/>
          </w:tcPr>
          <w:p w14:paraId="3ED6696E">
            <w:pPr>
              <w:widowControl/>
              <w:jc w:val="center"/>
              <w:rPr>
                <w:rFonts w:hint="eastAsia" w:ascii="Times New Roman" w:hAnsi="Times New Roman" w:eastAsia="宋体" w:cs="Times New Roman"/>
                <w:color w:val="000000"/>
                <w:kern w:val="0"/>
                <w:sz w:val="21"/>
                <w:szCs w:val="22"/>
                <w:lang w:val="en-US" w:eastAsia="zh-CN" w:bidi="ar-SA"/>
              </w:rPr>
            </w:pPr>
            <w:r>
              <w:rPr>
                <w:rFonts w:hint="eastAsia" w:ascii="Times New Roman" w:hAnsi="Times New Roman" w:eastAsia="宋体" w:cs="Times New Roman"/>
                <w:color w:val="000000"/>
                <w:kern w:val="0"/>
                <w:sz w:val="21"/>
                <w:szCs w:val="22"/>
                <w:lang w:val="en-US" w:eastAsia="zh-CN" w:bidi="ar-SA"/>
              </w:rPr>
              <w:t>鑫元基金</w:t>
            </w:r>
          </w:p>
        </w:tc>
        <w:tc>
          <w:tcPr>
            <w:tcW w:w="463" w:type="pct"/>
            <w:shd w:val="clear" w:color="000000" w:fill="auto"/>
            <w:noWrap/>
            <w:vAlign w:val="center"/>
          </w:tcPr>
          <w:p w14:paraId="70AEFB2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44</w:t>
            </w:r>
          </w:p>
        </w:tc>
        <w:tc>
          <w:tcPr>
            <w:tcW w:w="787" w:type="pct"/>
            <w:shd w:val="clear" w:color="000000" w:fill="auto"/>
            <w:noWrap/>
            <w:vAlign w:val="center"/>
          </w:tcPr>
          <w:p w14:paraId="7DF2046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于嘉馨</w:t>
            </w:r>
          </w:p>
        </w:tc>
        <w:tc>
          <w:tcPr>
            <w:tcW w:w="1121" w:type="pct"/>
            <w:shd w:val="clear" w:color="000000" w:fill="auto"/>
            <w:noWrap/>
            <w:vAlign w:val="center"/>
          </w:tcPr>
          <w:p w14:paraId="62909F0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银河基金</w:t>
            </w:r>
          </w:p>
        </w:tc>
      </w:tr>
      <w:tr w14:paraId="3048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371444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45</w:t>
            </w:r>
          </w:p>
        </w:tc>
        <w:tc>
          <w:tcPr>
            <w:tcW w:w="987" w:type="pct"/>
            <w:shd w:val="clear" w:color="000000" w:fill="auto"/>
            <w:noWrap/>
            <w:vAlign w:val="center"/>
          </w:tcPr>
          <w:p w14:paraId="0BEF7A1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刘正</w:t>
            </w:r>
          </w:p>
        </w:tc>
        <w:tc>
          <w:tcPr>
            <w:tcW w:w="1227" w:type="pct"/>
            <w:shd w:val="clear" w:color="000000" w:fill="auto"/>
            <w:noWrap/>
            <w:vAlign w:val="center"/>
          </w:tcPr>
          <w:p w14:paraId="5B3969DD">
            <w:pPr>
              <w:widowControl/>
              <w:jc w:val="center"/>
              <w:rPr>
                <w:rFonts w:hint="eastAsia" w:ascii="Times New Roman" w:hAnsi="Times New Roman" w:eastAsia="宋体" w:cs="Times New Roman"/>
                <w:color w:val="000000"/>
                <w:kern w:val="0"/>
                <w:sz w:val="21"/>
                <w:szCs w:val="22"/>
                <w:lang w:val="en-US" w:eastAsia="zh-CN" w:bidi="ar-SA"/>
              </w:rPr>
            </w:pPr>
            <w:r>
              <w:rPr>
                <w:rFonts w:hint="eastAsia" w:ascii="Times New Roman" w:hAnsi="Times New Roman" w:eastAsia="宋体" w:cs="Times New Roman"/>
                <w:color w:val="000000"/>
                <w:kern w:val="0"/>
                <w:sz w:val="21"/>
                <w:szCs w:val="22"/>
                <w:lang w:val="en-US" w:eastAsia="zh-CN" w:bidi="ar-SA"/>
              </w:rPr>
              <w:t>鸿商资本</w:t>
            </w:r>
          </w:p>
        </w:tc>
        <w:tc>
          <w:tcPr>
            <w:tcW w:w="463" w:type="pct"/>
            <w:shd w:val="clear" w:color="000000" w:fill="auto"/>
            <w:noWrap/>
            <w:vAlign w:val="center"/>
          </w:tcPr>
          <w:p w14:paraId="09D8C8A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46</w:t>
            </w:r>
          </w:p>
        </w:tc>
        <w:tc>
          <w:tcPr>
            <w:tcW w:w="787" w:type="pct"/>
            <w:shd w:val="clear" w:color="000000" w:fill="auto"/>
            <w:noWrap/>
            <w:vAlign w:val="center"/>
          </w:tcPr>
          <w:p w14:paraId="3BA5D67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郑澄然</w:t>
            </w:r>
          </w:p>
        </w:tc>
        <w:tc>
          <w:tcPr>
            <w:tcW w:w="1121" w:type="pct"/>
            <w:shd w:val="clear" w:color="000000" w:fill="auto"/>
            <w:noWrap/>
            <w:vAlign w:val="center"/>
          </w:tcPr>
          <w:p w14:paraId="2817E06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广发基金</w:t>
            </w:r>
          </w:p>
        </w:tc>
      </w:tr>
    </w:tbl>
    <w:p w14:paraId="4243B4E5">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03</w:t>
      </w:r>
      <w:r>
        <w:rPr>
          <w:rFonts w:hint="eastAsia"/>
          <w:b/>
          <w:bCs/>
        </w:rPr>
        <w:t>日，</w:t>
      </w:r>
      <w:r>
        <w:rPr>
          <w:rFonts w:hint="eastAsia"/>
          <w:b/>
          <w:bCs/>
          <w:lang w:val="en-US" w:eastAsia="zh-CN"/>
        </w:rPr>
        <w:t>参加长江证券组织的线上调研</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3878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47A3947E">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59E26E4C">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4EE9C8F1">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07D79AAB">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7557980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7E581A84">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5336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73658A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1BA9BDD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马雪薇</w:t>
            </w:r>
          </w:p>
        </w:tc>
        <w:tc>
          <w:tcPr>
            <w:tcW w:w="1226" w:type="pct"/>
            <w:shd w:val="clear" w:color="000000" w:fill="auto"/>
            <w:noWrap/>
            <w:vAlign w:val="center"/>
          </w:tcPr>
          <w:p w14:paraId="6FB3C84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天弘基金</w:t>
            </w:r>
          </w:p>
        </w:tc>
        <w:tc>
          <w:tcPr>
            <w:tcW w:w="463" w:type="pct"/>
            <w:shd w:val="clear" w:color="000000" w:fill="auto"/>
            <w:noWrap/>
            <w:vAlign w:val="center"/>
          </w:tcPr>
          <w:p w14:paraId="21A9FB1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6152747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薛莉丽</w:t>
            </w:r>
          </w:p>
        </w:tc>
        <w:tc>
          <w:tcPr>
            <w:tcW w:w="1121" w:type="pct"/>
            <w:shd w:val="clear" w:color="000000" w:fill="auto"/>
            <w:noWrap/>
            <w:vAlign w:val="center"/>
          </w:tcPr>
          <w:p w14:paraId="02D744D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天弘基金</w:t>
            </w:r>
          </w:p>
        </w:tc>
      </w:tr>
      <w:tr w14:paraId="3AF1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26ACEB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618EE21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张迪欧</w:t>
            </w:r>
          </w:p>
        </w:tc>
        <w:tc>
          <w:tcPr>
            <w:tcW w:w="1226" w:type="pct"/>
            <w:shd w:val="clear" w:color="000000" w:fill="auto"/>
            <w:noWrap/>
            <w:vAlign w:val="center"/>
          </w:tcPr>
          <w:p w14:paraId="600C539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摩根士丹利</w:t>
            </w:r>
          </w:p>
        </w:tc>
        <w:tc>
          <w:tcPr>
            <w:tcW w:w="463" w:type="pct"/>
            <w:shd w:val="clear" w:color="000000" w:fill="auto"/>
            <w:noWrap/>
            <w:vAlign w:val="center"/>
          </w:tcPr>
          <w:p w14:paraId="0764D49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76F08F6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费馨涵</w:t>
            </w:r>
          </w:p>
        </w:tc>
        <w:tc>
          <w:tcPr>
            <w:tcW w:w="1121" w:type="pct"/>
            <w:shd w:val="clear" w:color="000000" w:fill="auto"/>
            <w:noWrap/>
            <w:vAlign w:val="center"/>
          </w:tcPr>
          <w:p w14:paraId="5FD46CB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汇丰晋信</w:t>
            </w:r>
          </w:p>
        </w:tc>
      </w:tr>
      <w:tr w14:paraId="2063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E103B7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4B5AF8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李文华</w:t>
            </w:r>
          </w:p>
        </w:tc>
        <w:tc>
          <w:tcPr>
            <w:tcW w:w="1226" w:type="pct"/>
            <w:shd w:val="clear" w:color="000000" w:fill="auto"/>
            <w:noWrap/>
            <w:vAlign w:val="center"/>
          </w:tcPr>
          <w:p w14:paraId="7353E5A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汇丰晋信</w:t>
            </w:r>
          </w:p>
        </w:tc>
        <w:tc>
          <w:tcPr>
            <w:tcW w:w="463" w:type="pct"/>
            <w:shd w:val="clear" w:color="000000" w:fill="auto"/>
            <w:noWrap/>
            <w:vAlign w:val="center"/>
          </w:tcPr>
          <w:p w14:paraId="12FB5CA3">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218EC316">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4297A4A9">
            <w:pPr>
              <w:widowControl/>
              <w:jc w:val="center"/>
              <w:rPr>
                <w:rFonts w:hint="eastAsia" w:ascii="Times New Roman" w:hAnsi="Times New Roman" w:cs="Times New Roman"/>
                <w:color w:val="000000"/>
                <w:kern w:val="0"/>
                <w:sz w:val="21"/>
                <w:szCs w:val="22"/>
                <w:lang w:val="en-US" w:eastAsia="zh-CN"/>
              </w:rPr>
            </w:pPr>
          </w:p>
        </w:tc>
      </w:tr>
    </w:tbl>
    <w:p w14:paraId="41A02F90">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04</w:t>
      </w:r>
      <w:r>
        <w:rPr>
          <w:rFonts w:hint="eastAsia"/>
          <w:b/>
          <w:bCs/>
        </w:rPr>
        <w:t>日，</w:t>
      </w:r>
      <w:r>
        <w:rPr>
          <w:rFonts w:hint="eastAsia"/>
          <w:b/>
          <w:bCs/>
          <w:lang w:val="en-US" w:eastAsia="zh-CN"/>
        </w:rPr>
        <w:t>参加浙商证券组织的线上调研</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06378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247D2E4B">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741A1604">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1C4C31F0">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33819C8B">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25C79DD4">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68119E25">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189B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7ACCAF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7F006FF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李杨</w:t>
            </w:r>
          </w:p>
        </w:tc>
        <w:tc>
          <w:tcPr>
            <w:tcW w:w="1226" w:type="pct"/>
            <w:shd w:val="clear" w:color="000000" w:fill="auto"/>
            <w:noWrap/>
            <w:vAlign w:val="center"/>
          </w:tcPr>
          <w:p w14:paraId="22498C4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w:t>
            </w:r>
          </w:p>
        </w:tc>
        <w:tc>
          <w:tcPr>
            <w:tcW w:w="463" w:type="pct"/>
            <w:shd w:val="clear" w:color="000000" w:fill="auto"/>
            <w:noWrap/>
            <w:vAlign w:val="center"/>
          </w:tcPr>
          <w:p w14:paraId="1E94A6B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1EF8258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李东正</w:t>
            </w:r>
          </w:p>
        </w:tc>
        <w:tc>
          <w:tcPr>
            <w:tcW w:w="1121" w:type="pct"/>
            <w:shd w:val="clear" w:color="000000" w:fill="auto"/>
            <w:noWrap/>
            <w:vAlign w:val="center"/>
          </w:tcPr>
          <w:p w14:paraId="3C9283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w:t>
            </w:r>
          </w:p>
        </w:tc>
      </w:tr>
      <w:tr w14:paraId="7C1E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567DE80">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288A5D4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雷凯</w:t>
            </w:r>
          </w:p>
        </w:tc>
        <w:tc>
          <w:tcPr>
            <w:tcW w:w="1226" w:type="pct"/>
            <w:shd w:val="clear" w:color="000000" w:fill="auto"/>
            <w:noWrap/>
            <w:vAlign w:val="center"/>
          </w:tcPr>
          <w:p w14:paraId="775D41A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w:t>
            </w:r>
          </w:p>
        </w:tc>
        <w:tc>
          <w:tcPr>
            <w:tcW w:w="463" w:type="pct"/>
            <w:shd w:val="clear" w:color="000000" w:fill="auto"/>
            <w:noWrap/>
            <w:vAlign w:val="center"/>
          </w:tcPr>
          <w:p w14:paraId="6FC8A54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643B05D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韩越秦</w:t>
            </w:r>
          </w:p>
        </w:tc>
        <w:tc>
          <w:tcPr>
            <w:tcW w:w="1121" w:type="pct"/>
            <w:shd w:val="clear" w:color="000000" w:fill="auto"/>
            <w:noWrap/>
            <w:vAlign w:val="center"/>
          </w:tcPr>
          <w:p w14:paraId="4DBB84F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w:t>
            </w:r>
          </w:p>
        </w:tc>
      </w:tr>
      <w:tr w14:paraId="4A98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6489900">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1B59458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郑思</w:t>
            </w:r>
          </w:p>
        </w:tc>
        <w:tc>
          <w:tcPr>
            <w:tcW w:w="1226" w:type="pct"/>
            <w:shd w:val="clear" w:color="000000" w:fill="auto"/>
            <w:noWrap/>
            <w:vAlign w:val="center"/>
          </w:tcPr>
          <w:p w14:paraId="64BF175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新华资产</w:t>
            </w:r>
          </w:p>
        </w:tc>
        <w:tc>
          <w:tcPr>
            <w:tcW w:w="463" w:type="pct"/>
            <w:shd w:val="clear" w:color="000000" w:fill="auto"/>
            <w:noWrap/>
            <w:vAlign w:val="center"/>
          </w:tcPr>
          <w:p w14:paraId="2BF9E62A">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2B4E57F8">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04B3219A">
            <w:pPr>
              <w:widowControl/>
              <w:jc w:val="center"/>
              <w:rPr>
                <w:rFonts w:hint="eastAsia" w:ascii="Times New Roman" w:hAnsi="Times New Roman" w:cs="Times New Roman"/>
                <w:color w:val="000000"/>
                <w:kern w:val="0"/>
                <w:sz w:val="21"/>
                <w:szCs w:val="22"/>
                <w:lang w:val="en-US" w:eastAsia="zh-CN"/>
              </w:rPr>
            </w:pPr>
          </w:p>
        </w:tc>
      </w:tr>
    </w:tbl>
    <w:p w14:paraId="31F4321B">
      <w:pPr>
        <w:spacing w:line="360" w:lineRule="auto"/>
        <w:rPr>
          <w:rFonts w:hint="eastAsia" w:ascii="Times New Roman" w:hAnsi="Times New Roman" w:cs="Times New Roman"/>
          <w:b/>
          <w:bCs/>
        </w:rPr>
      </w:pPr>
      <w:r>
        <w:rPr>
          <w:rFonts w:hint="eastAsia" w:ascii="Times New Roman" w:hAnsi="Times New Roman" w:cs="Times New Roman"/>
          <w:b/>
          <w:bCs/>
        </w:rPr>
        <w:t>2026年09月10日，公司在上海证券交易所上证路演中心召开 2026年半年度业绩说明会。</w:t>
      </w:r>
    </w:p>
    <w:p w14:paraId="6235AD55">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11</w:t>
      </w:r>
      <w:r>
        <w:rPr>
          <w:rFonts w:hint="eastAsia"/>
          <w:b/>
          <w:bCs/>
        </w:rPr>
        <w:t>日，</w:t>
      </w:r>
      <w:r>
        <w:rPr>
          <w:rFonts w:hint="eastAsia"/>
          <w:b/>
          <w:bCs/>
          <w:lang w:val="en-US" w:eastAsia="zh-CN"/>
        </w:rPr>
        <w:t>参加国联民生证券组织的线上调研</w:t>
      </w:r>
      <w:r>
        <w:rPr>
          <w:rFonts w:hint="eastAsia"/>
          <w:b/>
          <w:bCs/>
        </w:rPr>
        <w:t>。</w:t>
      </w:r>
    </w:p>
    <w:tbl>
      <w:tblPr>
        <w:tblStyle w:val="9"/>
        <w:tblW w:w="43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593"/>
        <w:gridCol w:w="1416"/>
        <w:gridCol w:w="1760"/>
        <w:gridCol w:w="664"/>
        <w:gridCol w:w="1128"/>
        <w:gridCol w:w="1609"/>
      </w:tblGrid>
      <w:tr w14:paraId="63BF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0BCB9390">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47E181A9">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57B4A378">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2" w:type="pct"/>
            <w:shd w:val="clear" w:color="auto" w:fill="D8D8D8" w:themeFill="background1" w:themeFillShade="D9"/>
            <w:noWrap/>
            <w:vAlign w:val="center"/>
          </w:tcPr>
          <w:p w14:paraId="3DE979C3">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148B246A">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2" w:type="pct"/>
            <w:shd w:val="clear" w:color="auto" w:fill="D8D8D8" w:themeFill="background1" w:themeFillShade="D9"/>
            <w:noWrap/>
            <w:vAlign w:val="center"/>
          </w:tcPr>
          <w:p w14:paraId="1A7A37A2">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1643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B1AB6A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19DE169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余驰</w:t>
            </w:r>
          </w:p>
        </w:tc>
        <w:tc>
          <w:tcPr>
            <w:tcW w:w="1227" w:type="pct"/>
            <w:shd w:val="clear" w:color="000000" w:fill="auto"/>
            <w:noWrap/>
            <w:vAlign w:val="center"/>
          </w:tcPr>
          <w:p w14:paraId="1B97266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富国基金</w:t>
            </w:r>
          </w:p>
        </w:tc>
        <w:tc>
          <w:tcPr>
            <w:tcW w:w="462" w:type="pct"/>
            <w:shd w:val="clear" w:color="000000" w:fill="auto"/>
            <w:noWrap/>
            <w:vAlign w:val="center"/>
          </w:tcPr>
          <w:p w14:paraId="1B7F1B3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6CAC5BA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生名扬</w:t>
            </w:r>
          </w:p>
        </w:tc>
        <w:tc>
          <w:tcPr>
            <w:tcW w:w="1122" w:type="pct"/>
            <w:shd w:val="clear" w:color="000000" w:fill="auto"/>
            <w:noWrap/>
            <w:vAlign w:val="center"/>
          </w:tcPr>
          <w:p w14:paraId="5A3D47B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易方达基金</w:t>
            </w:r>
          </w:p>
        </w:tc>
      </w:tr>
      <w:tr w14:paraId="51E3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930365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096EE93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朱丽丽</w:t>
            </w:r>
          </w:p>
        </w:tc>
        <w:tc>
          <w:tcPr>
            <w:tcW w:w="1227" w:type="pct"/>
            <w:shd w:val="clear" w:color="000000" w:fill="auto"/>
            <w:noWrap/>
            <w:vAlign w:val="center"/>
          </w:tcPr>
          <w:p w14:paraId="3540153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平安养老</w:t>
            </w:r>
          </w:p>
        </w:tc>
        <w:tc>
          <w:tcPr>
            <w:tcW w:w="462" w:type="pct"/>
            <w:shd w:val="clear" w:color="000000" w:fill="auto"/>
            <w:noWrap/>
            <w:vAlign w:val="center"/>
          </w:tcPr>
          <w:p w14:paraId="71F6821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10AFC4F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王星云</w:t>
            </w:r>
          </w:p>
        </w:tc>
        <w:tc>
          <w:tcPr>
            <w:tcW w:w="1122" w:type="pct"/>
            <w:shd w:val="clear" w:color="000000" w:fill="auto"/>
            <w:noWrap/>
            <w:vAlign w:val="center"/>
          </w:tcPr>
          <w:p w14:paraId="3A9645E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安信基金</w:t>
            </w:r>
          </w:p>
        </w:tc>
      </w:tr>
      <w:tr w14:paraId="29DD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5339DE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24E28C3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林伟强</w:t>
            </w:r>
          </w:p>
        </w:tc>
        <w:tc>
          <w:tcPr>
            <w:tcW w:w="1227" w:type="pct"/>
            <w:shd w:val="clear" w:color="000000" w:fill="auto"/>
            <w:noWrap/>
            <w:vAlign w:val="center"/>
          </w:tcPr>
          <w:p w14:paraId="5CC7A50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浦银安盛基金</w:t>
            </w:r>
          </w:p>
        </w:tc>
        <w:tc>
          <w:tcPr>
            <w:tcW w:w="462" w:type="pct"/>
            <w:shd w:val="clear" w:color="000000" w:fill="auto"/>
            <w:noWrap/>
            <w:vAlign w:val="center"/>
          </w:tcPr>
          <w:p w14:paraId="7B26201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6" w:type="pct"/>
            <w:shd w:val="clear" w:color="000000" w:fill="auto"/>
            <w:noWrap/>
            <w:vAlign w:val="center"/>
          </w:tcPr>
          <w:p w14:paraId="0C80509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祝松</w:t>
            </w:r>
          </w:p>
        </w:tc>
        <w:tc>
          <w:tcPr>
            <w:tcW w:w="1122" w:type="pct"/>
            <w:shd w:val="clear" w:color="000000" w:fill="auto"/>
            <w:noWrap/>
            <w:vAlign w:val="center"/>
          </w:tcPr>
          <w:p w14:paraId="54D5E5B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鹏华基金</w:t>
            </w:r>
          </w:p>
        </w:tc>
      </w:tr>
      <w:tr w14:paraId="3542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9AE6D0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5FD8255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陈太中</w:t>
            </w:r>
          </w:p>
        </w:tc>
        <w:tc>
          <w:tcPr>
            <w:tcW w:w="1227" w:type="pct"/>
            <w:shd w:val="clear" w:color="000000" w:fill="auto"/>
            <w:noWrap/>
            <w:vAlign w:val="center"/>
          </w:tcPr>
          <w:p w14:paraId="15A109B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中泰资管</w:t>
            </w:r>
          </w:p>
        </w:tc>
        <w:tc>
          <w:tcPr>
            <w:tcW w:w="682" w:type="dxa"/>
            <w:shd w:val="clear" w:color="000000" w:fill="auto"/>
            <w:noWrap/>
            <w:vAlign w:val="center"/>
          </w:tcPr>
          <w:p w14:paraId="3EBFF21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6" w:type="pct"/>
            <w:shd w:val="clear" w:color="000000" w:fill="auto"/>
            <w:noWrap/>
            <w:vAlign w:val="center"/>
          </w:tcPr>
          <w:p w14:paraId="73E4A4C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林梦</w:t>
            </w:r>
          </w:p>
        </w:tc>
        <w:tc>
          <w:tcPr>
            <w:tcW w:w="1122" w:type="pct"/>
            <w:shd w:val="clear" w:color="000000" w:fill="auto"/>
            <w:noWrap/>
            <w:vAlign w:val="center"/>
          </w:tcPr>
          <w:p w14:paraId="510B32F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工银瑞信</w:t>
            </w:r>
          </w:p>
        </w:tc>
      </w:tr>
      <w:tr w14:paraId="42A1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7BFD10C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51C5CC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李爽</w:t>
            </w:r>
          </w:p>
        </w:tc>
        <w:tc>
          <w:tcPr>
            <w:tcW w:w="1227" w:type="pct"/>
            <w:shd w:val="clear" w:color="000000" w:fill="auto"/>
            <w:noWrap/>
            <w:vAlign w:val="center"/>
          </w:tcPr>
          <w:p w14:paraId="544BDF4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银华基金</w:t>
            </w:r>
          </w:p>
        </w:tc>
        <w:tc>
          <w:tcPr>
            <w:tcW w:w="682" w:type="dxa"/>
            <w:shd w:val="clear" w:color="000000" w:fill="auto"/>
            <w:noWrap/>
            <w:vAlign w:val="center"/>
          </w:tcPr>
          <w:p w14:paraId="075B6A0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6" w:type="pct"/>
            <w:shd w:val="clear" w:color="000000" w:fill="auto"/>
            <w:noWrap/>
            <w:vAlign w:val="center"/>
          </w:tcPr>
          <w:p w14:paraId="2D4641C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王天星</w:t>
            </w:r>
          </w:p>
        </w:tc>
        <w:tc>
          <w:tcPr>
            <w:tcW w:w="1122" w:type="pct"/>
            <w:shd w:val="clear" w:color="000000" w:fill="auto"/>
            <w:noWrap/>
            <w:vAlign w:val="center"/>
          </w:tcPr>
          <w:p w14:paraId="69B56DC7">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民生加银基金</w:t>
            </w:r>
          </w:p>
        </w:tc>
      </w:tr>
      <w:tr w14:paraId="46C3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0DCE80E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6BEED08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郑名洋</w:t>
            </w:r>
          </w:p>
        </w:tc>
        <w:tc>
          <w:tcPr>
            <w:tcW w:w="1227" w:type="pct"/>
            <w:shd w:val="clear" w:color="000000" w:fill="auto"/>
            <w:noWrap/>
            <w:vAlign w:val="center"/>
          </w:tcPr>
          <w:p w14:paraId="40F42A7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泓德基金</w:t>
            </w:r>
          </w:p>
        </w:tc>
        <w:tc>
          <w:tcPr>
            <w:tcW w:w="682" w:type="dxa"/>
            <w:shd w:val="clear" w:color="000000" w:fill="auto"/>
            <w:noWrap/>
            <w:vAlign w:val="center"/>
          </w:tcPr>
          <w:p w14:paraId="76435CE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12</w:t>
            </w:r>
          </w:p>
        </w:tc>
        <w:tc>
          <w:tcPr>
            <w:tcW w:w="786" w:type="pct"/>
            <w:shd w:val="clear" w:color="000000" w:fill="auto"/>
            <w:noWrap/>
            <w:vAlign w:val="center"/>
          </w:tcPr>
          <w:p w14:paraId="06DD456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马敦超</w:t>
            </w:r>
          </w:p>
        </w:tc>
        <w:tc>
          <w:tcPr>
            <w:tcW w:w="1122" w:type="pct"/>
            <w:shd w:val="clear" w:color="000000" w:fill="auto"/>
            <w:noWrap/>
            <w:vAlign w:val="center"/>
          </w:tcPr>
          <w:p w14:paraId="4DB9D1E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阳光保险</w:t>
            </w:r>
          </w:p>
        </w:tc>
      </w:tr>
      <w:tr w14:paraId="764B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2A2C70F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13</w:t>
            </w:r>
          </w:p>
        </w:tc>
        <w:tc>
          <w:tcPr>
            <w:tcW w:w="987" w:type="pct"/>
            <w:shd w:val="clear" w:color="000000" w:fill="auto"/>
            <w:noWrap/>
            <w:vAlign w:val="center"/>
          </w:tcPr>
          <w:p w14:paraId="4F88F75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王雨丝</w:t>
            </w:r>
          </w:p>
        </w:tc>
        <w:tc>
          <w:tcPr>
            <w:tcW w:w="1227" w:type="pct"/>
            <w:shd w:val="clear" w:color="000000" w:fill="auto"/>
            <w:noWrap/>
            <w:vAlign w:val="center"/>
          </w:tcPr>
          <w:p w14:paraId="7837B87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华泰柏瑞基金</w:t>
            </w:r>
          </w:p>
        </w:tc>
        <w:tc>
          <w:tcPr>
            <w:tcW w:w="682" w:type="dxa"/>
            <w:shd w:val="clear" w:color="000000" w:fill="auto"/>
            <w:noWrap/>
            <w:vAlign w:val="center"/>
          </w:tcPr>
          <w:p w14:paraId="6CEFF84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14</w:t>
            </w:r>
          </w:p>
        </w:tc>
        <w:tc>
          <w:tcPr>
            <w:tcW w:w="786" w:type="pct"/>
            <w:shd w:val="clear" w:color="000000" w:fill="auto"/>
            <w:noWrap/>
            <w:vAlign w:val="center"/>
          </w:tcPr>
          <w:p w14:paraId="21571B7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刘安坤</w:t>
            </w:r>
          </w:p>
        </w:tc>
        <w:tc>
          <w:tcPr>
            <w:tcW w:w="1122" w:type="pct"/>
            <w:shd w:val="clear" w:color="000000" w:fill="auto"/>
            <w:noWrap/>
            <w:vAlign w:val="center"/>
          </w:tcPr>
          <w:p w14:paraId="079E8CB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融通基金</w:t>
            </w:r>
          </w:p>
        </w:tc>
      </w:tr>
      <w:tr w14:paraId="74D57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58D124F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15</w:t>
            </w:r>
          </w:p>
        </w:tc>
        <w:tc>
          <w:tcPr>
            <w:tcW w:w="987" w:type="pct"/>
            <w:shd w:val="clear" w:color="000000" w:fill="auto"/>
            <w:noWrap/>
            <w:vAlign w:val="center"/>
          </w:tcPr>
          <w:p w14:paraId="2190910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田元泉</w:t>
            </w:r>
          </w:p>
        </w:tc>
        <w:tc>
          <w:tcPr>
            <w:tcW w:w="1227" w:type="pct"/>
            <w:shd w:val="clear" w:color="000000" w:fill="auto"/>
            <w:noWrap/>
            <w:vAlign w:val="center"/>
          </w:tcPr>
          <w:p w14:paraId="024EDF3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建信基金</w:t>
            </w:r>
          </w:p>
        </w:tc>
        <w:tc>
          <w:tcPr>
            <w:tcW w:w="682" w:type="dxa"/>
            <w:shd w:val="clear" w:color="000000" w:fill="auto"/>
            <w:noWrap/>
            <w:vAlign w:val="center"/>
          </w:tcPr>
          <w:p w14:paraId="1B6A379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16</w:t>
            </w:r>
          </w:p>
        </w:tc>
        <w:tc>
          <w:tcPr>
            <w:tcW w:w="786" w:type="pct"/>
            <w:shd w:val="clear" w:color="000000" w:fill="auto"/>
            <w:noWrap/>
            <w:vAlign w:val="center"/>
          </w:tcPr>
          <w:p w14:paraId="03CA7A7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裴慧宇</w:t>
            </w:r>
          </w:p>
        </w:tc>
        <w:tc>
          <w:tcPr>
            <w:tcW w:w="1122" w:type="pct"/>
            <w:shd w:val="clear" w:color="000000" w:fill="auto"/>
            <w:noWrap/>
            <w:vAlign w:val="center"/>
          </w:tcPr>
          <w:p w14:paraId="4785E3D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国联基金</w:t>
            </w:r>
          </w:p>
        </w:tc>
      </w:tr>
      <w:tr w14:paraId="27A7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7E84B9E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17</w:t>
            </w:r>
          </w:p>
        </w:tc>
        <w:tc>
          <w:tcPr>
            <w:tcW w:w="987" w:type="pct"/>
            <w:shd w:val="clear" w:color="000000" w:fill="auto"/>
            <w:noWrap/>
            <w:vAlign w:val="center"/>
          </w:tcPr>
          <w:p w14:paraId="04367B5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聂嘉雯</w:t>
            </w:r>
          </w:p>
        </w:tc>
        <w:tc>
          <w:tcPr>
            <w:tcW w:w="1227" w:type="pct"/>
            <w:shd w:val="clear" w:color="000000" w:fill="auto"/>
            <w:noWrap/>
            <w:vAlign w:val="center"/>
          </w:tcPr>
          <w:p w14:paraId="0283261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华富基金</w:t>
            </w:r>
          </w:p>
        </w:tc>
        <w:tc>
          <w:tcPr>
            <w:tcW w:w="682" w:type="dxa"/>
            <w:shd w:val="clear" w:color="000000" w:fill="auto"/>
            <w:noWrap/>
            <w:vAlign w:val="center"/>
          </w:tcPr>
          <w:p w14:paraId="6CAE7A4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18</w:t>
            </w:r>
          </w:p>
        </w:tc>
        <w:tc>
          <w:tcPr>
            <w:tcW w:w="786" w:type="pct"/>
            <w:shd w:val="clear" w:color="000000" w:fill="auto"/>
            <w:noWrap/>
            <w:vAlign w:val="center"/>
          </w:tcPr>
          <w:p w14:paraId="0534A19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王树娟</w:t>
            </w:r>
          </w:p>
        </w:tc>
        <w:tc>
          <w:tcPr>
            <w:tcW w:w="1122" w:type="pct"/>
            <w:shd w:val="clear" w:color="000000" w:fill="auto"/>
            <w:noWrap/>
            <w:vAlign w:val="center"/>
          </w:tcPr>
          <w:p w14:paraId="5212D53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东方证券</w:t>
            </w:r>
          </w:p>
        </w:tc>
      </w:tr>
      <w:tr w14:paraId="5271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2F14DDC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19</w:t>
            </w:r>
          </w:p>
        </w:tc>
        <w:tc>
          <w:tcPr>
            <w:tcW w:w="987" w:type="pct"/>
            <w:shd w:val="clear" w:color="000000" w:fill="auto"/>
            <w:noWrap/>
            <w:vAlign w:val="center"/>
          </w:tcPr>
          <w:p w14:paraId="035C8FB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吴书</w:t>
            </w:r>
          </w:p>
        </w:tc>
        <w:tc>
          <w:tcPr>
            <w:tcW w:w="1227" w:type="pct"/>
            <w:shd w:val="clear" w:color="000000" w:fill="auto"/>
            <w:noWrap/>
            <w:vAlign w:val="center"/>
          </w:tcPr>
          <w:p w14:paraId="12C8823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融通基金</w:t>
            </w:r>
          </w:p>
        </w:tc>
        <w:tc>
          <w:tcPr>
            <w:tcW w:w="682" w:type="dxa"/>
            <w:shd w:val="clear" w:color="000000" w:fill="auto"/>
            <w:noWrap/>
            <w:vAlign w:val="center"/>
          </w:tcPr>
          <w:p w14:paraId="1B7F0F8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20</w:t>
            </w:r>
          </w:p>
        </w:tc>
        <w:tc>
          <w:tcPr>
            <w:tcW w:w="786" w:type="pct"/>
            <w:shd w:val="clear" w:color="000000" w:fill="auto"/>
            <w:noWrap/>
            <w:vAlign w:val="center"/>
          </w:tcPr>
          <w:p w14:paraId="5104259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于非禾</w:t>
            </w:r>
          </w:p>
        </w:tc>
        <w:tc>
          <w:tcPr>
            <w:tcW w:w="1122" w:type="pct"/>
            <w:shd w:val="clear" w:color="000000" w:fill="auto"/>
            <w:noWrap/>
            <w:vAlign w:val="center"/>
          </w:tcPr>
          <w:p w14:paraId="6039D52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信达澳亚基金</w:t>
            </w:r>
          </w:p>
        </w:tc>
      </w:tr>
      <w:tr w14:paraId="07EB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6360565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21</w:t>
            </w:r>
          </w:p>
        </w:tc>
        <w:tc>
          <w:tcPr>
            <w:tcW w:w="987" w:type="pct"/>
            <w:shd w:val="clear" w:color="000000" w:fill="auto"/>
            <w:noWrap/>
            <w:vAlign w:val="center"/>
          </w:tcPr>
          <w:p w14:paraId="37E48EC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吴俊怡</w:t>
            </w:r>
          </w:p>
        </w:tc>
        <w:tc>
          <w:tcPr>
            <w:tcW w:w="1227" w:type="pct"/>
            <w:shd w:val="clear" w:color="000000" w:fill="auto"/>
            <w:noWrap/>
            <w:vAlign w:val="center"/>
          </w:tcPr>
          <w:p w14:paraId="704E6F8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中信证券</w:t>
            </w:r>
          </w:p>
        </w:tc>
        <w:tc>
          <w:tcPr>
            <w:tcW w:w="682" w:type="dxa"/>
            <w:shd w:val="clear" w:color="000000" w:fill="auto"/>
            <w:noWrap/>
            <w:vAlign w:val="center"/>
          </w:tcPr>
          <w:p w14:paraId="13A88B1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22</w:t>
            </w:r>
          </w:p>
        </w:tc>
        <w:tc>
          <w:tcPr>
            <w:tcW w:w="786" w:type="pct"/>
            <w:shd w:val="clear" w:color="000000" w:fill="auto"/>
            <w:noWrap/>
            <w:vAlign w:val="center"/>
          </w:tcPr>
          <w:p w14:paraId="6FC7908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王凯</w:t>
            </w:r>
          </w:p>
        </w:tc>
        <w:tc>
          <w:tcPr>
            <w:tcW w:w="1122" w:type="pct"/>
            <w:shd w:val="clear" w:color="000000" w:fill="auto"/>
            <w:noWrap/>
            <w:vAlign w:val="center"/>
          </w:tcPr>
          <w:p w14:paraId="3F9AA55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中金公司</w:t>
            </w:r>
          </w:p>
        </w:tc>
      </w:tr>
      <w:tr w14:paraId="46D9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1CFCEC2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23</w:t>
            </w:r>
          </w:p>
        </w:tc>
        <w:tc>
          <w:tcPr>
            <w:tcW w:w="987" w:type="pct"/>
            <w:shd w:val="clear" w:color="000000" w:fill="auto"/>
            <w:noWrap/>
            <w:vAlign w:val="center"/>
          </w:tcPr>
          <w:p w14:paraId="76D99A3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刘疆</w:t>
            </w:r>
          </w:p>
        </w:tc>
        <w:tc>
          <w:tcPr>
            <w:tcW w:w="1227" w:type="pct"/>
            <w:shd w:val="clear" w:color="000000" w:fill="auto"/>
            <w:noWrap/>
            <w:vAlign w:val="center"/>
          </w:tcPr>
          <w:p w14:paraId="78AAA86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长城基金</w:t>
            </w:r>
          </w:p>
        </w:tc>
        <w:tc>
          <w:tcPr>
            <w:tcW w:w="682" w:type="dxa"/>
            <w:shd w:val="clear" w:color="000000" w:fill="auto"/>
            <w:noWrap/>
            <w:vAlign w:val="center"/>
          </w:tcPr>
          <w:p w14:paraId="1EAEB29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24</w:t>
            </w:r>
          </w:p>
        </w:tc>
        <w:tc>
          <w:tcPr>
            <w:tcW w:w="786" w:type="pct"/>
            <w:shd w:val="clear" w:color="000000" w:fill="auto"/>
            <w:noWrap/>
            <w:vAlign w:val="center"/>
          </w:tcPr>
          <w:p w14:paraId="311C85A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邱天</w:t>
            </w:r>
          </w:p>
        </w:tc>
        <w:tc>
          <w:tcPr>
            <w:tcW w:w="1122" w:type="pct"/>
            <w:shd w:val="clear" w:color="000000" w:fill="auto"/>
            <w:noWrap/>
            <w:vAlign w:val="center"/>
          </w:tcPr>
          <w:p w14:paraId="6809E31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天风资管</w:t>
            </w:r>
          </w:p>
        </w:tc>
      </w:tr>
      <w:tr w14:paraId="4325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7A84349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25</w:t>
            </w:r>
          </w:p>
        </w:tc>
        <w:tc>
          <w:tcPr>
            <w:tcW w:w="987" w:type="pct"/>
            <w:shd w:val="clear" w:color="000000" w:fill="auto"/>
            <w:noWrap/>
            <w:vAlign w:val="center"/>
          </w:tcPr>
          <w:p w14:paraId="5C54119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季文宣</w:t>
            </w:r>
          </w:p>
        </w:tc>
        <w:tc>
          <w:tcPr>
            <w:tcW w:w="1227" w:type="pct"/>
            <w:shd w:val="clear" w:color="000000" w:fill="auto"/>
            <w:noWrap/>
            <w:vAlign w:val="center"/>
          </w:tcPr>
          <w:p w14:paraId="7396706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中欧瑞博</w:t>
            </w:r>
          </w:p>
        </w:tc>
        <w:tc>
          <w:tcPr>
            <w:tcW w:w="682" w:type="dxa"/>
            <w:shd w:val="clear" w:color="000000" w:fill="auto"/>
            <w:noWrap/>
            <w:vAlign w:val="center"/>
          </w:tcPr>
          <w:p w14:paraId="708C788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26</w:t>
            </w:r>
          </w:p>
        </w:tc>
        <w:tc>
          <w:tcPr>
            <w:tcW w:w="786" w:type="pct"/>
            <w:shd w:val="clear" w:color="000000" w:fill="auto"/>
            <w:noWrap/>
            <w:vAlign w:val="center"/>
          </w:tcPr>
          <w:p w14:paraId="6D300A0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毛文博</w:t>
            </w:r>
          </w:p>
        </w:tc>
        <w:tc>
          <w:tcPr>
            <w:tcW w:w="1122" w:type="pct"/>
            <w:shd w:val="clear" w:color="000000" w:fill="auto"/>
            <w:noWrap/>
            <w:vAlign w:val="center"/>
          </w:tcPr>
          <w:p w14:paraId="2D8CBC6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华宝基金</w:t>
            </w:r>
          </w:p>
        </w:tc>
      </w:tr>
      <w:tr w14:paraId="47CE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714F31F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27</w:t>
            </w:r>
          </w:p>
        </w:tc>
        <w:tc>
          <w:tcPr>
            <w:tcW w:w="987" w:type="pct"/>
            <w:shd w:val="clear" w:color="000000" w:fill="auto"/>
            <w:noWrap/>
            <w:vAlign w:val="center"/>
          </w:tcPr>
          <w:p w14:paraId="0B02A87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王兴伟</w:t>
            </w:r>
          </w:p>
        </w:tc>
        <w:tc>
          <w:tcPr>
            <w:tcW w:w="1227" w:type="pct"/>
            <w:shd w:val="clear" w:color="000000" w:fill="auto"/>
            <w:noWrap/>
            <w:vAlign w:val="center"/>
          </w:tcPr>
          <w:p w14:paraId="1C0464D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国联安基金</w:t>
            </w:r>
          </w:p>
        </w:tc>
        <w:tc>
          <w:tcPr>
            <w:tcW w:w="682" w:type="dxa"/>
            <w:shd w:val="clear" w:color="000000" w:fill="auto"/>
            <w:noWrap/>
            <w:vAlign w:val="center"/>
          </w:tcPr>
          <w:p w14:paraId="48F2F51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28</w:t>
            </w:r>
          </w:p>
        </w:tc>
        <w:tc>
          <w:tcPr>
            <w:tcW w:w="786" w:type="pct"/>
            <w:shd w:val="clear" w:color="000000" w:fill="auto"/>
            <w:noWrap/>
            <w:vAlign w:val="center"/>
          </w:tcPr>
          <w:p w14:paraId="35E922A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白晓兰</w:t>
            </w:r>
          </w:p>
        </w:tc>
        <w:tc>
          <w:tcPr>
            <w:tcW w:w="1122" w:type="pct"/>
            <w:shd w:val="clear" w:color="000000" w:fill="auto"/>
            <w:noWrap/>
            <w:vAlign w:val="center"/>
          </w:tcPr>
          <w:p w14:paraId="1D85187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海富通基金</w:t>
            </w:r>
          </w:p>
        </w:tc>
      </w:tr>
      <w:tr w14:paraId="1624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501A0B0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29</w:t>
            </w:r>
          </w:p>
        </w:tc>
        <w:tc>
          <w:tcPr>
            <w:tcW w:w="987" w:type="pct"/>
            <w:shd w:val="clear" w:color="000000" w:fill="auto"/>
            <w:noWrap/>
            <w:vAlign w:val="center"/>
          </w:tcPr>
          <w:p w14:paraId="618D389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余欢</w:t>
            </w:r>
          </w:p>
        </w:tc>
        <w:tc>
          <w:tcPr>
            <w:tcW w:w="1227" w:type="pct"/>
            <w:shd w:val="clear" w:color="000000" w:fill="auto"/>
            <w:noWrap/>
            <w:vAlign w:val="center"/>
          </w:tcPr>
          <w:p w14:paraId="65EF4CE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长城基金</w:t>
            </w:r>
          </w:p>
        </w:tc>
        <w:tc>
          <w:tcPr>
            <w:tcW w:w="682" w:type="dxa"/>
            <w:shd w:val="clear" w:color="000000" w:fill="auto"/>
            <w:noWrap/>
            <w:vAlign w:val="center"/>
          </w:tcPr>
          <w:p w14:paraId="33B04B2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30</w:t>
            </w:r>
          </w:p>
        </w:tc>
        <w:tc>
          <w:tcPr>
            <w:tcW w:w="786" w:type="pct"/>
            <w:shd w:val="clear" w:color="000000" w:fill="auto"/>
            <w:noWrap/>
            <w:vAlign w:val="center"/>
          </w:tcPr>
          <w:p w14:paraId="007CB6D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高义</w:t>
            </w:r>
          </w:p>
        </w:tc>
        <w:tc>
          <w:tcPr>
            <w:tcW w:w="1122" w:type="pct"/>
            <w:shd w:val="clear" w:color="000000" w:fill="auto"/>
            <w:noWrap/>
            <w:vAlign w:val="center"/>
          </w:tcPr>
          <w:p w14:paraId="5E05A16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东方资管</w:t>
            </w:r>
          </w:p>
        </w:tc>
      </w:tr>
      <w:tr w14:paraId="4136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72490BE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31</w:t>
            </w:r>
          </w:p>
        </w:tc>
        <w:tc>
          <w:tcPr>
            <w:tcW w:w="987" w:type="pct"/>
            <w:shd w:val="clear" w:color="000000" w:fill="auto"/>
            <w:noWrap/>
            <w:vAlign w:val="center"/>
          </w:tcPr>
          <w:p w14:paraId="0F71A5A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范杨</w:t>
            </w:r>
          </w:p>
        </w:tc>
        <w:tc>
          <w:tcPr>
            <w:tcW w:w="1227" w:type="pct"/>
            <w:shd w:val="clear" w:color="000000" w:fill="auto"/>
            <w:noWrap/>
            <w:vAlign w:val="center"/>
          </w:tcPr>
          <w:p w14:paraId="52AD28D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国泰君安资管</w:t>
            </w:r>
          </w:p>
        </w:tc>
        <w:tc>
          <w:tcPr>
            <w:tcW w:w="682" w:type="dxa"/>
            <w:shd w:val="clear" w:color="000000" w:fill="auto"/>
            <w:noWrap/>
            <w:vAlign w:val="center"/>
          </w:tcPr>
          <w:p w14:paraId="0FA0393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32</w:t>
            </w:r>
          </w:p>
        </w:tc>
        <w:tc>
          <w:tcPr>
            <w:tcW w:w="786" w:type="pct"/>
            <w:shd w:val="clear" w:color="000000" w:fill="auto"/>
            <w:noWrap/>
            <w:vAlign w:val="center"/>
          </w:tcPr>
          <w:p w14:paraId="4ED8761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许殿豪</w:t>
            </w:r>
          </w:p>
        </w:tc>
        <w:tc>
          <w:tcPr>
            <w:tcW w:w="1122" w:type="pct"/>
            <w:shd w:val="clear" w:color="000000" w:fill="auto"/>
            <w:noWrap/>
            <w:vAlign w:val="center"/>
          </w:tcPr>
          <w:p w14:paraId="0CF3B35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华安财保</w:t>
            </w:r>
          </w:p>
        </w:tc>
      </w:tr>
      <w:tr w14:paraId="0FF8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3B5153E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33</w:t>
            </w:r>
          </w:p>
        </w:tc>
        <w:tc>
          <w:tcPr>
            <w:tcW w:w="987" w:type="pct"/>
            <w:shd w:val="clear" w:color="000000" w:fill="auto"/>
            <w:noWrap/>
            <w:vAlign w:val="center"/>
          </w:tcPr>
          <w:p w14:paraId="4293697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刘维华</w:t>
            </w:r>
          </w:p>
        </w:tc>
        <w:tc>
          <w:tcPr>
            <w:tcW w:w="1227" w:type="pct"/>
            <w:shd w:val="clear" w:color="000000" w:fill="auto"/>
            <w:noWrap/>
            <w:vAlign w:val="center"/>
          </w:tcPr>
          <w:p w14:paraId="2DA9EA1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信达澳银基金</w:t>
            </w:r>
          </w:p>
        </w:tc>
        <w:tc>
          <w:tcPr>
            <w:tcW w:w="682" w:type="dxa"/>
            <w:shd w:val="clear" w:color="000000" w:fill="auto"/>
            <w:noWrap/>
            <w:vAlign w:val="center"/>
          </w:tcPr>
          <w:p w14:paraId="120AD0B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34</w:t>
            </w:r>
          </w:p>
        </w:tc>
        <w:tc>
          <w:tcPr>
            <w:tcW w:w="786" w:type="pct"/>
            <w:shd w:val="clear" w:color="000000" w:fill="auto"/>
            <w:noWrap/>
            <w:vAlign w:val="center"/>
          </w:tcPr>
          <w:p w14:paraId="1D5FFA4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安昀</w:t>
            </w:r>
          </w:p>
        </w:tc>
        <w:tc>
          <w:tcPr>
            <w:tcW w:w="1122" w:type="pct"/>
            <w:shd w:val="clear" w:color="000000" w:fill="auto"/>
            <w:noWrap/>
            <w:vAlign w:val="center"/>
          </w:tcPr>
          <w:p w14:paraId="6ED2D82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长信基金</w:t>
            </w:r>
          </w:p>
        </w:tc>
      </w:tr>
      <w:tr w14:paraId="5A65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4F85D21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35</w:t>
            </w:r>
          </w:p>
        </w:tc>
        <w:tc>
          <w:tcPr>
            <w:tcW w:w="987" w:type="pct"/>
            <w:shd w:val="clear" w:color="000000" w:fill="auto"/>
            <w:noWrap/>
            <w:vAlign w:val="center"/>
          </w:tcPr>
          <w:p w14:paraId="2650372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赵梓峰</w:t>
            </w:r>
          </w:p>
        </w:tc>
        <w:tc>
          <w:tcPr>
            <w:tcW w:w="1227" w:type="pct"/>
            <w:shd w:val="clear" w:color="000000" w:fill="auto"/>
            <w:noWrap/>
            <w:vAlign w:val="center"/>
          </w:tcPr>
          <w:p w14:paraId="0E58B41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途灵资产</w:t>
            </w:r>
          </w:p>
        </w:tc>
        <w:tc>
          <w:tcPr>
            <w:tcW w:w="682" w:type="dxa"/>
            <w:shd w:val="clear" w:color="000000" w:fill="auto"/>
            <w:noWrap/>
            <w:vAlign w:val="center"/>
          </w:tcPr>
          <w:p w14:paraId="571FC02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36</w:t>
            </w:r>
          </w:p>
        </w:tc>
        <w:tc>
          <w:tcPr>
            <w:tcW w:w="786" w:type="pct"/>
            <w:shd w:val="clear" w:color="000000" w:fill="auto"/>
            <w:noWrap/>
            <w:vAlign w:val="center"/>
          </w:tcPr>
          <w:p w14:paraId="64BC522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钱怡</w:t>
            </w:r>
          </w:p>
        </w:tc>
        <w:tc>
          <w:tcPr>
            <w:tcW w:w="1122" w:type="pct"/>
            <w:shd w:val="clear" w:color="000000" w:fill="auto"/>
            <w:noWrap/>
            <w:vAlign w:val="center"/>
          </w:tcPr>
          <w:p w14:paraId="0DA9762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安邦资产</w:t>
            </w:r>
          </w:p>
        </w:tc>
      </w:tr>
      <w:tr w14:paraId="66E1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22103D7D">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37</w:t>
            </w:r>
          </w:p>
        </w:tc>
        <w:tc>
          <w:tcPr>
            <w:tcW w:w="987" w:type="pct"/>
            <w:shd w:val="clear" w:color="000000" w:fill="auto"/>
            <w:noWrap/>
            <w:vAlign w:val="center"/>
          </w:tcPr>
          <w:p w14:paraId="38945AA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冯烜</w:t>
            </w:r>
          </w:p>
        </w:tc>
        <w:tc>
          <w:tcPr>
            <w:tcW w:w="1227" w:type="pct"/>
            <w:shd w:val="clear" w:color="000000" w:fill="auto"/>
            <w:noWrap/>
            <w:vAlign w:val="center"/>
          </w:tcPr>
          <w:p w14:paraId="748417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天风资管</w:t>
            </w:r>
          </w:p>
        </w:tc>
        <w:tc>
          <w:tcPr>
            <w:tcW w:w="682" w:type="dxa"/>
            <w:shd w:val="clear" w:color="000000" w:fill="auto"/>
            <w:noWrap/>
            <w:vAlign w:val="center"/>
          </w:tcPr>
          <w:p w14:paraId="23465B6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38</w:t>
            </w:r>
          </w:p>
        </w:tc>
        <w:tc>
          <w:tcPr>
            <w:tcW w:w="786" w:type="pct"/>
            <w:shd w:val="clear" w:color="000000" w:fill="auto"/>
            <w:noWrap/>
            <w:vAlign w:val="center"/>
          </w:tcPr>
          <w:p w14:paraId="2E72976B">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唐忠</w:t>
            </w:r>
          </w:p>
        </w:tc>
        <w:tc>
          <w:tcPr>
            <w:tcW w:w="1122" w:type="pct"/>
            <w:shd w:val="clear" w:color="000000" w:fill="auto"/>
            <w:noWrap/>
            <w:vAlign w:val="center"/>
          </w:tcPr>
          <w:p w14:paraId="5EFF04D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东财基金</w:t>
            </w:r>
          </w:p>
        </w:tc>
      </w:tr>
      <w:tr w14:paraId="169C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4809659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39</w:t>
            </w:r>
          </w:p>
        </w:tc>
        <w:tc>
          <w:tcPr>
            <w:tcW w:w="987" w:type="pct"/>
            <w:shd w:val="clear" w:color="000000" w:fill="auto"/>
            <w:noWrap/>
            <w:vAlign w:val="center"/>
          </w:tcPr>
          <w:p w14:paraId="4FB5470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李博闻</w:t>
            </w:r>
          </w:p>
        </w:tc>
        <w:tc>
          <w:tcPr>
            <w:tcW w:w="1227" w:type="pct"/>
            <w:shd w:val="clear" w:color="000000" w:fill="auto"/>
            <w:noWrap/>
            <w:vAlign w:val="center"/>
          </w:tcPr>
          <w:p w14:paraId="52E43F3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国寿安保基金</w:t>
            </w:r>
          </w:p>
        </w:tc>
        <w:tc>
          <w:tcPr>
            <w:tcW w:w="682" w:type="dxa"/>
            <w:shd w:val="clear" w:color="000000" w:fill="auto"/>
            <w:noWrap/>
            <w:vAlign w:val="center"/>
          </w:tcPr>
          <w:p w14:paraId="0DA6255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40</w:t>
            </w:r>
          </w:p>
        </w:tc>
        <w:tc>
          <w:tcPr>
            <w:tcW w:w="786" w:type="pct"/>
            <w:shd w:val="clear" w:color="000000" w:fill="auto"/>
            <w:noWrap/>
            <w:vAlign w:val="center"/>
          </w:tcPr>
          <w:p w14:paraId="46B48433">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吴晓思</w:t>
            </w:r>
          </w:p>
        </w:tc>
        <w:tc>
          <w:tcPr>
            <w:tcW w:w="1122" w:type="pct"/>
            <w:shd w:val="clear" w:color="000000" w:fill="auto"/>
            <w:noWrap/>
            <w:vAlign w:val="center"/>
          </w:tcPr>
          <w:p w14:paraId="38D7F3A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正圆私募</w:t>
            </w:r>
          </w:p>
        </w:tc>
      </w:tr>
      <w:tr w14:paraId="1E81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9" w:type="dxa"/>
            <w:shd w:val="clear" w:color="000000" w:fill="auto"/>
            <w:noWrap/>
            <w:vAlign w:val="center"/>
          </w:tcPr>
          <w:p w14:paraId="0D076E9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41</w:t>
            </w:r>
          </w:p>
        </w:tc>
        <w:tc>
          <w:tcPr>
            <w:tcW w:w="987" w:type="pct"/>
            <w:shd w:val="clear" w:color="000000" w:fill="auto"/>
            <w:noWrap/>
            <w:vAlign w:val="center"/>
          </w:tcPr>
          <w:p w14:paraId="070A075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王友红</w:t>
            </w:r>
          </w:p>
        </w:tc>
        <w:tc>
          <w:tcPr>
            <w:tcW w:w="1227" w:type="pct"/>
            <w:shd w:val="clear" w:color="000000" w:fill="auto"/>
            <w:noWrap/>
            <w:vAlign w:val="center"/>
          </w:tcPr>
          <w:p w14:paraId="27AE5651">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名禹资产</w:t>
            </w:r>
          </w:p>
        </w:tc>
        <w:tc>
          <w:tcPr>
            <w:tcW w:w="682" w:type="dxa"/>
            <w:shd w:val="clear" w:color="000000" w:fill="auto"/>
            <w:noWrap/>
            <w:vAlign w:val="center"/>
          </w:tcPr>
          <w:p w14:paraId="4AB59355">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2C2ACB54">
            <w:pPr>
              <w:widowControl/>
              <w:jc w:val="center"/>
              <w:rPr>
                <w:rFonts w:hint="eastAsia" w:ascii="Times New Roman" w:hAnsi="Times New Roman" w:cs="Times New Roman"/>
                <w:color w:val="000000"/>
                <w:kern w:val="0"/>
                <w:sz w:val="21"/>
                <w:szCs w:val="22"/>
              </w:rPr>
            </w:pPr>
          </w:p>
        </w:tc>
        <w:tc>
          <w:tcPr>
            <w:tcW w:w="1122" w:type="pct"/>
            <w:shd w:val="clear" w:color="000000" w:fill="auto"/>
            <w:noWrap/>
            <w:vAlign w:val="center"/>
          </w:tcPr>
          <w:p w14:paraId="59D0E8FE">
            <w:pPr>
              <w:widowControl/>
              <w:jc w:val="center"/>
              <w:rPr>
                <w:rFonts w:hint="eastAsia" w:ascii="Times New Roman" w:hAnsi="Times New Roman" w:cs="Times New Roman"/>
                <w:color w:val="000000"/>
                <w:kern w:val="0"/>
                <w:sz w:val="21"/>
                <w:szCs w:val="22"/>
                <w:lang w:val="en-US" w:eastAsia="zh-CN"/>
              </w:rPr>
            </w:pPr>
          </w:p>
        </w:tc>
      </w:tr>
    </w:tbl>
    <w:p w14:paraId="739ACBFC">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14</w:t>
      </w:r>
      <w:r>
        <w:rPr>
          <w:rFonts w:hint="eastAsia"/>
          <w:b/>
          <w:bCs/>
        </w:rPr>
        <w:t>日，</w:t>
      </w:r>
      <w:r>
        <w:rPr>
          <w:rFonts w:hint="eastAsia"/>
          <w:b/>
          <w:bCs/>
          <w:lang w:val="en-US" w:eastAsia="zh-CN"/>
        </w:rPr>
        <w:t>参加施罗德的线上调研</w:t>
      </w:r>
      <w:r>
        <w:rPr>
          <w:rFonts w:hint="eastAsia"/>
          <w:b/>
          <w:bCs/>
        </w:rPr>
        <w:t>。</w:t>
      </w:r>
    </w:p>
    <w:tbl>
      <w:tblPr>
        <w:tblStyle w:val="9"/>
        <w:tblW w:w="43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593"/>
        <w:gridCol w:w="1416"/>
        <w:gridCol w:w="1760"/>
        <w:gridCol w:w="664"/>
        <w:gridCol w:w="1128"/>
        <w:gridCol w:w="1609"/>
      </w:tblGrid>
      <w:tr w14:paraId="13B2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5530261C">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5C630D1F">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5F6AA67A">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2" w:type="pct"/>
            <w:shd w:val="clear" w:color="auto" w:fill="D8D8D8" w:themeFill="background1" w:themeFillShade="D9"/>
            <w:noWrap/>
            <w:vAlign w:val="center"/>
          </w:tcPr>
          <w:p w14:paraId="28D2EC8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104A1F97">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2" w:type="pct"/>
            <w:shd w:val="clear" w:color="auto" w:fill="D8D8D8" w:themeFill="background1" w:themeFillShade="D9"/>
            <w:noWrap/>
            <w:vAlign w:val="center"/>
          </w:tcPr>
          <w:p w14:paraId="433983CE">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0AA3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A802D9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56466C2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李文杰</w:t>
            </w:r>
          </w:p>
        </w:tc>
        <w:tc>
          <w:tcPr>
            <w:tcW w:w="1227" w:type="pct"/>
            <w:shd w:val="clear" w:color="000000" w:fill="auto"/>
            <w:noWrap/>
            <w:vAlign w:val="center"/>
          </w:tcPr>
          <w:p w14:paraId="1DA55F0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施罗德</w:t>
            </w:r>
          </w:p>
        </w:tc>
        <w:tc>
          <w:tcPr>
            <w:tcW w:w="462" w:type="pct"/>
            <w:shd w:val="clear" w:color="000000" w:fill="auto"/>
            <w:noWrap/>
            <w:vAlign w:val="center"/>
          </w:tcPr>
          <w:p w14:paraId="2C348DB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6C81FEE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刘佳</w:t>
            </w:r>
          </w:p>
        </w:tc>
        <w:tc>
          <w:tcPr>
            <w:tcW w:w="1122" w:type="pct"/>
            <w:shd w:val="clear" w:color="000000" w:fill="auto"/>
            <w:noWrap/>
            <w:vAlign w:val="center"/>
          </w:tcPr>
          <w:p w14:paraId="4208A18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施罗德</w:t>
            </w:r>
          </w:p>
        </w:tc>
      </w:tr>
    </w:tbl>
    <w:p w14:paraId="54A2A18B">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16</w:t>
      </w:r>
      <w:r>
        <w:rPr>
          <w:rFonts w:hint="eastAsia"/>
          <w:b/>
          <w:bCs/>
        </w:rPr>
        <w:t>日，</w:t>
      </w:r>
      <w:r>
        <w:rPr>
          <w:rFonts w:hint="eastAsia"/>
          <w:b/>
          <w:bCs/>
          <w:lang w:val="en-US" w:eastAsia="zh-CN"/>
        </w:rPr>
        <w:t>参加华西证券组织的线下调研</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4649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6DBDF140">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6D24A18F">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49081248">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2422E52A">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6CC30A75">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2FF3D136">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7A03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0F29990">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1FEA943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张坚</w:t>
            </w:r>
          </w:p>
        </w:tc>
        <w:tc>
          <w:tcPr>
            <w:tcW w:w="1226" w:type="pct"/>
            <w:shd w:val="clear" w:color="000000" w:fill="auto"/>
            <w:noWrap/>
            <w:vAlign w:val="center"/>
          </w:tcPr>
          <w:p w14:paraId="64506A8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长城基金</w:t>
            </w:r>
          </w:p>
        </w:tc>
        <w:tc>
          <w:tcPr>
            <w:tcW w:w="463" w:type="pct"/>
            <w:shd w:val="clear" w:color="000000" w:fill="auto"/>
            <w:noWrap/>
            <w:vAlign w:val="center"/>
          </w:tcPr>
          <w:p w14:paraId="2A56EA4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56B52C4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张若伦</w:t>
            </w:r>
          </w:p>
        </w:tc>
        <w:tc>
          <w:tcPr>
            <w:tcW w:w="1121" w:type="pct"/>
            <w:shd w:val="clear" w:color="000000" w:fill="auto"/>
            <w:noWrap/>
            <w:vAlign w:val="center"/>
          </w:tcPr>
          <w:p w14:paraId="5E8D0D7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宝盈基金</w:t>
            </w:r>
          </w:p>
        </w:tc>
      </w:tr>
      <w:tr w14:paraId="1A35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D51B54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23B586C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李巍宇</w:t>
            </w:r>
          </w:p>
        </w:tc>
        <w:tc>
          <w:tcPr>
            <w:tcW w:w="1226" w:type="pct"/>
            <w:shd w:val="clear" w:color="000000" w:fill="auto"/>
            <w:noWrap/>
            <w:vAlign w:val="center"/>
          </w:tcPr>
          <w:p w14:paraId="4885FDC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宝盈基金</w:t>
            </w:r>
          </w:p>
        </w:tc>
        <w:tc>
          <w:tcPr>
            <w:tcW w:w="463" w:type="pct"/>
            <w:shd w:val="clear" w:color="000000" w:fill="auto"/>
            <w:noWrap/>
            <w:vAlign w:val="center"/>
          </w:tcPr>
          <w:p w14:paraId="73DA65A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10F81A08">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虞秀兰</w:t>
            </w:r>
          </w:p>
        </w:tc>
        <w:tc>
          <w:tcPr>
            <w:tcW w:w="1121" w:type="pct"/>
            <w:shd w:val="clear" w:color="000000" w:fill="auto"/>
            <w:noWrap/>
            <w:vAlign w:val="center"/>
          </w:tcPr>
          <w:p w14:paraId="045D276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招商基金</w:t>
            </w:r>
          </w:p>
        </w:tc>
      </w:tr>
      <w:tr w14:paraId="16B2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70B1735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50F4376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黄皓</w:t>
            </w:r>
          </w:p>
        </w:tc>
        <w:tc>
          <w:tcPr>
            <w:tcW w:w="1226" w:type="pct"/>
            <w:shd w:val="clear" w:color="000000" w:fill="auto"/>
            <w:noWrap/>
            <w:vAlign w:val="center"/>
          </w:tcPr>
          <w:p w14:paraId="5D92043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华夏基金</w:t>
            </w:r>
          </w:p>
        </w:tc>
        <w:tc>
          <w:tcPr>
            <w:tcW w:w="463" w:type="pct"/>
            <w:shd w:val="clear" w:color="000000" w:fill="auto"/>
            <w:noWrap/>
            <w:vAlign w:val="center"/>
          </w:tcPr>
          <w:p w14:paraId="5129A277">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6" w:type="pct"/>
            <w:shd w:val="clear" w:color="000000" w:fill="auto"/>
            <w:noWrap/>
            <w:vAlign w:val="center"/>
          </w:tcPr>
          <w:p w14:paraId="43B2CF1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汤志浩</w:t>
            </w:r>
          </w:p>
        </w:tc>
        <w:tc>
          <w:tcPr>
            <w:tcW w:w="1121" w:type="pct"/>
            <w:shd w:val="clear" w:color="000000" w:fill="auto"/>
            <w:noWrap/>
            <w:vAlign w:val="center"/>
          </w:tcPr>
          <w:p w14:paraId="7EE7306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大成基金</w:t>
            </w:r>
          </w:p>
        </w:tc>
      </w:tr>
      <w:tr w14:paraId="6B97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23C5DAA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1EF3F40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吴逸凡</w:t>
            </w:r>
          </w:p>
        </w:tc>
        <w:tc>
          <w:tcPr>
            <w:tcW w:w="1226" w:type="pct"/>
            <w:shd w:val="clear" w:color="000000" w:fill="auto"/>
            <w:noWrap/>
            <w:vAlign w:val="center"/>
          </w:tcPr>
          <w:p w14:paraId="60925A5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大成基金</w:t>
            </w:r>
          </w:p>
        </w:tc>
        <w:tc>
          <w:tcPr>
            <w:tcW w:w="463" w:type="pct"/>
            <w:shd w:val="clear" w:color="000000" w:fill="auto"/>
            <w:noWrap/>
            <w:vAlign w:val="center"/>
          </w:tcPr>
          <w:p w14:paraId="65716DCA">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4E2E5779">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61C2B99C">
            <w:pPr>
              <w:widowControl/>
              <w:jc w:val="center"/>
              <w:rPr>
                <w:rFonts w:hint="eastAsia" w:ascii="Times New Roman" w:hAnsi="Times New Roman" w:cs="Times New Roman"/>
                <w:color w:val="000000"/>
                <w:kern w:val="0"/>
                <w:sz w:val="21"/>
                <w:szCs w:val="22"/>
                <w:lang w:val="en-US" w:eastAsia="zh-CN"/>
              </w:rPr>
            </w:pPr>
          </w:p>
        </w:tc>
      </w:tr>
    </w:tbl>
    <w:p w14:paraId="3AECC94C">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17</w:t>
      </w:r>
      <w:r>
        <w:rPr>
          <w:rFonts w:hint="eastAsia"/>
          <w:b/>
          <w:bCs/>
        </w:rPr>
        <w:t>日，</w:t>
      </w:r>
      <w:r>
        <w:rPr>
          <w:rFonts w:hint="eastAsia"/>
          <w:b/>
          <w:bCs/>
          <w:lang w:val="en-US" w:eastAsia="zh-CN"/>
        </w:rPr>
        <w:t>参加中金策略会</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082C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13" w:type="pct"/>
            <w:shd w:val="clear" w:color="auto" w:fill="D8D8D8" w:themeFill="background1" w:themeFillShade="D9"/>
            <w:noWrap/>
            <w:vAlign w:val="center"/>
          </w:tcPr>
          <w:p w14:paraId="18FD35EB">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11CF4315">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3720A8AD">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70C2A91A">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6154A9F0">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26DECFC5">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12F6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443F313">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5C832FD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Scott Hong</w:t>
            </w:r>
          </w:p>
        </w:tc>
        <w:tc>
          <w:tcPr>
            <w:tcW w:w="1226" w:type="pct"/>
            <w:shd w:val="clear" w:color="000000" w:fill="auto"/>
            <w:noWrap/>
            <w:vAlign w:val="center"/>
          </w:tcPr>
          <w:p w14:paraId="32A3CC03">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VisionPoint</w:t>
            </w:r>
          </w:p>
        </w:tc>
        <w:tc>
          <w:tcPr>
            <w:tcW w:w="463" w:type="pct"/>
            <w:shd w:val="clear" w:color="000000" w:fill="auto"/>
            <w:noWrap/>
            <w:vAlign w:val="center"/>
          </w:tcPr>
          <w:p w14:paraId="510E3B5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1FDB9BA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宋妍</w:t>
            </w:r>
          </w:p>
        </w:tc>
        <w:tc>
          <w:tcPr>
            <w:tcW w:w="1121" w:type="pct"/>
            <w:shd w:val="clear" w:color="000000" w:fill="auto"/>
            <w:noWrap/>
            <w:vAlign w:val="center"/>
          </w:tcPr>
          <w:p w14:paraId="47A227D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景林</w:t>
            </w:r>
          </w:p>
        </w:tc>
      </w:tr>
      <w:tr w14:paraId="1E32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4403F6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4C79CC0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明笛</w:t>
            </w:r>
          </w:p>
        </w:tc>
        <w:tc>
          <w:tcPr>
            <w:tcW w:w="1226" w:type="pct"/>
            <w:shd w:val="clear" w:color="000000" w:fill="auto"/>
            <w:noWrap/>
            <w:vAlign w:val="center"/>
          </w:tcPr>
          <w:p w14:paraId="311900B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景林</w:t>
            </w:r>
          </w:p>
        </w:tc>
        <w:tc>
          <w:tcPr>
            <w:tcW w:w="463" w:type="pct"/>
            <w:shd w:val="clear" w:color="000000" w:fill="auto"/>
            <w:noWrap/>
            <w:vAlign w:val="center"/>
          </w:tcPr>
          <w:p w14:paraId="6DD8D4F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5039655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Yolanda LEl</w:t>
            </w:r>
          </w:p>
        </w:tc>
        <w:tc>
          <w:tcPr>
            <w:tcW w:w="1121" w:type="pct"/>
            <w:shd w:val="clear" w:color="000000" w:fill="auto"/>
            <w:noWrap/>
            <w:vAlign w:val="center"/>
          </w:tcPr>
          <w:p w14:paraId="56AB2C8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Blackrock</w:t>
            </w:r>
          </w:p>
        </w:tc>
      </w:tr>
      <w:tr w14:paraId="7E0B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6CA8494F">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4EB7F1E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干迎</w:t>
            </w:r>
          </w:p>
        </w:tc>
        <w:tc>
          <w:tcPr>
            <w:tcW w:w="1226" w:type="pct"/>
            <w:shd w:val="clear" w:color="000000" w:fill="auto"/>
            <w:noWrap/>
            <w:vAlign w:val="center"/>
          </w:tcPr>
          <w:p w14:paraId="646EDB4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Green Court</w:t>
            </w:r>
          </w:p>
        </w:tc>
        <w:tc>
          <w:tcPr>
            <w:tcW w:w="463" w:type="pct"/>
            <w:shd w:val="clear" w:color="000000" w:fill="auto"/>
            <w:noWrap/>
            <w:vAlign w:val="center"/>
          </w:tcPr>
          <w:p w14:paraId="668E706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6" w:type="pct"/>
            <w:shd w:val="clear" w:color="000000" w:fill="auto"/>
            <w:noWrap/>
            <w:vAlign w:val="center"/>
          </w:tcPr>
          <w:p w14:paraId="7AFCE9B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Xingzi GE</w:t>
            </w:r>
          </w:p>
        </w:tc>
        <w:tc>
          <w:tcPr>
            <w:tcW w:w="1121" w:type="pct"/>
            <w:shd w:val="clear" w:color="000000" w:fill="auto"/>
            <w:noWrap/>
            <w:vAlign w:val="center"/>
          </w:tcPr>
          <w:p w14:paraId="2D5D721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LMR Partner</w:t>
            </w:r>
          </w:p>
        </w:tc>
      </w:tr>
      <w:tr w14:paraId="718C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9A2014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37F80A9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Riley</w:t>
            </w:r>
          </w:p>
        </w:tc>
        <w:tc>
          <w:tcPr>
            <w:tcW w:w="1226" w:type="pct"/>
            <w:shd w:val="clear" w:color="000000" w:fill="auto"/>
            <w:noWrap/>
            <w:vAlign w:val="center"/>
          </w:tcPr>
          <w:p w14:paraId="1A8605FC">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Polymer</w:t>
            </w:r>
          </w:p>
        </w:tc>
        <w:tc>
          <w:tcPr>
            <w:tcW w:w="463" w:type="pct"/>
            <w:shd w:val="clear" w:color="000000" w:fill="auto"/>
            <w:noWrap/>
            <w:vAlign w:val="center"/>
          </w:tcPr>
          <w:p w14:paraId="4DE4128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8</w:t>
            </w:r>
          </w:p>
        </w:tc>
        <w:tc>
          <w:tcPr>
            <w:tcW w:w="786" w:type="pct"/>
            <w:shd w:val="clear" w:color="000000" w:fill="auto"/>
            <w:noWrap/>
            <w:vAlign w:val="center"/>
          </w:tcPr>
          <w:p w14:paraId="58AA18F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黄钰瑛</w:t>
            </w:r>
          </w:p>
        </w:tc>
        <w:tc>
          <w:tcPr>
            <w:tcW w:w="1121" w:type="pct"/>
            <w:shd w:val="clear" w:color="000000" w:fill="auto"/>
            <w:noWrap/>
            <w:vAlign w:val="center"/>
          </w:tcPr>
          <w:p w14:paraId="6C03DF76">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高毅资产</w:t>
            </w:r>
          </w:p>
        </w:tc>
      </w:tr>
      <w:tr w14:paraId="12FB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22D8FD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9</w:t>
            </w:r>
          </w:p>
        </w:tc>
        <w:tc>
          <w:tcPr>
            <w:tcW w:w="987" w:type="pct"/>
            <w:shd w:val="clear" w:color="000000" w:fill="auto"/>
            <w:noWrap/>
            <w:vAlign w:val="center"/>
          </w:tcPr>
          <w:p w14:paraId="13D5897A">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郭弘毅</w:t>
            </w:r>
          </w:p>
        </w:tc>
        <w:tc>
          <w:tcPr>
            <w:tcW w:w="1226" w:type="pct"/>
            <w:shd w:val="clear" w:color="000000" w:fill="auto"/>
            <w:noWrap/>
            <w:vAlign w:val="center"/>
          </w:tcPr>
          <w:p w14:paraId="2AEC220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嘉实基金</w:t>
            </w:r>
          </w:p>
        </w:tc>
        <w:tc>
          <w:tcPr>
            <w:tcW w:w="463" w:type="pct"/>
            <w:shd w:val="clear" w:color="000000" w:fill="auto"/>
            <w:noWrap/>
            <w:vAlign w:val="center"/>
          </w:tcPr>
          <w:p w14:paraId="4F8272FE">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10</w:t>
            </w:r>
          </w:p>
        </w:tc>
        <w:tc>
          <w:tcPr>
            <w:tcW w:w="786" w:type="pct"/>
            <w:shd w:val="clear" w:color="000000" w:fill="auto"/>
            <w:noWrap/>
            <w:vAlign w:val="center"/>
          </w:tcPr>
          <w:p w14:paraId="39B4B9B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Tracy DAI</w:t>
            </w:r>
          </w:p>
        </w:tc>
        <w:tc>
          <w:tcPr>
            <w:tcW w:w="1121" w:type="pct"/>
            <w:shd w:val="clear" w:color="000000" w:fill="auto"/>
            <w:noWrap/>
            <w:vAlign w:val="center"/>
          </w:tcPr>
          <w:p w14:paraId="59B69A2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Cyber Atlas Capital</w:t>
            </w:r>
          </w:p>
        </w:tc>
      </w:tr>
      <w:tr w14:paraId="159A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0AD88BD">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11</w:t>
            </w:r>
          </w:p>
        </w:tc>
        <w:tc>
          <w:tcPr>
            <w:tcW w:w="987" w:type="pct"/>
            <w:shd w:val="clear" w:color="000000" w:fill="auto"/>
            <w:noWrap/>
            <w:vAlign w:val="center"/>
          </w:tcPr>
          <w:p w14:paraId="43EB38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Edward ZHOU</w:t>
            </w:r>
          </w:p>
        </w:tc>
        <w:tc>
          <w:tcPr>
            <w:tcW w:w="1226" w:type="pct"/>
            <w:shd w:val="clear" w:color="000000" w:fill="auto"/>
            <w:noWrap/>
            <w:vAlign w:val="center"/>
          </w:tcPr>
          <w:p w14:paraId="2739E880">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Millennium</w:t>
            </w:r>
          </w:p>
        </w:tc>
        <w:tc>
          <w:tcPr>
            <w:tcW w:w="463" w:type="pct"/>
            <w:shd w:val="clear" w:color="000000" w:fill="auto"/>
            <w:noWrap/>
            <w:vAlign w:val="center"/>
          </w:tcPr>
          <w:p w14:paraId="08242268">
            <w:pPr>
              <w:widowControl/>
              <w:jc w:val="center"/>
              <w:rPr>
                <w:rFonts w:hint="eastAsia" w:ascii="Times New Roman" w:hAnsi="Times New Roman" w:cs="Times New Roman"/>
                <w:color w:val="000000"/>
                <w:kern w:val="0"/>
                <w:sz w:val="21"/>
                <w:szCs w:val="22"/>
                <w:lang w:val="en-US" w:eastAsia="zh-CN"/>
              </w:rPr>
            </w:pPr>
          </w:p>
        </w:tc>
        <w:tc>
          <w:tcPr>
            <w:tcW w:w="786" w:type="pct"/>
            <w:shd w:val="clear" w:color="000000" w:fill="auto"/>
            <w:noWrap/>
            <w:vAlign w:val="center"/>
          </w:tcPr>
          <w:p w14:paraId="4EFCB1DC">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057EF536">
            <w:pPr>
              <w:widowControl/>
              <w:jc w:val="center"/>
              <w:rPr>
                <w:rFonts w:hint="eastAsia" w:ascii="Times New Roman" w:hAnsi="Times New Roman" w:cs="Times New Roman"/>
                <w:color w:val="000000"/>
                <w:kern w:val="0"/>
                <w:sz w:val="21"/>
                <w:szCs w:val="22"/>
                <w:lang w:val="en-US" w:eastAsia="zh-CN"/>
              </w:rPr>
            </w:pPr>
          </w:p>
        </w:tc>
      </w:tr>
    </w:tbl>
    <w:p w14:paraId="3E0874AB">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18</w:t>
      </w:r>
      <w:r>
        <w:rPr>
          <w:rFonts w:hint="eastAsia"/>
          <w:b/>
          <w:bCs/>
        </w:rPr>
        <w:t>日，</w:t>
      </w:r>
      <w:r>
        <w:rPr>
          <w:rFonts w:hint="eastAsia"/>
          <w:b/>
          <w:bCs/>
          <w:lang w:val="en-US" w:eastAsia="zh-CN"/>
        </w:rPr>
        <w:t>参加长江证券组织的线上调研</w:t>
      </w:r>
      <w:r>
        <w:rPr>
          <w:rFonts w:hint="eastAsia"/>
          <w:b/>
          <w:bCs/>
        </w:rPr>
        <w:t>。</w:t>
      </w:r>
    </w:p>
    <w:tbl>
      <w:tblPr>
        <w:tblStyle w:val="9"/>
        <w:tblW w:w="4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609"/>
        <w:gridCol w:w="1455"/>
        <w:gridCol w:w="1808"/>
        <w:gridCol w:w="682"/>
        <w:gridCol w:w="1159"/>
        <w:gridCol w:w="1653"/>
      </w:tblGrid>
      <w:tr w14:paraId="39C1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0C82AC02">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68972D13">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6" w:type="pct"/>
            <w:shd w:val="clear" w:color="auto" w:fill="D8D8D8" w:themeFill="background1" w:themeFillShade="D9"/>
            <w:noWrap/>
            <w:vAlign w:val="center"/>
          </w:tcPr>
          <w:p w14:paraId="609E624C">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3" w:type="pct"/>
            <w:shd w:val="clear" w:color="auto" w:fill="D8D8D8" w:themeFill="background1" w:themeFillShade="D9"/>
            <w:noWrap/>
            <w:vAlign w:val="center"/>
          </w:tcPr>
          <w:p w14:paraId="124AD901">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3894B5F1">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1" w:type="pct"/>
            <w:shd w:val="clear" w:color="auto" w:fill="D8D8D8" w:themeFill="background1" w:themeFillShade="D9"/>
            <w:noWrap/>
            <w:vAlign w:val="center"/>
          </w:tcPr>
          <w:p w14:paraId="0FABF1DF">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6F7C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6E7B40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415F6FD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郭堃</w:t>
            </w:r>
          </w:p>
        </w:tc>
        <w:tc>
          <w:tcPr>
            <w:tcW w:w="1226" w:type="pct"/>
            <w:shd w:val="clear" w:color="000000" w:fill="auto"/>
            <w:noWrap/>
            <w:vAlign w:val="center"/>
          </w:tcPr>
          <w:p w14:paraId="3C409FF5">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c>
          <w:tcPr>
            <w:tcW w:w="463" w:type="pct"/>
            <w:shd w:val="clear" w:color="000000" w:fill="auto"/>
            <w:noWrap/>
            <w:vAlign w:val="center"/>
          </w:tcPr>
          <w:p w14:paraId="723E317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0EE8E5D5">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张谊然</w:t>
            </w:r>
          </w:p>
        </w:tc>
        <w:tc>
          <w:tcPr>
            <w:tcW w:w="1121" w:type="pct"/>
            <w:shd w:val="clear" w:color="000000" w:fill="auto"/>
            <w:noWrap/>
            <w:vAlign w:val="center"/>
          </w:tcPr>
          <w:p w14:paraId="64DE4C0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r>
      <w:tr w14:paraId="469C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0A9AB02">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3C9CA4F9">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郝征</w:t>
            </w:r>
          </w:p>
        </w:tc>
        <w:tc>
          <w:tcPr>
            <w:tcW w:w="1226" w:type="pct"/>
            <w:shd w:val="clear" w:color="000000" w:fill="auto"/>
            <w:noWrap/>
            <w:vAlign w:val="center"/>
          </w:tcPr>
          <w:p w14:paraId="0658A052">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c>
          <w:tcPr>
            <w:tcW w:w="463" w:type="pct"/>
            <w:shd w:val="clear" w:color="000000" w:fill="auto"/>
            <w:noWrap/>
            <w:vAlign w:val="center"/>
          </w:tcPr>
          <w:p w14:paraId="3ED539E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50B8906C">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吕睿竞</w:t>
            </w:r>
          </w:p>
        </w:tc>
        <w:tc>
          <w:tcPr>
            <w:tcW w:w="1121" w:type="pct"/>
            <w:shd w:val="clear" w:color="000000" w:fill="auto"/>
            <w:noWrap/>
            <w:vAlign w:val="center"/>
          </w:tcPr>
          <w:p w14:paraId="15E5454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r>
      <w:tr w14:paraId="3980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56C1EB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43EDD8A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宋泽华</w:t>
            </w:r>
          </w:p>
        </w:tc>
        <w:tc>
          <w:tcPr>
            <w:tcW w:w="1226" w:type="pct"/>
            <w:shd w:val="clear" w:color="000000" w:fill="auto"/>
            <w:noWrap/>
            <w:vAlign w:val="center"/>
          </w:tcPr>
          <w:p w14:paraId="77185C7B">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长盛基金</w:t>
            </w:r>
          </w:p>
        </w:tc>
        <w:tc>
          <w:tcPr>
            <w:tcW w:w="463" w:type="pct"/>
            <w:shd w:val="clear" w:color="000000" w:fill="auto"/>
            <w:noWrap/>
            <w:vAlign w:val="center"/>
          </w:tcPr>
          <w:p w14:paraId="465612A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6" w:type="pct"/>
            <w:shd w:val="clear" w:color="000000" w:fill="auto"/>
            <w:noWrap/>
            <w:vAlign w:val="center"/>
          </w:tcPr>
          <w:p w14:paraId="05B1AE60">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刘晓晨</w:t>
            </w:r>
          </w:p>
        </w:tc>
        <w:tc>
          <w:tcPr>
            <w:tcW w:w="1121" w:type="pct"/>
            <w:shd w:val="clear" w:color="000000" w:fill="auto"/>
            <w:noWrap/>
            <w:vAlign w:val="center"/>
          </w:tcPr>
          <w:p w14:paraId="5102343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宏利基金</w:t>
            </w:r>
          </w:p>
        </w:tc>
      </w:tr>
      <w:tr w14:paraId="76A7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837221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7</w:t>
            </w:r>
          </w:p>
        </w:tc>
        <w:tc>
          <w:tcPr>
            <w:tcW w:w="987" w:type="pct"/>
            <w:shd w:val="clear" w:color="000000" w:fill="auto"/>
            <w:noWrap/>
            <w:vAlign w:val="center"/>
          </w:tcPr>
          <w:p w14:paraId="5A19250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史佳璐</w:t>
            </w:r>
          </w:p>
        </w:tc>
        <w:tc>
          <w:tcPr>
            <w:tcW w:w="1226" w:type="pct"/>
            <w:shd w:val="clear" w:color="000000" w:fill="auto"/>
            <w:noWrap/>
            <w:vAlign w:val="center"/>
          </w:tcPr>
          <w:p w14:paraId="5702F5C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宏利基金</w:t>
            </w:r>
          </w:p>
        </w:tc>
        <w:tc>
          <w:tcPr>
            <w:tcW w:w="463" w:type="pct"/>
            <w:shd w:val="clear" w:color="000000" w:fill="auto"/>
            <w:noWrap/>
            <w:vAlign w:val="center"/>
          </w:tcPr>
          <w:p w14:paraId="725A16E3">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05252072">
            <w:pPr>
              <w:widowControl/>
              <w:jc w:val="center"/>
              <w:rPr>
                <w:rFonts w:hint="eastAsia" w:ascii="Times New Roman" w:hAnsi="Times New Roman" w:cs="Times New Roman"/>
                <w:color w:val="000000"/>
                <w:kern w:val="0"/>
                <w:sz w:val="21"/>
                <w:szCs w:val="22"/>
              </w:rPr>
            </w:pPr>
          </w:p>
        </w:tc>
        <w:tc>
          <w:tcPr>
            <w:tcW w:w="1121" w:type="pct"/>
            <w:shd w:val="clear" w:color="000000" w:fill="auto"/>
            <w:noWrap/>
            <w:vAlign w:val="center"/>
          </w:tcPr>
          <w:p w14:paraId="372C61E8">
            <w:pPr>
              <w:widowControl/>
              <w:jc w:val="center"/>
              <w:rPr>
                <w:rFonts w:hint="eastAsia" w:ascii="Times New Roman" w:hAnsi="Times New Roman" w:cs="Times New Roman"/>
                <w:color w:val="000000"/>
                <w:kern w:val="0"/>
                <w:sz w:val="21"/>
                <w:szCs w:val="22"/>
                <w:lang w:val="en-US" w:eastAsia="zh-CN"/>
              </w:rPr>
            </w:pPr>
          </w:p>
        </w:tc>
      </w:tr>
    </w:tbl>
    <w:p w14:paraId="59DDA56A">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23</w:t>
      </w:r>
      <w:r>
        <w:rPr>
          <w:rFonts w:hint="eastAsia"/>
          <w:b/>
          <w:bCs/>
        </w:rPr>
        <w:t>日，</w:t>
      </w:r>
      <w:r>
        <w:rPr>
          <w:rFonts w:hint="eastAsia"/>
          <w:b/>
          <w:bCs/>
          <w:lang w:val="en-US" w:eastAsia="zh-CN"/>
        </w:rPr>
        <w:t>参加天弘基金的线下调研</w:t>
      </w:r>
      <w:r>
        <w:rPr>
          <w:rFonts w:hint="eastAsia"/>
          <w:b/>
          <w:bCs/>
        </w:rPr>
        <w:t>。</w:t>
      </w:r>
    </w:p>
    <w:tbl>
      <w:tblPr>
        <w:tblStyle w:val="9"/>
        <w:tblW w:w="43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593"/>
        <w:gridCol w:w="1416"/>
        <w:gridCol w:w="1760"/>
        <w:gridCol w:w="664"/>
        <w:gridCol w:w="1128"/>
        <w:gridCol w:w="1609"/>
      </w:tblGrid>
      <w:tr w14:paraId="34D0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PrEx>
        <w:trPr>
          <w:trHeight w:val="454" w:hRule="atLeast"/>
          <w:jc w:val="center"/>
        </w:trPr>
        <w:tc>
          <w:tcPr>
            <w:tcW w:w="413" w:type="pct"/>
            <w:shd w:val="clear" w:color="auto" w:fill="D8D8D8" w:themeFill="background1" w:themeFillShade="D9"/>
            <w:noWrap/>
            <w:vAlign w:val="center"/>
          </w:tcPr>
          <w:p w14:paraId="619B9D12">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2633B38A">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739DF6ED">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2" w:type="pct"/>
            <w:shd w:val="clear" w:color="auto" w:fill="D8D8D8" w:themeFill="background1" w:themeFillShade="D9"/>
            <w:noWrap/>
            <w:vAlign w:val="center"/>
          </w:tcPr>
          <w:p w14:paraId="0FB2FE2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6697C1D2">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2" w:type="pct"/>
            <w:shd w:val="clear" w:color="auto" w:fill="D8D8D8" w:themeFill="background1" w:themeFillShade="D9"/>
            <w:noWrap/>
            <w:vAlign w:val="center"/>
          </w:tcPr>
          <w:p w14:paraId="48AABD7A">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1FDC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7C571EA">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0D5A4607">
            <w:pPr>
              <w:widowControl/>
              <w:jc w:val="center"/>
              <w:rPr>
                <w:rFonts w:hint="eastAsia" w:ascii="Times New Roman" w:hAnsi="Times New Roman" w:eastAsia="宋体"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于洋</w:t>
            </w:r>
          </w:p>
        </w:tc>
        <w:tc>
          <w:tcPr>
            <w:tcW w:w="1227" w:type="pct"/>
            <w:shd w:val="clear" w:color="000000" w:fill="auto"/>
            <w:noWrap/>
            <w:vAlign w:val="center"/>
          </w:tcPr>
          <w:p w14:paraId="181C78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天弘基金</w:t>
            </w:r>
          </w:p>
        </w:tc>
        <w:tc>
          <w:tcPr>
            <w:tcW w:w="462" w:type="pct"/>
            <w:shd w:val="clear" w:color="000000" w:fill="auto"/>
            <w:noWrap/>
            <w:vAlign w:val="center"/>
          </w:tcPr>
          <w:p w14:paraId="15E30F84">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130D43C1">
            <w:pPr>
              <w:widowControl/>
              <w:jc w:val="center"/>
              <w:rPr>
                <w:rFonts w:hint="eastAsia" w:ascii="Times New Roman" w:hAnsi="Times New Roman" w:cs="Times New Roman"/>
                <w:color w:val="000000"/>
                <w:kern w:val="0"/>
                <w:sz w:val="21"/>
                <w:szCs w:val="22"/>
              </w:rPr>
            </w:pPr>
          </w:p>
        </w:tc>
        <w:tc>
          <w:tcPr>
            <w:tcW w:w="1122" w:type="pct"/>
            <w:shd w:val="clear" w:color="000000" w:fill="auto"/>
            <w:noWrap/>
            <w:vAlign w:val="center"/>
          </w:tcPr>
          <w:p w14:paraId="0108EF32">
            <w:pPr>
              <w:widowControl/>
              <w:jc w:val="center"/>
              <w:rPr>
                <w:rFonts w:hint="eastAsia" w:ascii="Times New Roman" w:hAnsi="Times New Roman" w:cs="Times New Roman"/>
                <w:color w:val="000000"/>
                <w:kern w:val="0"/>
                <w:sz w:val="21"/>
                <w:szCs w:val="22"/>
                <w:lang w:val="en-US" w:eastAsia="zh-CN"/>
              </w:rPr>
            </w:pPr>
          </w:p>
        </w:tc>
      </w:tr>
    </w:tbl>
    <w:p w14:paraId="6582D595">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28</w:t>
      </w:r>
      <w:r>
        <w:rPr>
          <w:rFonts w:hint="eastAsia"/>
          <w:b/>
          <w:bCs/>
        </w:rPr>
        <w:t>日，</w:t>
      </w:r>
      <w:r>
        <w:rPr>
          <w:rFonts w:hint="eastAsia"/>
          <w:b/>
          <w:bCs/>
          <w:lang w:val="en-US" w:eastAsia="zh-CN"/>
        </w:rPr>
        <w:t>参加长江证券组织的线上调研</w:t>
      </w:r>
      <w:r>
        <w:rPr>
          <w:rFonts w:hint="eastAsia"/>
          <w:b/>
          <w:bCs/>
        </w:rPr>
        <w:t>。</w:t>
      </w:r>
    </w:p>
    <w:tbl>
      <w:tblPr>
        <w:tblStyle w:val="9"/>
        <w:tblW w:w="43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593"/>
        <w:gridCol w:w="1416"/>
        <w:gridCol w:w="1760"/>
        <w:gridCol w:w="664"/>
        <w:gridCol w:w="1128"/>
        <w:gridCol w:w="1609"/>
      </w:tblGrid>
      <w:tr w14:paraId="18A4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auto" w:fill="D8D8D8" w:themeFill="background1" w:themeFillShade="D9"/>
            <w:noWrap/>
            <w:vAlign w:val="center"/>
          </w:tcPr>
          <w:p w14:paraId="227DB802">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3E02928E">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52361A3F">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2" w:type="pct"/>
            <w:shd w:val="clear" w:color="auto" w:fill="D8D8D8" w:themeFill="background1" w:themeFillShade="D9"/>
            <w:noWrap/>
            <w:vAlign w:val="center"/>
          </w:tcPr>
          <w:p w14:paraId="1F9F5EC2">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0C75D7E7">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2" w:type="pct"/>
            <w:shd w:val="clear" w:color="auto" w:fill="D8D8D8" w:themeFill="background1" w:themeFillShade="D9"/>
            <w:noWrap/>
            <w:vAlign w:val="center"/>
          </w:tcPr>
          <w:p w14:paraId="174FC03C">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4537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37510A98">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41E878F2">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孙婉宁</w:t>
            </w:r>
          </w:p>
        </w:tc>
        <w:tc>
          <w:tcPr>
            <w:tcW w:w="1227" w:type="pct"/>
            <w:shd w:val="clear" w:color="000000" w:fill="auto"/>
            <w:noWrap/>
            <w:vAlign w:val="center"/>
          </w:tcPr>
          <w:p w14:paraId="662B17EA">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中邮资管</w:t>
            </w:r>
          </w:p>
        </w:tc>
        <w:tc>
          <w:tcPr>
            <w:tcW w:w="462" w:type="pct"/>
            <w:shd w:val="clear" w:color="000000" w:fill="auto"/>
            <w:noWrap/>
            <w:vAlign w:val="center"/>
          </w:tcPr>
          <w:p w14:paraId="3C8E7585">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07DF27A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高远</w:t>
            </w:r>
          </w:p>
        </w:tc>
        <w:tc>
          <w:tcPr>
            <w:tcW w:w="1122" w:type="pct"/>
            <w:shd w:val="clear" w:color="000000" w:fill="auto"/>
            <w:noWrap/>
            <w:vAlign w:val="center"/>
          </w:tcPr>
          <w:p w14:paraId="1789BB9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中邮资管</w:t>
            </w:r>
          </w:p>
        </w:tc>
      </w:tr>
      <w:tr w14:paraId="2DCC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4D87497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3DAC65ED">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王睿智</w:t>
            </w:r>
          </w:p>
        </w:tc>
        <w:tc>
          <w:tcPr>
            <w:tcW w:w="1227" w:type="pct"/>
            <w:shd w:val="clear" w:color="000000" w:fill="auto"/>
            <w:noWrap/>
            <w:vAlign w:val="center"/>
          </w:tcPr>
          <w:p w14:paraId="3A649174">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中邮资管</w:t>
            </w:r>
          </w:p>
        </w:tc>
        <w:tc>
          <w:tcPr>
            <w:tcW w:w="462" w:type="pct"/>
            <w:shd w:val="clear" w:color="000000" w:fill="auto"/>
            <w:noWrap/>
            <w:vAlign w:val="center"/>
          </w:tcPr>
          <w:p w14:paraId="0D4F78CA">
            <w:pPr>
              <w:widowControl/>
              <w:jc w:val="center"/>
              <w:rPr>
                <w:rFonts w:hint="default" w:ascii="Times New Roman" w:hAnsi="Times New Roman" w:cs="Times New Roman"/>
                <w:color w:val="000000"/>
                <w:kern w:val="0"/>
                <w:sz w:val="21"/>
                <w:szCs w:val="22"/>
                <w:lang w:val="en-US" w:eastAsia="zh-CN"/>
              </w:rPr>
            </w:pPr>
          </w:p>
        </w:tc>
        <w:tc>
          <w:tcPr>
            <w:tcW w:w="786" w:type="pct"/>
            <w:shd w:val="clear" w:color="000000" w:fill="auto"/>
            <w:noWrap/>
            <w:vAlign w:val="center"/>
          </w:tcPr>
          <w:p w14:paraId="1E62A1B0">
            <w:pPr>
              <w:widowControl/>
              <w:jc w:val="center"/>
              <w:rPr>
                <w:rFonts w:hint="eastAsia" w:ascii="Times New Roman" w:hAnsi="Times New Roman" w:cs="Times New Roman"/>
                <w:color w:val="000000"/>
                <w:kern w:val="0"/>
                <w:sz w:val="21"/>
                <w:szCs w:val="22"/>
              </w:rPr>
            </w:pPr>
          </w:p>
        </w:tc>
        <w:tc>
          <w:tcPr>
            <w:tcW w:w="1122" w:type="pct"/>
            <w:shd w:val="clear" w:color="000000" w:fill="auto"/>
            <w:noWrap/>
            <w:vAlign w:val="center"/>
          </w:tcPr>
          <w:p w14:paraId="2041E0FB">
            <w:pPr>
              <w:widowControl/>
              <w:jc w:val="center"/>
              <w:rPr>
                <w:rFonts w:hint="eastAsia" w:ascii="Times New Roman" w:hAnsi="Times New Roman" w:cs="Times New Roman"/>
                <w:color w:val="000000"/>
                <w:kern w:val="0"/>
                <w:sz w:val="21"/>
                <w:szCs w:val="22"/>
                <w:lang w:val="en-US" w:eastAsia="zh-CN"/>
              </w:rPr>
            </w:pPr>
          </w:p>
        </w:tc>
      </w:tr>
    </w:tbl>
    <w:p w14:paraId="735F5D5B">
      <w:pPr>
        <w:spacing w:line="360" w:lineRule="auto"/>
        <w:rPr>
          <w:rFonts w:hint="eastAsia" w:eastAsia="宋体"/>
          <w:b/>
          <w:bCs/>
          <w:lang w:val="en-US" w:eastAsia="zh-CN"/>
        </w:rPr>
      </w:pPr>
      <w:r>
        <w:rPr>
          <w:rFonts w:hint="eastAsia" w:ascii="Times New Roman" w:hAnsi="Times New Roman" w:cs="Times New Roman"/>
          <w:b/>
          <w:bCs/>
        </w:rPr>
        <w:t>202</w:t>
      </w:r>
      <w:r>
        <w:rPr>
          <w:rFonts w:hint="eastAsia" w:ascii="Times New Roman" w:hAnsi="Times New Roman" w:cs="Times New Roman"/>
          <w:b/>
          <w:bCs/>
          <w:lang w:val="en-US" w:eastAsia="zh-CN"/>
        </w:rPr>
        <w:t>6</w:t>
      </w:r>
      <w:r>
        <w:rPr>
          <w:rFonts w:hint="eastAsia"/>
          <w:b/>
          <w:bCs/>
        </w:rPr>
        <w:t>年</w:t>
      </w:r>
      <w:r>
        <w:rPr>
          <w:rFonts w:hint="eastAsia" w:ascii="Times New Roman" w:hAnsi="Times New Roman" w:cs="Times New Roman"/>
          <w:b/>
          <w:bCs/>
          <w:lang w:val="en-US" w:eastAsia="zh-CN"/>
        </w:rPr>
        <w:t>09</w:t>
      </w:r>
      <w:r>
        <w:rPr>
          <w:rFonts w:hint="eastAsia"/>
          <w:b/>
          <w:bCs/>
        </w:rPr>
        <w:t>月</w:t>
      </w:r>
      <w:r>
        <w:rPr>
          <w:rFonts w:hint="eastAsia"/>
          <w:b/>
          <w:bCs/>
          <w:lang w:val="en-US" w:eastAsia="zh-CN"/>
        </w:rPr>
        <w:t>29</w:t>
      </w:r>
      <w:r>
        <w:rPr>
          <w:rFonts w:hint="eastAsia"/>
          <w:b/>
          <w:bCs/>
        </w:rPr>
        <w:t>日，</w:t>
      </w:r>
      <w:r>
        <w:rPr>
          <w:rFonts w:hint="eastAsia"/>
          <w:b/>
          <w:bCs/>
          <w:lang w:val="en-US" w:eastAsia="zh-CN"/>
        </w:rPr>
        <w:t>公司临时股东会现场交流活动</w:t>
      </w:r>
      <w:r>
        <w:rPr>
          <w:rFonts w:hint="eastAsia"/>
          <w:b/>
          <w:bCs/>
        </w:rPr>
        <w:t>。</w:t>
      </w:r>
    </w:p>
    <w:tbl>
      <w:tblPr>
        <w:tblStyle w:val="9"/>
        <w:tblW w:w="43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Layout w:type="fixed"/>
        <w:tblCellMar>
          <w:top w:w="0" w:type="dxa"/>
          <w:left w:w="108" w:type="dxa"/>
          <w:bottom w:w="0" w:type="dxa"/>
          <w:right w:w="108" w:type="dxa"/>
        </w:tblCellMar>
      </w:tblPr>
      <w:tblGrid>
        <w:gridCol w:w="593"/>
        <w:gridCol w:w="1416"/>
        <w:gridCol w:w="1760"/>
        <w:gridCol w:w="664"/>
        <w:gridCol w:w="1128"/>
        <w:gridCol w:w="1609"/>
      </w:tblGrid>
      <w:tr w14:paraId="18A6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PrEx>
        <w:trPr>
          <w:trHeight w:val="454" w:hRule="atLeast"/>
          <w:jc w:val="center"/>
        </w:trPr>
        <w:tc>
          <w:tcPr>
            <w:tcW w:w="413" w:type="pct"/>
            <w:shd w:val="clear" w:color="auto" w:fill="D8D8D8" w:themeFill="background1" w:themeFillShade="D9"/>
            <w:noWrap/>
            <w:vAlign w:val="center"/>
          </w:tcPr>
          <w:p w14:paraId="21484820">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987" w:type="pct"/>
            <w:shd w:val="clear" w:color="auto" w:fill="D8D8D8" w:themeFill="background1" w:themeFillShade="D9"/>
            <w:noWrap/>
            <w:vAlign w:val="center"/>
          </w:tcPr>
          <w:p w14:paraId="12723237">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姓名</w:t>
            </w:r>
          </w:p>
        </w:tc>
        <w:tc>
          <w:tcPr>
            <w:tcW w:w="1227" w:type="pct"/>
            <w:shd w:val="clear" w:color="auto" w:fill="D8D8D8" w:themeFill="background1" w:themeFillShade="D9"/>
            <w:noWrap/>
            <w:vAlign w:val="center"/>
          </w:tcPr>
          <w:p w14:paraId="1DF153F9">
            <w:pPr>
              <w:widowControl/>
              <w:jc w:val="center"/>
              <w:rPr>
                <w:rFonts w:hint="eastAsia" w:ascii="Times New Roman" w:hAnsi="Times New Roman" w:eastAsia="宋体" w:cs="Times New Roman"/>
                <w:b/>
                <w:color w:val="000000"/>
                <w:kern w:val="0"/>
                <w:sz w:val="21"/>
                <w:szCs w:val="22"/>
                <w:lang w:val="en-US" w:eastAsia="zh-CN"/>
              </w:rPr>
            </w:pPr>
            <w:r>
              <w:rPr>
                <w:rFonts w:hint="eastAsia" w:ascii="Times New Roman" w:hAnsi="Times New Roman" w:cs="Times New Roman"/>
                <w:b/>
                <w:color w:val="000000"/>
                <w:kern w:val="0"/>
                <w:sz w:val="21"/>
                <w:szCs w:val="22"/>
                <w:lang w:val="en-US" w:eastAsia="zh-CN"/>
              </w:rPr>
              <w:t>机构</w:t>
            </w:r>
          </w:p>
        </w:tc>
        <w:tc>
          <w:tcPr>
            <w:tcW w:w="462" w:type="pct"/>
            <w:shd w:val="clear" w:color="auto" w:fill="D8D8D8" w:themeFill="background1" w:themeFillShade="D9"/>
            <w:noWrap/>
            <w:vAlign w:val="center"/>
          </w:tcPr>
          <w:p w14:paraId="18B4C9C7">
            <w:pPr>
              <w:widowControl/>
              <w:jc w:val="center"/>
              <w:rPr>
                <w:rFonts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rPr>
              <w:t>序号</w:t>
            </w:r>
          </w:p>
        </w:tc>
        <w:tc>
          <w:tcPr>
            <w:tcW w:w="786" w:type="pct"/>
            <w:shd w:val="clear" w:color="auto" w:fill="D8D8D8" w:themeFill="background1" w:themeFillShade="D9"/>
            <w:noWrap/>
            <w:vAlign w:val="center"/>
          </w:tcPr>
          <w:p w14:paraId="7105BDCD">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姓名</w:t>
            </w:r>
          </w:p>
        </w:tc>
        <w:tc>
          <w:tcPr>
            <w:tcW w:w="1122" w:type="pct"/>
            <w:shd w:val="clear" w:color="auto" w:fill="D8D8D8" w:themeFill="background1" w:themeFillShade="D9"/>
            <w:noWrap/>
            <w:vAlign w:val="center"/>
          </w:tcPr>
          <w:p w14:paraId="386F1345">
            <w:pPr>
              <w:widowControl/>
              <w:jc w:val="center"/>
              <w:rPr>
                <w:rFonts w:hint="eastAsia" w:ascii="Times New Roman" w:hAnsi="Times New Roman" w:cs="Times New Roman"/>
                <w:b/>
                <w:color w:val="000000"/>
                <w:kern w:val="0"/>
                <w:sz w:val="21"/>
                <w:szCs w:val="22"/>
              </w:rPr>
            </w:pPr>
            <w:r>
              <w:rPr>
                <w:rFonts w:hint="eastAsia" w:ascii="Times New Roman" w:hAnsi="Times New Roman" w:cs="Times New Roman"/>
                <w:b/>
                <w:color w:val="000000"/>
                <w:kern w:val="0"/>
                <w:sz w:val="21"/>
                <w:szCs w:val="22"/>
                <w:lang w:val="en-US" w:eastAsia="zh-CN"/>
              </w:rPr>
              <w:t>机构</w:t>
            </w:r>
          </w:p>
        </w:tc>
      </w:tr>
      <w:tr w14:paraId="2221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5BA4466B">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1</w:t>
            </w:r>
          </w:p>
        </w:tc>
        <w:tc>
          <w:tcPr>
            <w:tcW w:w="987" w:type="pct"/>
            <w:shd w:val="clear" w:color="000000" w:fill="auto"/>
            <w:noWrap/>
            <w:vAlign w:val="center"/>
          </w:tcPr>
          <w:p w14:paraId="2B56780E">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陈劲</w:t>
            </w:r>
          </w:p>
        </w:tc>
        <w:tc>
          <w:tcPr>
            <w:tcW w:w="1227" w:type="pct"/>
            <w:shd w:val="clear" w:color="000000" w:fill="auto"/>
            <w:noWrap/>
            <w:vAlign w:val="center"/>
          </w:tcPr>
          <w:p w14:paraId="6B58B8D9">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个人投资者</w:t>
            </w:r>
          </w:p>
        </w:tc>
        <w:tc>
          <w:tcPr>
            <w:tcW w:w="462" w:type="pct"/>
            <w:shd w:val="clear" w:color="000000" w:fill="auto"/>
            <w:noWrap/>
            <w:vAlign w:val="center"/>
          </w:tcPr>
          <w:p w14:paraId="0CC46601">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2</w:t>
            </w:r>
          </w:p>
        </w:tc>
        <w:tc>
          <w:tcPr>
            <w:tcW w:w="786" w:type="pct"/>
            <w:shd w:val="clear" w:color="000000" w:fill="auto"/>
            <w:noWrap/>
            <w:vAlign w:val="center"/>
          </w:tcPr>
          <w:p w14:paraId="520FB037">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陈振晗</w:t>
            </w:r>
          </w:p>
        </w:tc>
        <w:tc>
          <w:tcPr>
            <w:tcW w:w="1122" w:type="pct"/>
            <w:shd w:val="clear" w:color="000000" w:fill="auto"/>
            <w:noWrap/>
            <w:vAlign w:val="center"/>
          </w:tcPr>
          <w:p w14:paraId="259F176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个人投资者</w:t>
            </w:r>
          </w:p>
        </w:tc>
      </w:tr>
      <w:tr w14:paraId="0BC2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11BC7696">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3</w:t>
            </w:r>
          </w:p>
        </w:tc>
        <w:tc>
          <w:tcPr>
            <w:tcW w:w="987" w:type="pct"/>
            <w:shd w:val="clear" w:color="000000" w:fill="auto"/>
            <w:noWrap/>
            <w:vAlign w:val="center"/>
          </w:tcPr>
          <w:p w14:paraId="3929EB21">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季昌鹏</w:t>
            </w:r>
          </w:p>
        </w:tc>
        <w:tc>
          <w:tcPr>
            <w:tcW w:w="1227" w:type="pct"/>
            <w:shd w:val="clear" w:color="000000" w:fill="auto"/>
            <w:noWrap/>
            <w:vAlign w:val="center"/>
          </w:tcPr>
          <w:p w14:paraId="43D4B2E8">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个人投资者</w:t>
            </w:r>
          </w:p>
        </w:tc>
        <w:tc>
          <w:tcPr>
            <w:tcW w:w="462" w:type="pct"/>
            <w:shd w:val="clear" w:color="000000" w:fill="auto"/>
            <w:noWrap/>
            <w:vAlign w:val="center"/>
          </w:tcPr>
          <w:p w14:paraId="725234AC">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4</w:t>
            </w:r>
          </w:p>
        </w:tc>
        <w:tc>
          <w:tcPr>
            <w:tcW w:w="786" w:type="pct"/>
            <w:shd w:val="clear" w:color="000000" w:fill="auto"/>
            <w:noWrap/>
            <w:vAlign w:val="center"/>
          </w:tcPr>
          <w:p w14:paraId="1169A8B4">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李成飞</w:t>
            </w:r>
          </w:p>
        </w:tc>
        <w:tc>
          <w:tcPr>
            <w:tcW w:w="1122" w:type="pct"/>
            <w:shd w:val="clear" w:color="000000" w:fill="auto"/>
            <w:noWrap/>
            <w:vAlign w:val="center"/>
          </w:tcPr>
          <w:p w14:paraId="4003AA89">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个人投资者</w:t>
            </w:r>
          </w:p>
        </w:tc>
      </w:tr>
      <w:tr w14:paraId="1FEC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auto"/>
          <w:tblCellMar>
            <w:top w:w="0" w:type="dxa"/>
            <w:left w:w="108" w:type="dxa"/>
            <w:bottom w:w="0" w:type="dxa"/>
            <w:right w:w="108" w:type="dxa"/>
          </w:tblCellMar>
        </w:tblPrEx>
        <w:trPr>
          <w:trHeight w:val="454" w:hRule="atLeast"/>
          <w:jc w:val="center"/>
        </w:trPr>
        <w:tc>
          <w:tcPr>
            <w:tcW w:w="413" w:type="pct"/>
            <w:shd w:val="clear" w:color="000000" w:fill="auto"/>
            <w:noWrap/>
            <w:vAlign w:val="center"/>
          </w:tcPr>
          <w:p w14:paraId="0D7B8CA4">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5</w:t>
            </w:r>
          </w:p>
        </w:tc>
        <w:tc>
          <w:tcPr>
            <w:tcW w:w="987" w:type="pct"/>
            <w:shd w:val="clear" w:color="000000" w:fill="auto"/>
            <w:noWrap/>
            <w:vAlign w:val="center"/>
          </w:tcPr>
          <w:p w14:paraId="7C2A22DF">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燕卓亚</w:t>
            </w:r>
          </w:p>
        </w:tc>
        <w:tc>
          <w:tcPr>
            <w:tcW w:w="1227" w:type="pct"/>
            <w:shd w:val="clear" w:color="000000" w:fill="auto"/>
            <w:noWrap/>
            <w:vAlign w:val="center"/>
          </w:tcPr>
          <w:p w14:paraId="1D4F842F">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个人投资者</w:t>
            </w:r>
          </w:p>
        </w:tc>
        <w:tc>
          <w:tcPr>
            <w:tcW w:w="462" w:type="pct"/>
            <w:shd w:val="clear" w:color="000000" w:fill="auto"/>
            <w:noWrap/>
            <w:vAlign w:val="center"/>
          </w:tcPr>
          <w:p w14:paraId="33888A60">
            <w:pPr>
              <w:widowControl/>
              <w:jc w:val="center"/>
              <w:rPr>
                <w:rFonts w:hint="default"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6</w:t>
            </w:r>
          </w:p>
        </w:tc>
        <w:tc>
          <w:tcPr>
            <w:tcW w:w="786" w:type="pct"/>
            <w:shd w:val="clear" w:color="000000" w:fill="auto"/>
            <w:noWrap/>
            <w:vAlign w:val="center"/>
          </w:tcPr>
          <w:p w14:paraId="6634CD96">
            <w:pPr>
              <w:widowControl/>
              <w:jc w:val="center"/>
              <w:rPr>
                <w:rFonts w:hint="eastAsia" w:ascii="Times New Roman" w:hAnsi="Times New Roman" w:cs="Times New Roman"/>
                <w:color w:val="000000"/>
                <w:kern w:val="0"/>
                <w:sz w:val="21"/>
                <w:szCs w:val="22"/>
              </w:rPr>
            </w:pPr>
            <w:r>
              <w:rPr>
                <w:rFonts w:hint="eastAsia" w:ascii="Times New Roman" w:hAnsi="Times New Roman" w:cs="Times New Roman"/>
                <w:color w:val="000000"/>
                <w:kern w:val="0"/>
                <w:sz w:val="21"/>
                <w:szCs w:val="22"/>
              </w:rPr>
              <w:t>Zhao Jianmin</w:t>
            </w:r>
          </w:p>
        </w:tc>
        <w:tc>
          <w:tcPr>
            <w:tcW w:w="1122" w:type="pct"/>
            <w:shd w:val="clear" w:color="000000" w:fill="auto"/>
            <w:noWrap/>
            <w:vAlign w:val="center"/>
          </w:tcPr>
          <w:p w14:paraId="640F82FE">
            <w:pPr>
              <w:widowControl/>
              <w:jc w:val="center"/>
              <w:rPr>
                <w:rFonts w:hint="eastAsia" w:ascii="Times New Roman" w:hAnsi="Times New Roman" w:cs="Times New Roman"/>
                <w:color w:val="000000"/>
                <w:kern w:val="0"/>
                <w:sz w:val="21"/>
                <w:szCs w:val="22"/>
                <w:lang w:val="en-US" w:eastAsia="zh-CN"/>
              </w:rPr>
            </w:pPr>
            <w:r>
              <w:rPr>
                <w:rFonts w:hint="eastAsia" w:ascii="Times New Roman" w:hAnsi="Times New Roman" w:cs="Times New Roman"/>
                <w:color w:val="000000"/>
                <w:kern w:val="0"/>
                <w:sz w:val="21"/>
                <w:szCs w:val="22"/>
                <w:lang w:val="en-US" w:eastAsia="zh-CN"/>
              </w:rPr>
              <w:t>个人投资者</w:t>
            </w:r>
          </w:p>
        </w:tc>
      </w:tr>
    </w:tbl>
    <w:p w14:paraId="2E82F09D">
      <w:pPr>
        <w:rPr>
          <w:rFonts w:hint="default" w:eastAsia="宋体"/>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mNDIwMmIzYTlhZjU1YzFjMDBiYTY2ZGM3ZjRjOTIifQ=="/>
  </w:docVars>
  <w:rsids>
    <w:rsidRoot w:val="00303DF0"/>
    <w:rsid w:val="000007DA"/>
    <w:rsid w:val="000018C2"/>
    <w:rsid w:val="00005E69"/>
    <w:rsid w:val="000106C0"/>
    <w:rsid w:val="0001098C"/>
    <w:rsid w:val="000117BF"/>
    <w:rsid w:val="000124E2"/>
    <w:rsid w:val="000134A1"/>
    <w:rsid w:val="00016ADE"/>
    <w:rsid w:val="00021805"/>
    <w:rsid w:val="00021901"/>
    <w:rsid w:val="00031B5F"/>
    <w:rsid w:val="00031CE3"/>
    <w:rsid w:val="000353FE"/>
    <w:rsid w:val="000368E8"/>
    <w:rsid w:val="00043800"/>
    <w:rsid w:val="000442B9"/>
    <w:rsid w:val="00053EDA"/>
    <w:rsid w:val="0005483B"/>
    <w:rsid w:val="0006007E"/>
    <w:rsid w:val="00060BE5"/>
    <w:rsid w:val="00062FEE"/>
    <w:rsid w:val="00064982"/>
    <w:rsid w:val="00067148"/>
    <w:rsid w:val="0007078A"/>
    <w:rsid w:val="000733FA"/>
    <w:rsid w:val="00073ED8"/>
    <w:rsid w:val="00076ECD"/>
    <w:rsid w:val="00077157"/>
    <w:rsid w:val="00077430"/>
    <w:rsid w:val="0008412A"/>
    <w:rsid w:val="0008474D"/>
    <w:rsid w:val="000852A7"/>
    <w:rsid w:val="00094014"/>
    <w:rsid w:val="000960EC"/>
    <w:rsid w:val="000A120D"/>
    <w:rsid w:val="000A162B"/>
    <w:rsid w:val="000A2D0D"/>
    <w:rsid w:val="000A5F4C"/>
    <w:rsid w:val="000B5D32"/>
    <w:rsid w:val="000B7CB8"/>
    <w:rsid w:val="000C10FA"/>
    <w:rsid w:val="000C5F93"/>
    <w:rsid w:val="000D09D7"/>
    <w:rsid w:val="000D2AEF"/>
    <w:rsid w:val="000D5E74"/>
    <w:rsid w:val="000E4659"/>
    <w:rsid w:val="000E4D7E"/>
    <w:rsid w:val="000E4DF7"/>
    <w:rsid w:val="000E507F"/>
    <w:rsid w:val="000E751A"/>
    <w:rsid w:val="000F1458"/>
    <w:rsid w:val="000F4B06"/>
    <w:rsid w:val="000F593E"/>
    <w:rsid w:val="00101436"/>
    <w:rsid w:val="00101C04"/>
    <w:rsid w:val="00102359"/>
    <w:rsid w:val="00102540"/>
    <w:rsid w:val="001072E4"/>
    <w:rsid w:val="001079AD"/>
    <w:rsid w:val="0011165C"/>
    <w:rsid w:val="00114C15"/>
    <w:rsid w:val="00114E7B"/>
    <w:rsid w:val="0013090C"/>
    <w:rsid w:val="00136E21"/>
    <w:rsid w:val="00143653"/>
    <w:rsid w:val="001462EC"/>
    <w:rsid w:val="00146453"/>
    <w:rsid w:val="00152A84"/>
    <w:rsid w:val="00153B69"/>
    <w:rsid w:val="001540AF"/>
    <w:rsid w:val="00154AB4"/>
    <w:rsid w:val="0015608A"/>
    <w:rsid w:val="00164202"/>
    <w:rsid w:val="001671AD"/>
    <w:rsid w:val="00167605"/>
    <w:rsid w:val="0017048E"/>
    <w:rsid w:val="00171161"/>
    <w:rsid w:val="00171862"/>
    <w:rsid w:val="00177177"/>
    <w:rsid w:val="00177E76"/>
    <w:rsid w:val="00180FC9"/>
    <w:rsid w:val="001813D3"/>
    <w:rsid w:val="00182032"/>
    <w:rsid w:val="00190313"/>
    <w:rsid w:val="00192AFD"/>
    <w:rsid w:val="00193456"/>
    <w:rsid w:val="001A09B4"/>
    <w:rsid w:val="001A0C91"/>
    <w:rsid w:val="001B57D3"/>
    <w:rsid w:val="001B7FF3"/>
    <w:rsid w:val="001C2328"/>
    <w:rsid w:val="001C233C"/>
    <w:rsid w:val="001C3BEC"/>
    <w:rsid w:val="001C609C"/>
    <w:rsid w:val="001C688E"/>
    <w:rsid w:val="001D2801"/>
    <w:rsid w:val="001D2A75"/>
    <w:rsid w:val="001D2C1F"/>
    <w:rsid w:val="001D6AB8"/>
    <w:rsid w:val="001E0088"/>
    <w:rsid w:val="001E42C8"/>
    <w:rsid w:val="001E5DF0"/>
    <w:rsid w:val="001E6D59"/>
    <w:rsid w:val="001F0B74"/>
    <w:rsid w:val="001F0E09"/>
    <w:rsid w:val="001F24F4"/>
    <w:rsid w:val="001F3131"/>
    <w:rsid w:val="002016F0"/>
    <w:rsid w:val="002025A4"/>
    <w:rsid w:val="00202FC3"/>
    <w:rsid w:val="00205163"/>
    <w:rsid w:val="0020749E"/>
    <w:rsid w:val="00207FEF"/>
    <w:rsid w:val="00210200"/>
    <w:rsid w:val="0021136A"/>
    <w:rsid w:val="002128B7"/>
    <w:rsid w:val="00213C6A"/>
    <w:rsid w:val="00214457"/>
    <w:rsid w:val="00214BF1"/>
    <w:rsid w:val="00215EDF"/>
    <w:rsid w:val="0021663D"/>
    <w:rsid w:val="002171A5"/>
    <w:rsid w:val="0021725B"/>
    <w:rsid w:val="00221140"/>
    <w:rsid w:val="00225590"/>
    <w:rsid w:val="0023171A"/>
    <w:rsid w:val="00234885"/>
    <w:rsid w:val="00237D11"/>
    <w:rsid w:val="0024108F"/>
    <w:rsid w:val="00241D60"/>
    <w:rsid w:val="002444A0"/>
    <w:rsid w:val="0025363E"/>
    <w:rsid w:val="0025444F"/>
    <w:rsid w:val="0025482A"/>
    <w:rsid w:val="00257D5E"/>
    <w:rsid w:val="00260307"/>
    <w:rsid w:val="00260C57"/>
    <w:rsid w:val="002634D0"/>
    <w:rsid w:val="00263533"/>
    <w:rsid w:val="00266697"/>
    <w:rsid w:val="002670C6"/>
    <w:rsid w:val="002672BF"/>
    <w:rsid w:val="00275407"/>
    <w:rsid w:val="002816C6"/>
    <w:rsid w:val="00282183"/>
    <w:rsid w:val="00284021"/>
    <w:rsid w:val="00287BD9"/>
    <w:rsid w:val="00290770"/>
    <w:rsid w:val="00290BF4"/>
    <w:rsid w:val="00291177"/>
    <w:rsid w:val="00292362"/>
    <w:rsid w:val="00294054"/>
    <w:rsid w:val="00297F73"/>
    <w:rsid w:val="002A0378"/>
    <w:rsid w:val="002A1C53"/>
    <w:rsid w:val="002A41FC"/>
    <w:rsid w:val="002A47A7"/>
    <w:rsid w:val="002A5472"/>
    <w:rsid w:val="002A7287"/>
    <w:rsid w:val="002B0060"/>
    <w:rsid w:val="002B10F9"/>
    <w:rsid w:val="002B19A1"/>
    <w:rsid w:val="002B1C17"/>
    <w:rsid w:val="002B41FC"/>
    <w:rsid w:val="002B4D8F"/>
    <w:rsid w:val="002B666C"/>
    <w:rsid w:val="002C041B"/>
    <w:rsid w:val="002C1699"/>
    <w:rsid w:val="002C1756"/>
    <w:rsid w:val="002C29A6"/>
    <w:rsid w:val="002C5042"/>
    <w:rsid w:val="002C5A13"/>
    <w:rsid w:val="002C7A23"/>
    <w:rsid w:val="002C7D4D"/>
    <w:rsid w:val="002D0117"/>
    <w:rsid w:val="002D05AE"/>
    <w:rsid w:val="002D0A37"/>
    <w:rsid w:val="002D11F5"/>
    <w:rsid w:val="002D75B8"/>
    <w:rsid w:val="002E56E7"/>
    <w:rsid w:val="002F1838"/>
    <w:rsid w:val="002F2D5A"/>
    <w:rsid w:val="002F563A"/>
    <w:rsid w:val="002F61C1"/>
    <w:rsid w:val="003009B8"/>
    <w:rsid w:val="00301FFC"/>
    <w:rsid w:val="00303DF0"/>
    <w:rsid w:val="003052B7"/>
    <w:rsid w:val="003055CE"/>
    <w:rsid w:val="00305F72"/>
    <w:rsid w:val="0030656D"/>
    <w:rsid w:val="00315AA4"/>
    <w:rsid w:val="003232B5"/>
    <w:rsid w:val="003269A0"/>
    <w:rsid w:val="00333ABA"/>
    <w:rsid w:val="003403D6"/>
    <w:rsid w:val="003412B6"/>
    <w:rsid w:val="0034186E"/>
    <w:rsid w:val="00341EC8"/>
    <w:rsid w:val="00342133"/>
    <w:rsid w:val="00344944"/>
    <w:rsid w:val="00344D23"/>
    <w:rsid w:val="003456A2"/>
    <w:rsid w:val="003469C6"/>
    <w:rsid w:val="003514E2"/>
    <w:rsid w:val="00351B60"/>
    <w:rsid w:val="00351E56"/>
    <w:rsid w:val="00352407"/>
    <w:rsid w:val="00352D58"/>
    <w:rsid w:val="003536A4"/>
    <w:rsid w:val="00354115"/>
    <w:rsid w:val="00355ECA"/>
    <w:rsid w:val="00356F75"/>
    <w:rsid w:val="00357DDD"/>
    <w:rsid w:val="00357E3F"/>
    <w:rsid w:val="003609A9"/>
    <w:rsid w:val="003647BF"/>
    <w:rsid w:val="0036662B"/>
    <w:rsid w:val="00366EC7"/>
    <w:rsid w:val="00367E07"/>
    <w:rsid w:val="00374887"/>
    <w:rsid w:val="00375ED8"/>
    <w:rsid w:val="003763DE"/>
    <w:rsid w:val="00376A3F"/>
    <w:rsid w:val="00383278"/>
    <w:rsid w:val="0038368F"/>
    <w:rsid w:val="003852DB"/>
    <w:rsid w:val="0039169E"/>
    <w:rsid w:val="0039185B"/>
    <w:rsid w:val="00392ED7"/>
    <w:rsid w:val="0039545E"/>
    <w:rsid w:val="00395F3D"/>
    <w:rsid w:val="00397747"/>
    <w:rsid w:val="003A194B"/>
    <w:rsid w:val="003A526E"/>
    <w:rsid w:val="003A590E"/>
    <w:rsid w:val="003A7B39"/>
    <w:rsid w:val="003B208E"/>
    <w:rsid w:val="003B6FDF"/>
    <w:rsid w:val="003C2A3D"/>
    <w:rsid w:val="003C3B69"/>
    <w:rsid w:val="003C5001"/>
    <w:rsid w:val="003C6F09"/>
    <w:rsid w:val="003C728C"/>
    <w:rsid w:val="003D4D5E"/>
    <w:rsid w:val="003D5072"/>
    <w:rsid w:val="003D53DE"/>
    <w:rsid w:val="003D6281"/>
    <w:rsid w:val="003E0992"/>
    <w:rsid w:val="003E2822"/>
    <w:rsid w:val="003E39B7"/>
    <w:rsid w:val="003E57F8"/>
    <w:rsid w:val="003E7ADC"/>
    <w:rsid w:val="003F26DB"/>
    <w:rsid w:val="003F2845"/>
    <w:rsid w:val="003F4427"/>
    <w:rsid w:val="003F508C"/>
    <w:rsid w:val="003F5238"/>
    <w:rsid w:val="003F6B75"/>
    <w:rsid w:val="004019EF"/>
    <w:rsid w:val="00402BA5"/>
    <w:rsid w:val="00404218"/>
    <w:rsid w:val="00406422"/>
    <w:rsid w:val="004103E7"/>
    <w:rsid w:val="00412BEE"/>
    <w:rsid w:val="00415A94"/>
    <w:rsid w:val="0042034D"/>
    <w:rsid w:val="004229CF"/>
    <w:rsid w:val="00422B10"/>
    <w:rsid w:val="00423FCF"/>
    <w:rsid w:val="004242E5"/>
    <w:rsid w:val="00427419"/>
    <w:rsid w:val="004321FF"/>
    <w:rsid w:val="00434A0E"/>
    <w:rsid w:val="00440632"/>
    <w:rsid w:val="0044086D"/>
    <w:rsid w:val="00442847"/>
    <w:rsid w:val="004434BD"/>
    <w:rsid w:val="004451E8"/>
    <w:rsid w:val="004523F3"/>
    <w:rsid w:val="00453BFB"/>
    <w:rsid w:val="0045412D"/>
    <w:rsid w:val="00454CFB"/>
    <w:rsid w:val="0046085F"/>
    <w:rsid w:val="00461BDE"/>
    <w:rsid w:val="0046521F"/>
    <w:rsid w:val="00467105"/>
    <w:rsid w:val="00476B94"/>
    <w:rsid w:val="00477767"/>
    <w:rsid w:val="00477E13"/>
    <w:rsid w:val="00485912"/>
    <w:rsid w:val="004860CD"/>
    <w:rsid w:val="00487654"/>
    <w:rsid w:val="004941F1"/>
    <w:rsid w:val="00497C0C"/>
    <w:rsid w:val="004A303C"/>
    <w:rsid w:val="004A67BC"/>
    <w:rsid w:val="004A7CB4"/>
    <w:rsid w:val="004B03C7"/>
    <w:rsid w:val="004B0C79"/>
    <w:rsid w:val="004B1C43"/>
    <w:rsid w:val="004B1C58"/>
    <w:rsid w:val="004B7BE9"/>
    <w:rsid w:val="004C299F"/>
    <w:rsid w:val="004D26EA"/>
    <w:rsid w:val="004D299C"/>
    <w:rsid w:val="004D5422"/>
    <w:rsid w:val="004E1B44"/>
    <w:rsid w:val="004E2B9D"/>
    <w:rsid w:val="004E5A03"/>
    <w:rsid w:val="004E6107"/>
    <w:rsid w:val="004F0F01"/>
    <w:rsid w:val="004F2F79"/>
    <w:rsid w:val="004F5A13"/>
    <w:rsid w:val="00500CE9"/>
    <w:rsid w:val="00500D8E"/>
    <w:rsid w:val="005011E4"/>
    <w:rsid w:val="00503647"/>
    <w:rsid w:val="00503656"/>
    <w:rsid w:val="00503825"/>
    <w:rsid w:val="0050474F"/>
    <w:rsid w:val="00505B63"/>
    <w:rsid w:val="00506B1E"/>
    <w:rsid w:val="00507F10"/>
    <w:rsid w:val="005149ED"/>
    <w:rsid w:val="005211BF"/>
    <w:rsid w:val="00522096"/>
    <w:rsid w:val="005220E9"/>
    <w:rsid w:val="0052343A"/>
    <w:rsid w:val="0052412F"/>
    <w:rsid w:val="0052524A"/>
    <w:rsid w:val="00531BE7"/>
    <w:rsid w:val="00532ADF"/>
    <w:rsid w:val="00536314"/>
    <w:rsid w:val="005375C9"/>
    <w:rsid w:val="005377A0"/>
    <w:rsid w:val="0054238E"/>
    <w:rsid w:val="0054799F"/>
    <w:rsid w:val="0055170B"/>
    <w:rsid w:val="00552D08"/>
    <w:rsid w:val="00555CFF"/>
    <w:rsid w:val="005561F2"/>
    <w:rsid w:val="005575E0"/>
    <w:rsid w:val="00557AA9"/>
    <w:rsid w:val="0056020B"/>
    <w:rsid w:val="00560A19"/>
    <w:rsid w:val="0056172B"/>
    <w:rsid w:val="00562E81"/>
    <w:rsid w:val="005634D5"/>
    <w:rsid w:val="005663D7"/>
    <w:rsid w:val="00571CA3"/>
    <w:rsid w:val="0057208D"/>
    <w:rsid w:val="00575BD6"/>
    <w:rsid w:val="00577CD7"/>
    <w:rsid w:val="00581620"/>
    <w:rsid w:val="00582E38"/>
    <w:rsid w:val="0058355B"/>
    <w:rsid w:val="00585ECD"/>
    <w:rsid w:val="00585F32"/>
    <w:rsid w:val="0059107A"/>
    <w:rsid w:val="00593C6B"/>
    <w:rsid w:val="005949BA"/>
    <w:rsid w:val="00594F5F"/>
    <w:rsid w:val="005951F8"/>
    <w:rsid w:val="00596573"/>
    <w:rsid w:val="005968A8"/>
    <w:rsid w:val="005975D2"/>
    <w:rsid w:val="005A3304"/>
    <w:rsid w:val="005A47DB"/>
    <w:rsid w:val="005A75D6"/>
    <w:rsid w:val="005B216A"/>
    <w:rsid w:val="005B30ED"/>
    <w:rsid w:val="005B3347"/>
    <w:rsid w:val="005B33E0"/>
    <w:rsid w:val="005C03C6"/>
    <w:rsid w:val="005D0F6E"/>
    <w:rsid w:val="005D18E7"/>
    <w:rsid w:val="005D2910"/>
    <w:rsid w:val="005D2BAA"/>
    <w:rsid w:val="005D4701"/>
    <w:rsid w:val="005D66B1"/>
    <w:rsid w:val="005D7F14"/>
    <w:rsid w:val="005E08C5"/>
    <w:rsid w:val="005E2879"/>
    <w:rsid w:val="005E2EFE"/>
    <w:rsid w:val="005E33C6"/>
    <w:rsid w:val="005E4FAA"/>
    <w:rsid w:val="005E7E9E"/>
    <w:rsid w:val="005F0840"/>
    <w:rsid w:val="005F4618"/>
    <w:rsid w:val="005F593B"/>
    <w:rsid w:val="005F7356"/>
    <w:rsid w:val="005F78BA"/>
    <w:rsid w:val="00602187"/>
    <w:rsid w:val="00603450"/>
    <w:rsid w:val="00603CCF"/>
    <w:rsid w:val="006053CA"/>
    <w:rsid w:val="00607CBD"/>
    <w:rsid w:val="00610475"/>
    <w:rsid w:val="00611301"/>
    <w:rsid w:val="00612122"/>
    <w:rsid w:val="0061725D"/>
    <w:rsid w:val="006217A8"/>
    <w:rsid w:val="006221DC"/>
    <w:rsid w:val="00623602"/>
    <w:rsid w:val="00625623"/>
    <w:rsid w:val="0062791B"/>
    <w:rsid w:val="0063041B"/>
    <w:rsid w:val="00635C82"/>
    <w:rsid w:val="0064189E"/>
    <w:rsid w:val="00641E8B"/>
    <w:rsid w:val="00643DF3"/>
    <w:rsid w:val="0065028D"/>
    <w:rsid w:val="00654A3B"/>
    <w:rsid w:val="0065525E"/>
    <w:rsid w:val="00656C48"/>
    <w:rsid w:val="00660364"/>
    <w:rsid w:val="00660D9E"/>
    <w:rsid w:val="00666D88"/>
    <w:rsid w:val="00670B5F"/>
    <w:rsid w:val="006733FE"/>
    <w:rsid w:val="00673FF2"/>
    <w:rsid w:val="006749DA"/>
    <w:rsid w:val="00674DE2"/>
    <w:rsid w:val="006753D2"/>
    <w:rsid w:val="00676B83"/>
    <w:rsid w:val="006834B5"/>
    <w:rsid w:val="00685827"/>
    <w:rsid w:val="00691B9D"/>
    <w:rsid w:val="00692AC4"/>
    <w:rsid w:val="006972E9"/>
    <w:rsid w:val="006B1EA6"/>
    <w:rsid w:val="006B24BF"/>
    <w:rsid w:val="006B4B73"/>
    <w:rsid w:val="006B78B0"/>
    <w:rsid w:val="006B7E8F"/>
    <w:rsid w:val="006C0B1F"/>
    <w:rsid w:val="006C59F4"/>
    <w:rsid w:val="006C6A2D"/>
    <w:rsid w:val="006D1E92"/>
    <w:rsid w:val="006D3F24"/>
    <w:rsid w:val="006D7D28"/>
    <w:rsid w:val="006E1044"/>
    <w:rsid w:val="006E49FB"/>
    <w:rsid w:val="006E6A9E"/>
    <w:rsid w:val="006E7048"/>
    <w:rsid w:val="006E7C17"/>
    <w:rsid w:val="006E7CEB"/>
    <w:rsid w:val="006F1E9F"/>
    <w:rsid w:val="006F5F37"/>
    <w:rsid w:val="00700AAC"/>
    <w:rsid w:val="00700F85"/>
    <w:rsid w:val="007066CA"/>
    <w:rsid w:val="0071193C"/>
    <w:rsid w:val="0071353D"/>
    <w:rsid w:val="007140BC"/>
    <w:rsid w:val="00714515"/>
    <w:rsid w:val="00721051"/>
    <w:rsid w:val="00722A5E"/>
    <w:rsid w:val="00726751"/>
    <w:rsid w:val="00727F47"/>
    <w:rsid w:val="00730E57"/>
    <w:rsid w:val="007346CD"/>
    <w:rsid w:val="007358D2"/>
    <w:rsid w:val="007378F3"/>
    <w:rsid w:val="00740A2D"/>
    <w:rsid w:val="007428F0"/>
    <w:rsid w:val="007454DD"/>
    <w:rsid w:val="007458A2"/>
    <w:rsid w:val="00746917"/>
    <w:rsid w:val="0075109A"/>
    <w:rsid w:val="00751F1A"/>
    <w:rsid w:val="007526A9"/>
    <w:rsid w:val="00752C47"/>
    <w:rsid w:val="00760E03"/>
    <w:rsid w:val="00764387"/>
    <w:rsid w:val="00765354"/>
    <w:rsid w:val="00767A7B"/>
    <w:rsid w:val="00767D56"/>
    <w:rsid w:val="00771059"/>
    <w:rsid w:val="00772A38"/>
    <w:rsid w:val="00775176"/>
    <w:rsid w:val="00777306"/>
    <w:rsid w:val="00777E06"/>
    <w:rsid w:val="00777FA6"/>
    <w:rsid w:val="00781E86"/>
    <w:rsid w:val="00783729"/>
    <w:rsid w:val="007878B8"/>
    <w:rsid w:val="00787CDE"/>
    <w:rsid w:val="00790A74"/>
    <w:rsid w:val="00791BA9"/>
    <w:rsid w:val="0079508F"/>
    <w:rsid w:val="00795588"/>
    <w:rsid w:val="007A046F"/>
    <w:rsid w:val="007A0599"/>
    <w:rsid w:val="007A13AF"/>
    <w:rsid w:val="007A1ED0"/>
    <w:rsid w:val="007A382A"/>
    <w:rsid w:val="007A387D"/>
    <w:rsid w:val="007A50BE"/>
    <w:rsid w:val="007A5ABA"/>
    <w:rsid w:val="007A65C5"/>
    <w:rsid w:val="007B107D"/>
    <w:rsid w:val="007B120E"/>
    <w:rsid w:val="007B38DD"/>
    <w:rsid w:val="007B4267"/>
    <w:rsid w:val="007B5F42"/>
    <w:rsid w:val="007B6279"/>
    <w:rsid w:val="007C1BB4"/>
    <w:rsid w:val="007C40A2"/>
    <w:rsid w:val="007C44AD"/>
    <w:rsid w:val="007C452A"/>
    <w:rsid w:val="007C4EFF"/>
    <w:rsid w:val="007C57CA"/>
    <w:rsid w:val="007E1C6A"/>
    <w:rsid w:val="007E35C5"/>
    <w:rsid w:val="007E54FA"/>
    <w:rsid w:val="007E633B"/>
    <w:rsid w:val="007E63B3"/>
    <w:rsid w:val="007E72E4"/>
    <w:rsid w:val="007F1580"/>
    <w:rsid w:val="007F1BBA"/>
    <w:rsid w:val="00811CD7"/>
    <w:rsid w:val="0081451E"/>
    <w:rsid w:val="00820025"/>
    <w:rsid w:val="0082417F"/>
    <w:rsid w:val="008319FF"/>
    <w:rsid w:val="00834101"/>
    <w:rsid w:val="008346C9"/>
    <w:rsid w:val="00837A8D"/>
    <w:rsid w:val="00837C8E"/>
    <w:rsid w:val="00840832"/>
    <w:rsid w:val="00840928"/>
    <w:rsid w:val="00840F78"/>
    <w:rsid w:val="00842EE0"/>
    <w:rsid w:val="00844C71"/>
    <w:rsid w:val="00844EB1"/>
    <w:rsid w:val="00847224"/>
    <w:rsid w:val="0085099F"/>
    <w:rsid w:val="008511BE"/>
    <w:rsid w:val="00851887"/>
    <w:rsid w:val="00851CE0"/>
    <w:rsid w:val="0085661C"/>
    <w:rsid w:val="00860A5E"/>
    <w:rsid w:val="00860B11"/>
    <w:rsid w:val="00863529"/>
    <w:rsid w:val="00865741"/>
    <w:rsid w:val="00867BED"/>
    <w:rsid w:val="00871920"/>
    <w:rsid w:val="00872596"/>
    <w:rsid w:val="008739E9"/>
    <w:rsid w:val="0087465E"/>
    <w:rsid w:val="00875E19"/>
    <w:rsid w:val="00876FFF"/>
    <w:rsid w:val="0088155D"/>
    <w:rsid w:val="008910D9"/>
    <w:rsid w:val="0089250A"/>
    <w:rsid w:val="008946E6"/>
    <w:rsid w:val="008950C9"/>
    <w:rsid w:val="008A0013"/>
    <w:rsid w:val="008A2B78"/>
    <w:rsid w:val="008A53D3"/>
    <w:rsid w:val="008B0ED3"/>
    <w:rsid w:val="008B4914"/>
    <w:rsid w:val="008B60F0"/>
    <w:rsid w:val="008B6592"/>
    <w:rsid w:val="008B7248"/>
    <w:rsid w:val="008C22DA"/>
    <w:rsid w:val="008C2612"/>
    <w:rsid w:val="008C4328"/>
    <w:rsid w:val="008D2C48"/>
    <w:rsid w:val="008D4246"/>
    <w:rsid w:val="008D50D5"/>
    <w:rsid w:val="008D6B4C"/>
    <w:rsid w:val="008E17C2"/>
    <w:rsid w:val="008E40C5"/>
    <w:rsid w:val="008E5B8E"/>
    <w:rsid w:val="008E617E"/>
    <w:rsid w:val="008F12BB"/>
    <w:rsid w:val="008F199A"/>
    <w:rsid w:val="008F652A"/>
    <w:rsid w:val="0090140C"/>
    <w:rsid w:val="00901C27"/>
    <w:rsid w:val="00902111"/>
    <w:rsid w:val="00902993"/>
    <w:rsid w:val="009037E2"/>
    <w:rsid w:val="00904957"/>
    <w:rsid w:val="00906F33"/>
    <w:rsid w:val="00916ADA"/>
    <w:rsid w:val="0092026A"/>
    <w:rsid w:val="00920D76"/>
    <w:rsid w:val="009220A8"/>
    <w:rsid w:val="0092413C"/>
    <w:rsid w:val="009241FF"/>
    <w:rsid w:val="00926502"/>
    <w:rsid w:val="00927930"/>
    <w:rsid w:val="00931B50"/>
    <w:rsid w:val="00933AE0"/>
    <w:rsid w:val="00933DC2"/>
    <w:rsid w:val="00942BC3"/>
    <w:rsid w:val="009437DA"/>
    <w:rsid w:val="009465D8"/>
    <w:rsid w:val="00951010"/>
    <w:rsid w:val="0095109E"/>
    <w:rsid w:val="0095229E"/>
    <w:rsid w:val="0095253F"/>
    <w:rsid w:val="009542D0"/>
    <w:rsid w:val="00954C27"/>
    <w:rsid w:val="00955277"/>
    <w:rsid w:val="00956D2A"/>
    <w:rsid w:val="009639BE"/>
    <w:rsid w:val="009666C1"/>
    <w:rsid w:val="00970104"/>
    <w:rsid w:val="00971726"/>
    <w:rsid w:val="00973BB4"/>
    <w:rsid w:val="00973F0F"/>
    <w:rsid w:val="0097438F"/>
    <w:rsid w:val="00982729"/>
    <w:rsid w:val="00982BB4"/>
    <w:rsid w:val="009838E5"/>
    <w:rsid w:val="00987312"/>
    <w:rsid w:val="009A3B8E"/>
    <w:rsid w:val="009A45B8"/>
    <w:rsid w:val="009B1B2B"/>
    <w:rsid w:val="009B24DA"/>
    <w:rsid w:val="009B315B"/>
    <w:rsid w:val="009B516B"/>
    <w:rsid w:val="009B5CBF"/>
    <w:rsid w:val="009C104F"/>
    <w:rsid w:val="009C1161"/>
    <w:rsid w:val="009D3A3E"/>
    <w:rsid w:val="009D512F"/>
    <w:rsid w:val="009D52E7"/>
    <w:rsid w:val="009E03B0"/>
    <w:rsid w:val="009E7733"/>
    <w:rsid w:val="009F3708"/>
    <w:rsid w:val="009F50AB"/>
    <w:rsid w:val="009F6011"/>
    <w:rsid w:val="00A0263E"/>
    <w:rsid w:val="00A02883"/>
    <w:rsid w:val="00A03C1D"/>
    <w:rsid w:val="00A059B9"/>
    <w:rsid w:val="00A05B22"/>
    <w:rsid w:val="00A07879"/>
    <w:rsid w:val="00A07F1F"/>
    <w:rsid w:val="00A10E9A"/>
    <w:rsid w:val="00A11371"/>
    <w:rsid w:val="00A1617C"/>
    <w:rsid w:val="00A17005"/>
    <w:rsid w:val="00A17E09"/>
    <w:rsid w:val="00A22DDF"/>
    <w:rsid w:val="00A2453D"/>
    <w:rsid w:val="00A25184"/>
    <w:rsid w:val="00A334F6"/>
    <w:rsid w:val="00A336F9"/>
    <w:rsid w:val="00A357CB"/>
    <w:rsid w:val="00A43C61"/>
    <w:rsid w:val="00A45DE9"/>
    <w:rsid w:val="00A47BE7"/>
    <w:rsid w:val="00A50E16"/>
    <w:rsid w:val="00A51D96"/>
    <w:rsid w:val="00A54243"/>
    <w:rsid w:val="00A57D52"/>
    <w:rsid w:val="00A60C37"/>
    <w:rsid w:val="00A6330C"/>
    <w:rsid w:val="00A63B9B"/>
    <w:rsid w:val="00A63CDF"/>
    <w:rsid w:val="00A63D05"/>
    <w:rsid w:val="00A65D1B"/>
    <w:rsid w:val="00A65F63"/>
    <w:rsid w:val="00A66706"/>
    <w:rsid w:val="00A71B75"/>
    <w:rsid w:val="00A7249B"/>
    <w:rsid w:val="00A73529"/>
    <w:rsid w:val="00A75208"/>
    <w:rsid w:val="00A75BDD"/>
    <w:rsid w:val="00A76AD7"/>
    <w:rsid w:val="00A815FB"/>
    <w:rsid w:val="00A82FE5"/>
    <w:rsid w:val="00A837BA"/>
    <w:rsid w:val="00A8655D"/>
    <w:rsid w:val="00A87854"/>
    <w:rsid w:val="00A9239E"/>
    <w:rsid w:val="00A9471B"/>
    <w:rsid w:val="00A97266"/>
    <w:rsid w:val="00AA076F"/>
    <w:rsid w:val="00AA0C1F"/>
    <w:rsid w:val="00AA182A"/>
    <w:rsid w:val="00AA30F5"/>
    <w:rsid w:val="00AA5266"/>
    <w:rsid w:val="00AA5AE3"/>
    <w:rsid w:val="00AA6D13"/>
    <w:rsid w:val="00AB06DA"/>
    <w:rsid w:val="00AB2526"/>
    <w:rsid w:val="00AB6AC1"/>
    <w:rsid w:val="00AC3887"/>
    <w:rsid w:val="00AC420A"/>
    <w:rsid w:val="00AC42B4"/>
    <w:rsid w:val="00AC4F18"/>
    <w:rsid w:val="00AC67A9"/>
    <w:rsid w:val="00AE1C10"/>
    <w:rsid w:val="00AE4346"/>
    <w:rsid w:val="00AE61FC"/>
    <w:rsid w:val="00AF2AD9"/>
    <w:rsid w:val="00B10FCC"/>
    <w:rsid w:val="00B11BB8"/>
    <w:rsid w:val="00B11ED3"/>
    <w:rsid w:val="00B12435"/>
    <w:rsid w:val="00B126D9"/>
    <w:rsid w:val="00B12C13"/>
    <w:rsid w:val="00B16A57"/>
    <w:rsid w:val="00B2009C"/>
    <w:rsid w:val="00B20AAE"/>
    <w:rsid w:val="00B20C1E"/>
    <w:rsid w:val="00B20EC5"/>
    <w:rsid w:val="00B21C8F"/>
    <w:rsid w:val="00B238E6"/>
    <w:rsid w:val="00B242A0"/>
    <w:rsid w:val="00B24410"/>
    <w:rsid w:val="00B250F8"/>
    <w:rsid w:val="00B2535A"/>
    <w:rsid w:val="00B26B7F"/>
    <w:rsid w:val="00B27E93"/>
    <w:rsid w:val="00B30140"/>
    <w:rsid w:val="00B32D39"/>
    <w:rsid w:val="00B35999"/>
    <w:rsid w:val="00B372CC"/>
    <w:rsid w:val="00B427C3"/>
    <w:rsid w:val="00B42C7D"/>
    <w:rsid w:val="00B46B0F"/>
    <w:rsid w:val="00B5276A"/>
    <w:rsid w:val="00B56727"/>
    <w:rsid w:val="00B60C0C"/>
    <w:rsid w:val="00B623B5"/>
    <w:rsid w:val="00B63B7D"/>
    <w:rsid w:val="00B6436D"/>
    <w:rsid w:val="00B709DC"/>
    <w:rsid w:val="00B76336"/>
    <w:rsid w:val="00B777ED"/>
    <w:rsid w:val="00B86B57"/>
    <w:rsid w:val="00B91DF5"/>
    <w:rsid w:val="00B91ED4"/>
    <w:rsid w:val="00B92647"/>
    <w:rsid w:val="00B92CB4"/>
    <w:rsid w:val="00B92CC2"/>
    <w:rsid w:val="00B92EDF"/>
    <w:rsid w:val="00B94787"/>
    <w:rsid w:val="00B94F61"/>
    <w:rsid w:val="00B975EA"/>
    <w:rsid w:val="00B977BE"/>
    <w:rsid w:val="00BA1939"/>
    <w:rsid w:val="00BA1B86"/>
    <w:rsid w:val="00BA24E7"/>
    <w:rsid w:val="00BA271F"/>
    <w:rsid w:val="00BA2B55"/>
    <w:rsid w:val="00BA30D8"/>
    <w:rsid w:val="00BA4E2C"/>
    <w:rsid w:val="00BA76E2"/>
    <w:rsid w:val="00BB0EFE"/>
    <w:rsid w:val="00BB15B4"/>
    <w:rsid w:val="00BB17B6"/>
    <w:rsid w:val="00BB4E00"/>
    <w:rsid w:val="00BB7AA9"/>
    <w:rsid w:val="00BC0180"/>
    <w:rsid w:val="00BC0337"/>
    <w:rsid w:val="00BC20E0"/>
    <w:rsid w:val="00BC2C4E"/>
    <w:rsid w:val="00BC3CB9"/>
    <w:rsid w:val="00BC3F74"/>
    <w:rsid w:val="00BC6C57"/>
    <w:rsid w:val="00BD03D3"/>
    <w:rsid w:val="00BD36C6"/>
    <w:rsid w:val="00BD3B96"/>
    <w:rsid w:val="00BD50E9"/>
    <w:rsid w:val="00BD66D2"/>
    <w:rsid w:val="00BE2646"/>
    <w:rsid w:val="00BE6647"/>
    <w:rsid w:val="00BE6F00"/>
    <w:rsid w:val="00BF052C"/>
    <w:rsid w:val="00BF1399"/>
    <w:rsid w:val="00BF15DF"/>
    <w:rsid w:val="00C02591"/>
    <w:rsid w:val="00C02D32"/>
    <w:rsid w:val="00C0362A"/>
    <w:rsid w:val="00C0572A"/>
    <w:rsid w:val="00C07860"/>
    <w:rsid w:val="00C160C5"/>
    <w:rsid w:val="00C22548"/>
    <w:rsid w:val="00C22618"/>
    <w:rsid w:val="00C22B32"/>
    <w:rsid w:val="00C234EC"/>
    <w:rsid w:val="00C30BFF"/>
    <w:rsid w:val="00C31CE8"/>
    <w:rsid w:val="00C36403"/>
    <w:rsid w:val="00C364DB"/>
    <w:rsid w:val="00C3768C"/>
    <w:rsid w:val="00C37DF6"/>
    <w:rsid w:val="00C40E58"/>
    <w:rsid w:val="00C45356"/>
    <w:rsid w:val="00C46599"/>
    <w:rsid w:val="00C476C4"/>
    <w:rsid w:val="00C50C80"/>
    <w:rsid w:val="00C513A4"/>
    <w:rsid w:val="00C5154B"/>
    <w:rsid w:val="00C5159F"/>
    <w:rsid w:val="00C51B7E"/>
    <w:rsid w:val="00C54536"/>
    <w:rsid w:val="00C577EA"/>
    <w:rsid w:val="00C57A36"/>
    <w:rsid w:val="00C60C00"/>
    <w:rsid w:val="00C60C07"/>
    <w:rsid w:val="00C6121B"/>
    <w:rsid w:val="00C61F89"/>
    <w:rsid w:val="00C63433"/>
    <w:rsid w:val="00C6641F"/>
    <w:rsid w:val="00C66C9B"/>
    <w:rsid w:val="00C67532"/>
    <w:rsid w:val="00C675F8"/>
    <w:rsid w:val="00C71158"/>
    <w:rsid w:val="00C73C69"/>
    <w:rsid w:val="00C76789"/>
    <w:rsid w:val="00C7776C"/>
    <w:rsid w:val="00C811C1"/>
    <w:rsid w:val="00C85A52"/>
    <w:rsid w:val="00C85FF6"/>
    <w:rsid w:val="00C86760"/>
    <w:rsid w:val="00C94F65"/>
    <w:rsid w:val="00C952FB"/>
    <w:rsid w:val="00C97250"/>
    <w:rsid w:val="00C97C82"/>
    <w:rsid w:val="00CA40DD"/>
    <w:rsid w:val="00CA4C78"/>
    <w:rsid w:val="00CA4DA7"/>
    <w:rsid w:val="00CA5600"/>
    <w:rsid w:val="00CA5B78"/>
    <w:rsid w:val="00CA793C"/>
    <w:rsid w:val="00CA7AD2"/>
    <w:rsid w:val="00CB2F52"/>
    <w:rsid w:val="00CB3F19"/>
    <w:rsid w:val="00CB53EC"/>
    <w:rsid w:val="00CC1CB5"/>
    <w:rsid w:val="00CC4544"/>
    <w:rsid w:val="00CC50BC"/>
    <w:rsid w:val="00CD26FB"/>
    <w:rsid w:val="00CD28D8"/>
    <w:rsid w:val="00CD5341"/>
    <w:rsid w:val="00CD77B1"/>
    <w:rsid w:val="00CD7C8D"/>
    <w:rsid w:val="00CE1872"/>
    <w:rsid w:val="00CE3B19"/>
    <w:rsid w:val="00CE4835"/>
    <w:rsid w:val="00CE49D2"/>
    <w:rsid w:val="00CE4B2A"/>
    <w:rsid w:val="00CF0AD5"/>
    <w:rsid w:val="00CF19D5"/>
    <w:rsid w:val="00CF3B56"/>
    <w:rsid w:val="00CF4F52"/>
    <w:rsid w:val="00CF5BEE"/>
    <w:rsid w:val="00CF6EA4"/>
    <w:rsid w:val="00CF6F58"/>
    <w:rsid w:val="00D02795"/>
    <w:rsid w:val="00D02A74"/>
    <w:rsid w:val="00D02BEA"/>
    <w:rsid w:val="00D02CF5"/>
    <w:rsid w:val="00D04792"/>
    <w:rsid w:val="00D05C20"/>
    <w:rsid w:val="00D150A3"/>
    <w:rsid w:val="00D15F46"/>
    <w:rsid w:val="00D169B1"/>
    <w:rsid w:val="00D217A5"/>
    <w:rsid w:val="00D248FA"/>
    <w:rsid w:val="00D27533"/>
    <w:rsid w:val="00D3719B"/>
    <w:rsid w:val="00D37395"/>
    <w:rsid w:val="00D41529"/>
    <w:rsid w:val="00D4246A"/>
    <w:rsid w:val="00D428A8"/>
    <w:rsid w:val="00D43944"/>
    <w:rsid w:val="00D46BB2"/>
    <w:rsid w:val="00D47100"/>
    <w:rsid w:val="00D52A01"/>
    <w:rsid w:val="00D53A7D"/>
    <w:rsid w:val="00D552EE"/>
    <w:rsid w:val="00D55E0A"/>
    <w:rsid w:val="00D564DF"/>
    <w:rsid w:val="00D60F28"/>
    <w:rsid w:val="00D61F19"/>
    <w:rsid w:val="00D701B5"/>
    <w:rsid w:val="00D72B6E"/>
    <w:rsid w:val="00D7344F"/>
    <w:rsid w:val="00D735BD"/>
    <w:rsid w:val="00D73D88"/>
    <w:rsid w:val="00D76E2B"/>
    <w:rsid w:val="00D83371"/>
    <w:rsid w:val="00D8484D"/>
    <w:rsid w:val="00D85BD5"/>
    <w:rsid w:val="00D86D5C"/>
    <w:rsid w:val="00D8765F"/>
    <w:rsid w:val="00D91368"/>
    <w:rsid w:val="00D934E0"/>
    <w:rsid w:val="00D96120"/>
    <w:rsid w:val="00DA6D1B"/>
    <w:rsid w:val="00DB2910"/>
    <w:rsid w:val="00DB4382"/>
    <w:rsid w:val="00DC3580"/>
    <w:rsid w:val="00DC5580"/>
    <w:rsid w:val="00DC5E53"/>
    <w:rsid w:val="00DD23B0"/>
    <w:rsid w:val="00DD2605"/>
    <w:rsid w:val="00DD6E19"/>
    <w:rsid w:val="00DE0E6A"/>
    <w:rsid w:val="00DE41BF"/>
    <w:rsid w:val="00DE507D"/>
    <w:rsid w:val="00DE7EC7"/>
    <w:rsid w:val="00DF041C"/>
    <w:rsid w:val="00DF2301"/>
    <w:rsid w:val="00DF30EC"/>
    <w:rsid w:val="00DF3786"/>
    <w:rsid w:val="00DF4EF1"/>
    <w:rsid w:val="00DF594C"/>
    <w:rsid w:val="00DF7D33"/>
    <w:rsid w:val="00E0026E"/>
    <w:rsid w:val="00E01018"/>
    <w:rsid w:val="00E01877"/>
    <w:rsid w:val="00E01B57"/>
    <w:rsid w:val="00E01C9A"/>
    <w:rsid w:val="00E01F0B"/>
    <w:rsid w:val="00E039A2"/>
    <w:rsid w:val="00E0549E"/>
    <w:rsid w:val="00E056F2"/>
    <w:rsid w:val="00E06E7D"/>
    <w:rsid w:val="00E11043"/>
    <w:rsid w:val="00E11B4D"/>
    <w:rsid w:val="00E13682"/>
    <w:rsid w:val="00E15743"/>
    <w:rsid w:val="00E15FD3"/>
    <w:rsid w:val="00E17B5D"/>
    <w:rsid w:val="00E22A27"/>
    <w:rsid w:val="00E2702F"/>
    <w:rsid w:val="00E30202"/>
    <w:rsid w:val="00E3262D"/>
    <w:rsid w:val="00E32C05"/>
    <w:rsid w:val="00E33805"/>
    <w:rsid w:val="00E34883"/>
    <w:rsid w:val="00E36657"/>
    <w:rsid w:val="00E3759F"/>
    <w:rsid w:val="00E37C03"/>
    <w:rsid w:val="00E40845"/>
    <w:rsid w:val="00E41035"/>
    <w:rsid w:val="00E45231"/>
    <w:rsid w:val="00E538B6"/>
    <w:rsid w:val="00E55E8B"/>
    <w:rsid w:val="00E61633"/>
    <w:rsid w:val="00E624AE"/>
    <w:rsid w:val="00E64B1B"/>
    <w:rsid w:val="00E64F9E"/>
    <w:rsid w:val="00E67E8D"/>
    <w:rsid w:val="00E72C78"/>
    <w:rsid w:val="00E73CA2"/>
    <w:rsid w:val="00E7487D"/>
    <w:rsid w:val="00E814E3"/>
    <w:rsid w:val="00E91BD7"/>
    <w:rsid w:val="00E91CCF"/>
    <w:rsid w:val="00E92067"/>
    <w:rsid w:val="00E9503D"/>
    <w:rsid w:val="00E9614F"/>
    <w:rsid w:val="00E96D00"/>
    <w:rsid w:val="00EA0427"/>
    <w:rsid w:val="00EA1A5B"/>
    <w:rsid w:val="00EA3460"/>
    <w:rsid w:val="00EA71E3"/>
    <w:rsid w:val="00EB0824"/>
    <w:rsid w:val="00EB225C"/>
    <w:rsid w:val="00EB452F"/>
    <w:rsid w:val="00EB50C4"/>
    <w:rsid w:val="00EB7EFD"/>
    <w:rsid w:val="00EC04EF"/>
    <w:rsid w:val="00EC08D3"/>
    <w:rsid w:val="00EC1724"/>
    <w:rsid w:val="00EC1D6F"/>
    <w:rsid w:val="00EC3BA6"/>
    <w:rsid w:val="00ED0E02"/>
    <w:rsid w:val="00ED1BCD"/>
    <w:rsid w:val="00ED25F1"/>
    <w:rsid w:val="00ED45A8"/>
    <w:rsid w:val="00ED6CBE"/>
    <w:rsid w:val="00EE48A8"/>
    <w:rsid w:val="00EE6124"/>
    <w:rsid w:val="00EE7CCB"/>
    <w:rsid w:val="00EF1665"/>
    <w:rsid w:val="00EF21E5"/>
    <w:rsid w:val="00EF2C31"/>
    <w:rsid w:val="00EF4B50"/>
    <w:rsid w:val="00EF4EA1"/>
    <w:rsid w:val="00F00BC7"/>
    <w:rsid w:val="00F015E9"/>
    <w:rsid w:val="00F06AF5"/>
    <w:rsid w:val="00F10CAE"/>
    <w:rsid w:val="00F1277E"/>
    <w:rsid w:val="00F15041"/>
    <w:rsid w:val="00F15202"/>
    <w:rsid w:val="00F17C9F"/>
    <w:rsid w:val="00F17F64"/>
    <w:rsid w:val="00F21062"/>
    <w:rsid w:val="00F22A9D"/>
    <w:rsid w:val="00F22DB1"/>
    <w:rsid w:val="00F230F0"/>
    <w:rsid w:val="00F25551"/>
    <w:rsid w:val="00F255A2"/>
    <w:rsid w:val="00F27DD9"/>
    <w:rsid w:val="00F32265"/>
    <w:rsid w:val="00F3720C"/>
    <w:rsid w:val="00F4152B"/>
    <w:rsid w:val="00F472EF"/>
    <w:rsid w:val="00F5131B"/>
    <w:rsid w:val="00F52B63"/>
    <w:rsid w:val="00F537FF"/>
    <w:rsid w:val="00F53B3E"/>
    <w:rsid w:val="00F70653"/>
    <w:rsid w:val="00F71A77"/>
    <w:rsid w:val="00F76BF0"/>
    <w:rsid w:val="00F8287D"/>
    <w:rsid w:val="00F83701"/>
    <w:rsid w:val="00F85FD1"/>
    <w:rsid w:val="00F86D7E"/>
    <w:rsid w:val="00F87CD5"/>
    <w:rsid w:val="00F9125C"/>
    <w:rsid w:val="00F91B80"/>
    <w:rsid w:val="00F925DF"/>
    <w:rsid w:val="00F928FA"/>
    <w:rsid w:val="00F9537B"/>
    <w:rsid w:val="00F97C66"/>
    <w:rsid w:val="00FA1470"/>
    <w:rsid w:val="00FA2412"/>
    <w:rsid w:val="00FA2B14"/>
    <w:rsid w:val="00FA343D"/>
    <w:rsid w:val="00FA3DEB"/>
    <w:rsid w:val="00FA65A7"/>
    <w:rsid w:val="00FA7976"/>
    <w:rsid w:val="00FB6AA5"/>
    <w:rsid w:val="00FB7FA4"/>
    <w:rsid w:val="00FC0662"/>
    <w:rsid w:val="00FC178E"/>
    <w:rsid w:val="00FC1F1D"/>
    <w:rsid w:val="00FC3847"/>
    <w:rsid w:val="00FD0DAF"/>
    <w:rsid w:val="00FD0F23"/>
    <w:rsid w:val="00FE1002"/>
    <w:rsid w:val="00FE107F"/>
    <w:rsid w:val="00FE13EC"/>
    <w:rsid w:val="00FE2617"/>
    <w:rsid w:val="00FE285A"/>
    <w:rsid w:val="00FE2A25"/>
    <w:rsid w:val="00FE5D4A"/>
    <w:rsid w:val="00FF0904"/>
    <w:rsid w:val="00FF0F5F"/>
    <w:rsid w:val="00FF16FD"/>
    <w:rsid w:val="00FF79CD"/>
    <w:rsid w:val="00FF7BF5"/>
    <w:rsid w:val="01374066"/>
    <w:rsid w:val="01535D88"/>
    <w:rsid w:val="01543C8F"/>
    <w:rsid w:val="016C4B77"/>
    <w:rsid w:val="02E91BE1"/>
    <w:rsid w:val="03CE043D"/>
    <w:rsid w:val="04057CDE"/>
    <w:rsid w:val="042F0C97"/>
    <w:rsid w:val="044F7581"/>
    <w:rsid w:val="051A496A"/>
    <w:rsid w:val="059A1AD9"/>
    <w:rsid w:val="05E86A8D"/>
    <w:rsid w:val="06093CAB"/>
    <w:rsid w:val="06355421"/>
    <w:rsid w:val="078136D5"/>
    <w:rsid w:val="07820E55"/>
    <w:rsid w:val="09375960"/>
    <w:rsid w:val="0946716E"/>
    <w:rsid w:val="09941A13"/>
    <w:rsid w:val="0A4F0C69"/>
    <w:rsid w:val="0AAB4A16"/>
    <w:rsid w:val="0C5E028B"/>
    <w:rsid w:val="0C8C699B"/>
    <w:rsid w:val="0CB31911"/>
    <w:rsid w:val="0D086942"/>
    <w:rsid w:val="0D321014"/>
    <w:rsid w:val="0D43042C"/>
    <w:rsid w:val="0D9151D6"/>
    <w:rsid w:val="0DDB1650"/>
    <w:rsid w:val="0F1F361D"/>
    <w:rsid w:val="0F543255"/>
    <w:rsid w:val="0F7C0E6B"/>
    <w:rsid w:val="11182353"/>
    <w:rsid w:val="11E553F4"/>
    <w:rsid w:val="12234CEF"/>
    <w:rsid w:val="122A4C8C"/>
    <w:rsid w:val="12F9464B"/>
    <w:rsid w:val="13676870"/>
    <w:rsid w:val="143C53A9"/>
    <w:rsid w:val="147A7951"/>
    <w:rsid w:val="14DF4D6C"/>
    <w:rsid w:val="157E70AA"/>
    <w:rsid w:val="15CD6478"/>
    <w:rsid w:val="16130725"/>
    <w:rsid w:val="166242C9"/>
    <w:rsid w:val="168C3456"/>
    <w:rsid w:val="169D5A42"/>
    <w:rsid w:val="172140B0"/>
    <w:rsid w:val="18054A91"/>
    <w:rsid w:val="19C96A66"/>
    <w:rsid w:val="19FE3BD8"/>
    <w:rsid w:val="1AB66376"/>
    <w:rsid w:val="1B24197B"/>
    <w:rsid w:val="1B561322"/>
    <w:rsid w:val="1BCF4AD7"/>
    <w:rsid w:val="1C716685"/>
    <w:rsid w:val="1C7A6836"/>
    <w:rsid w:val="1C995229"/>
    <w:rsid w:val="1D3D6511"/>
    <w:rsid w:val="1E734F46"/>
    <w:rsid w:val="1F6F0961"/>
    <w:rsid w:val="206E7A43"/>
    <w:rsid w:val="20887B2B"/>
    <w:rsid w:val="21C173F0"/>
    <w:rsid w:val="22703CE0"/>
    <w:rsid w:val="22AD0DF7"/>
    <w:rsid w:val="22B26082"/>
    <w:rsid w:val="232C41AF"/>
    <w:rsid w:val="23452FA8"/>
    <w:rsid w:val="23880F5A"/>
    <w:rsid w:val="23A26A54"/>
    <w:rsid w:val="25C56A6A"/>
    <w:rsid w:val="25C91DCC"/>
    <w:rsid w:val="25F74556"/>
    <w:rsid w:val="277A4531"/>
    <w:rsid w:val="285F2D5E"/>
    <w:rsid w:val="290C0B43"/>
    <w:rsid w:val="2962566A"/>
    <w:rsid w:val="29B36163"/>
    <w:rsid w:val="29C76E0D"/>
    <w:rsid w:val="2A78151F"/>
    <w:rsid w:val="2B6D334E"/>
    <w:rsid w:val="2B6D3BBE"/>
    <w:rsid w:val="2C4D29BC"/>
    <w:rsid w:val="2C8B5253"/>
    <w:rsid w:val="2CCA5809"/>
    <w:rsid w:val="2D471A28"/>
    <w:rsid w:val="2E1B7BA7"/>
    <w:rsid w:val="2EA53F96"/>
    <w:rsid w:val="2FA331DA"/>
    <w:rsid w:val="309C1C53"/>
    <w:rsid w:val="30F61916"/>
    <w:rsid w:val="312526FC"/>
    <w:rsid w:val="32583FC9"/>
    <w:rsid w:val="32986918"/>
    <w:rsid w:val="33330E1D"/>
    <w:rsid w:val="334B2535"/>
    <w:rsid w:val="33D10520"/>
    <w:rsid w:val="33DA33A1"/>
    <w:rsid w:val="34D32641"/>
    <w:rsid w:val="35831D17"/>
    <w:rsid w:val="35D07E47"/>
    <w:rsid w:val="36CA0EAC"/>
    <w:rsid w:val="37F60215"/>
    <w:rsid w:val="3A0F6392"/>
    <w:rsid w:val="3A7725AB"/>
    <w:rsid w:val="3BA2183F"/>
    <w:rsid w:val="3C0C3F4D"/>
    <w:rsid w:val="3D553963"/>
    <w:rsid w:val="3E254B69"/>
    <w:rsid w:val="3EC91F92"/>
    <w:rsid w:val="3ED73755"/>
    <w:rsid w:val="3F47688E"/>
    <w:rsid w:val="3F4A5E42"/>
    <w:rsid w:val="3F5F5823"/>
    <w:rsid w:val="3F643DD7"/>
    <w:rsid w:val="3FC76DF5"/>
    <w:rsid w:val="3FD47EC6"/>
    <w:rsid w:val="40C426E7"/>
    <w:rsid w:val="40D47B1C"/>
    <w:rsid w:val="40F84A65"/>
    <w:rsid w:val="410D244D"/>
    <w:rsid w:val="416D7F8A"/>
    <w:rsid w:val="41F0138A"/>
    <w:rsid w:val="43460762"/>
    <w:rsid w:val="434F6737"/>
    <w:rsid w:val="43A613C3"/>
    <w:rsid w:val="43A830DB"/>
    <w:rsid w:val="43B9736F"/>
    <w:rsid w:val="442D7BD0"/>
    <w:rsid w:val="44C06D59"/>
    <w:rsid w:val="44D15102"/>
    <w:rsid w:val="458F421F"/>
    <w:rsid w:val="46785106"/>
    <w:rsid w:val="468F54D8"/>
    <w:rsid w:val="47086400"/>
    <w:rsid w:val="473F183B"/>
    <w:rsid w:val="48580F04"/>
    <w:rsid w:val="48847974"/>
    <w:rsid w:val="48885E37"/>
    <w:rsid w:val="48EF4ED7"/>
    <w:rsid w:val="49EF0A30"/>
    <w:rsid w:val="49EF76AF"/>
    <w:rsid w:val="4A4F3AA1"/>
    <w:rsid w:val="4A836A71"/>
    <w:rsid w:val="4A9C27A6"/>
    <w:rsid w:val="4B6C7FA5"/>
    <w:rsid w:val="4BA71679"/>
    <w:rsid w:val="4BED5E07"/>
    <w:rsid w:val="4C085DCC"/>
    <w:rsid w:val="4C34068F"/>
    <w:rsid w:val="4C553495"/>
    <w:rsid w:val="4D3B0886"/>
    <w:rsid w:val="4D8B4870"/>
    <w:rsid w:val="4E4F54BF"/>
    <w:rsid w:val="4E6E2FFB"/>
    <w:rsid w:val="4F314D4D"/>
    <w:rsid w:val="4F76452D"/>
    <w:rsid w:val="4FB62885"/>
    <w:rsid w:val="504A5E5D"/>
    <w:rsid w:val="52766199"/>
    <w:rsid w:val="53FF36F6"/>
    <w:rsid w:val="55860D08"/>
    <w:rsid w:val="566F30E7"/>
    <w:rsid w:val="570F125E"/>
    <w:rsid w:val="575B186C"/>
    <w:rsid w:val="57B26A94"/>
    <w:rsid w:val="58461E1E"/>
    <w:rsid w:val="594B5619"/>
    <w:rsid w:val="59D4009A"/>
    <w:rsid w:val="5B413C44"/>
    <w:rsid w:val="5B5A0160"/>
    <w:rsid w:val="5B5F2152"/>
    <w:rsid w:val="5B98575F"/>
    <w:rsid w:val="5C5F4EF3"/>
    <w:rsid w:val="5DDC6757"/>
    <w:rsid w:val="5E2756B2"/>
    <w:rsid w:val="5E824054"/>
    <w:rsid w:val="5EC463D7"/>
    <w:rsid w:val="5EFB03E4"/>
    <w:rsid w:val="5F722303"/>
    <w:rsid w:val="607F2BB0"/>
    <w:rsid w:val="608C5797"/>
    <w:rsid w:val="61231FB2"/>
    <w:rsid w:val="6370314E"/>
    <w:rsid w:val="63EB0A27"/>
    <w:rsid w:val="652A3D31"/>
    <w:rsid w:val="662B6789"/>
    <w:rsid w:val="66301E85"/>
    <w:rsid w:val="66966143"/>
    <w:rsid w:val="67A931D2"/>
    <w:rsid w:val="6AD0001F"/>
    <w:rsid w:val="6AE926B1"/>
    <w:rsid w:val="6BE66E2C"/>
    <w:rsid w:val="6C140DD9"/>
    <w:rsid w:val="6C580C23"/>
    <w:rsid w:val="6C601D2D"/>
    <w:rsid w:val="6C8D185D"/>
    <w:rsid w:val="6D442306"/>
    <w:rsid w:val="6DB15948"/>
    <w:rsid w:val="6DEC5AC7"/>
    <w:rsid w:val="6E695B1E"/>
    <w:rsid w:val="6FF410EF"/>
    <w:rsid w:val="700579DD"/>
    <w:rsid w:val="71E47C6C"/>
    <w:rsid w:val="723A7104"/>
    <w:rsid w:val="72692154"/>
    <w:rsid w:val="734E3FB2"/>
    <w:rsid w:val="74FD0D97"/>
    <w:rsid w:val="75D13825"/>
    <w:rsid w:val="75DD7C5B"/>
    <w:rsid w:val="77014E17"/>
    <w:rsid w:val="770A1007"/>
    <w:rsid w:val="77513C26"/>
    <w:rsid w:val="77A41857"/>
    <w:rsid w:val="79AF7A45"/>
    <w:rsid w:val="7A2425FE"/>
    <w:rsid w:val="7A7F0743"/>
    <w:rsid w:val="7B75293D"/>
    <w:rsid w:val="7BA22FCB"/>
    <w:rsid w:val="7C1B4BCD"/>
    <w:rsid w:val="7CD1528D"/>
    <w:rsid w:val="7D4B009F"/>
    <w:rsid w:val="7DF66F58"/>
    <w:rsid w:val="7EEF2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heme="minorBidi"/>
      <w:kern w:val="2"/>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link w:val="19"/>
    <w:qFormat/>
    <w:uiPriority w:val="0"/>
    <w:pPr>
      <w:widowControl/>
      <w:spacing w:before="180" w:after="180"/>
      <w:jc w:val="left"/>
    </w:pPr>
    <w:rPr>
      <w:rFonts w:asciiTheme="minorHAnsi" w:hAnsiTheme="minorHAnsi" w:eastAsiaTheme="minorEastAsia"/>
      <w:kern w:val="0"/>
      <w:lang w:eastAsia="en-US"/>
    </w:rPr>
  </w:style>
  <w:style w:type="paragraph" w:styleId="4">
    <w:name w:val="Balloon Text"/>
    <w:basedOn w:val="1"/>
    <w:link w:val="15"/>
    <w:autoRedefine/>
    <w:semiHidden/>
    <w:unhideWhenUsed/>
    <w:qFormat/>
    <w:uiPriority w:val="99"/>
    <w:rPr>
      <w:sz w:val="18"/>
      <w:szCs w:val="18"/>
    </w:rPr>
  </w:style>
  <w:style w:type="paragraph" w:styleId="5">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sz w:val="18"/>
      <w:szCs w:val="18"/>
    </w:rPr>
  </w:style>
  <w:style w:type="paragraph" w:styleId="7">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cs="Times New Roman"/>
      <w:kern w:val="0"/>
    </w:rPr>
  </w:style>
  <w:style w:type="paragraph" w:styleId="8">
    <w:name w:val="Normal (Web)"/>
    <w:basedOn w:val="1"/>
    <w:autoRedefine/>
    <w:semiHidden/>
    <w:unhideWhenUsed/>
    <w:qFormat/>
    <w:uiPriority w:val="99"/>
  </w:style>
  <w:style w:type="table" w:styleId="10">
    <w:name w:val="Table Grid"/>
    <w:basedOn w:val="9"/>
    <w:autoRedefine/>
    <w:qFormat/>
    <w:uiPriority w:val="39"/>
    <w:rPr>
      <w:rFonts w:ascii="宋体" w:hAnsi="宋体"/>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6"/>
    <w:autoRedefine/>
    <w:qFormat/>
    <w:uiPriority w:val="99"/>
    <w:rPr>
      <w:sz w:val="18"/>
      <w:szCs w:val="18"/>
    </w:rPr>
  </w:style>
  <w:style w:type="character" w:customStyle="1" w:styleId="13">
    <w:name w:val="页脚 字符"/>
    <w:basedOn w:val="11"/>
    <w:link w:val="5"/>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批注框文本 字符"/>
    <w:basedOn w:val="11"/>
    <w:link w:val="4"/>
    <w:autoRedefine/>
    <w:semiHidden/>
    <w:qFormat/>
    <w:uiPriority w:val="99"/>
    <w:rPr>
      <w:rFonts w:ascii="宋体" w:hAnsi="宋体" w:eastAsia="宋体"/>
      <w:sz w:val="18"/>
      <w:szCs w:val="18"/>
    </w:rPr>
  </w:style>
  <w:style w:type="paragraph" w:styleId="16">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7">
    <w:name w:val="不明显强调1"/>
    <w:basedOn w:val="1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18">
    <w:name w:val="立信附注正文 [2级]"/>
    <w:autoRedefine/>
    <w:qFormat/>
    <w:uiPriority w:val="0"/>
    <w:pPr>
      <w:widowControl w:val="0"/>
      <w:tabs>
        <w:tab w:val="left" w:pos="0"/>
      </w:tabs>
      <w:adjustRightInd w:val="0"/>
      <w:snapToGrid w:val="0"/>
      <w:spacing w:line="400" w:lineRule="atLeast"/>
      <w:ind w:left="714"/>
      <w:jc w:val="both"/>
    </w:pPr>
    <w:rPr>
      <w:rFonts w:ascii="Times New Roman" w:hAnsi="Times New Roman" w:eastAsia="宋体" w:cs="Times New Roman"/>
      <w:color w:val="000000"/>
      <w:kern w:val="2"/>
      <w:sz w:val="21"/>
      <w:szCs w:val="21"/>
      <w:lang w:val="en-US" w:eastAsia="zh-CN" w:bidi="ar-SA"/>
    </w:rPr>
  </w:style>
  <w:style w:type="character" w:customStyle="1" w:styleId="19">
    <w:name w:val="正文文本 字符"/>
    <w:basedOn w:val="11"/>
    <w:link w:val="3"/>
    <w:qFormat/>
    <w:uiPriority w:val="0"/>
    <w:rPr>
      <w:rFonts w:asciiTheme="minorHAnsi" w:hAnsiTheme="minorHAnsi" w:eastAsiaTheme="minorEastAsia" w:cstheme="minorBidi"/>
      <w:sz w:val="24"/>
      <w:szCs w:val="24"/>
      <w:lang w:eastAsia="en-US"/>
    </w:rPr>
  </w:style>
  <w:style w:type="paragraph" w:customStyle="1" w:styleId="20">
    <w:name w:val="First Paragraph"/>
    <w:basedOn w:val="3"/>
    <w:next w:val="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3545</Words>
  <Characters>3862</Characters>
  <Lines>10</Lines>
  <Paragraphs>9</Paragraphs>
  <TotalTime>1</TotalTime>
  <ScaleCrop>false</ScaleCrop>
  <LinksUpToDate>false</LinksUpToDate>
  <CharactersWithSpaces>3961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2023-09-05T06:48:00Z</dcterms:created>
  <dc:creator>吴美芬</dc:creator>
  <cp:lastModifiedBy>林彤</cp:lastModifiedBy>
  <cp:lastPrinted>2025-12-01T10:57:00Z</cp:lastPrinted>
  <dcterms:modified xsi:type="dcterms:W3CDTF">2026-10-16T07:58:40Z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45A64E9E070545BFA4FD5CB9AB6B1BC6_13</vt:lpwstr>
  </property>
  <property fmtid="{D5CDD505-2E9C-101B-9397-08002B2CF9AE}" pid="4" name="KSOTemplateDocerSaveRecord">
    <vt:lpwstr>eyJoZGlkIjoiNGIxYjA4YTk3YWZkNzA0MjZiYTk4MTZmNDYwYzYyOTgiLCJ1c2VySWQiOiI0NDE0MjgwMjMifQ==</vt:lpwstr>
  </property>
</Properties>
</file>