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
      <w:pPr>
        <w:jc w:val="center"/>
        <w:rPr>
          <w:rFonts w:ascii="CTBiaoSongSJ" w:eastAsia="CTBiaoSongSJ"/>
          <w:sz w:val="44"/>
          <w:szCs w:val="44"/>
        </w:rPr>
      </w:pPr>
      <w:r>
        <w:rPr>
          <w:rFonts w:ascii="CTBiaoSongSJ" w:eastAsia="CTBiaoSongSJ" w:hint="eastAsia"/>
          <w:sz w:val="44"/>
          <w:szCs w:val="44"/>
        </w:rPr>
        <w:t>兖矿能源2</w:t>
      </w:r>
      <w:r>
        <w:rPr>
          <w:rFonts w:ascii="CTBiaoSongSJ" w:eastAsia="CTBiaoSongSJ"/>
          <w:sz w:val="44"/>
          <w:szCs w:val="44"/>
        </w:rPr>
        <w:t>026</w:t>
      </w:r>
      <w:r>
        <w:rPr>
          <w:rFonts w:ascii="CTBiaoSongSJ" w:eastAsia="CTBiaoSongSJ" w:hint="eastAsia"/>
          <w:sz w:val="44"/>
          <w:szCs w:val="44"/>
        </w:rPr>
        <w:t>年第三季度投资者关系活动记录</w:t>
      </w:r>
    </w:p>
    <w:p>
      <w:pPr>
        <w:jc w:val="center"/>
        <w:rPr>
          <w:rFonts w:ascii="CTBiaoSongSJ" w:eastAsia="CTBiaoSongSJ"/>
          <w:sz w:val="44"/>
          <w:szCs w:val="44"/>
        </w:rPr>
      </w:pPr>
    </w:p>
    <w:tbl>
      <w:tblPr>
        <w:tblW w:w="15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1985"/>
        <w:gridCol w:w="2542"/>
        <w:gridCol w:w="1568"/>
        <w:gridCol w:w="3251"/>
        <w:gridCol w:w="2561"/>
        <w:gridCol w:w="2126"/>
      </w:tblGrid>
      <w:tr>
        <w:trPr>
          <w:jc w:val="center"/>
        </w:trPr>
        <w:tc>
          <w:tcPr>
            <w:tcW w:w="997" w:type="dxa"/>
            <w:vAlign w:val="center"/>
          </w:tcPr>
          <w:p>
            <w:pPr>
              <w:spacing w:line="400" w:lineRule="exact"/>
              <w:jc w:val="center"/>
              <w:rPr>
                <w:rFonts w:ascii="仿宋_GB2312" w:eastAsia="仿宋_GB2312"/>
                <w:b/>
                <w:bCs/>
                <w:sz w:val="28"/>
                <w:szCs w:val="28"/>
              </w:rPr>
            </w:pPr>
            <w:r>
              <w:rPr>
                <w:rFonts w:ascii="仿宋_GB2312" w:eastAsia="仿宋_GB2312" w:hint="eastAsia"/>
                <w:b/>
                <w:bCs/>
                <w:sz w:val="28"/>
                <w:szCs w:val="28"/>
              </w:rPr>
              <w:t>序号</w:t>
            </w:r>
          </w:p>
        </w:tc>
        <w:tc>
          <w:tcPr>
            <w:tcW w:w="1985" w:type="dxa"/>
            <w:vAlign w:val="center"/>
          </w:tcPr>
          <w:p>
            <w:pPr>
              <w:spacing w:line="400" w:lineRule="exact"/>
              <w:jc w:val="center"/>
              <w:rPr>
                <w:rFonts w:ascii="仿宋_GB2312" w:eastAsia="仿宋_GB2312"/>
                <w:b/>
                <w:bCs/>
                <w:sz w:val="28"/>
                <w:szCs w:val="28"/>
              </w:rPr>
            </w:pPr>
            <w:r>
              <w:rPr>
                <w:rFonts w:ascii="仿宋_GB2312" w:eastAsia="仿宋_GB2312" w:hint="eastAsia"/>
                <w:b/>
                <w:bCs/>
                <w:sz w:val="28"/>
                <w:szCs w:val="28"/>
              </w:rPr>
              <w:t>形式</w:t>
            </w:r>
          </w:p>
        </w:tc>
        <w:tc>
          <w:tcPr>
            <w:tcW w:w="2542" w:type="dxa"/>
            <w:vAlign w:val="center"/>
          </w:tcPr>
          <w:p>
            <w:pPr>
              <w:spacing w:line="400" w:lineRule="exact"/>
              <w:jc w:val="center"/>
              <w:rPr>
                <w:rFonts w:ascii="仿宋_GB2312" w:eastAsia="仿宋_GB2312" w:hAnsi="宋体"/>
                <w:b/>
                <w:bCs/>
                <w:sz w:val="28"/>
                <w:szCs w:val="28"/>
              </w:rPr>
            </w:pPr>
            <w:r>
              <w:rPr>
                <w:rFonts w:ascii="仿宋_GB2312" w:eastAsia="仿宋_GB2312" w:hAnsi="宋体" w:hint="eastAsia"/>
                <w:b/>
                <w:bCs/>
                <w:sz w:val="28"/>
                <w:szCs w:val="28"/>
              </w:rPr>
              <w:t>时间</w:t>
            </w:r>
          </w:p>
        </w:tc>
        <w:tc>
          <w:tcPr>
            <w:tcW w:w="1568" w:type="dxa"/>
            <w:vAlign w:val="center"/>
          </w:tcPr>
          <w:p>
            <w:pPr>
              <w:spacing w:line="400" w:lineRule="exact"/>
              <w:jc w:val="center"/>
              <w:rPr>
                <w:rFonts w:ascii="仿宋_GB2312" w:eastAsia="仿宋_GB2312" w:hAnsi="宋体"/>
                <w:b/>
                <w:bCs/>
                <w:sz w:val="28"/>
                <w:szCs w:val="28"/>
              </w:rPr>
            </w:pPr>
            <w:r>
              <w:rPr>
                <w:rFonts w:ascii="仿宋_GB2312" w:eastAsia="仿宋_GB2312" w:hAnsi="宋体" w:hint="eastAsia"/>
                <w:b/>
                <w:bCs/>
                <w:sz w:val="28"/>
                <w:szCs w:val="28"/>
              </w:rPr>
              <w:t>地点</w:t>
            </w:r>
          </w:p>
        </w:tc>
        <w:tc>
          <w:tcPr>
            <w:tcW w:w="3251" w:type="dxa"/>
            <w:vAlign w:val="center"/>
          </w:tcPr>
          <w:p>
            <w:pPr>
              <w:spacing w:line="400" w:lineRule="exact"/>
              <w:jc w:val="center"/>
              <w:rPr>
                <w:rFonts w:ascii="仿宋_GB2312" w:eastAsia="仿宋_GB2312" w:hAnsi="宋体"/>
                <w:b/>
                <w:bCs/>
                <w:sz w:val="28"/>
                <w:szCs w:val="28"/>
              </w:rPr>
            </w:pPr>
            <w:r>
              <w:rPr>
                <w:rFonts w:ascii="仿宋_GB2312" w:eastAsia="仿宋_GB2312" w:hAnsi="宋体" w:hint="eastAsia"/>
                <w:b/>
                <w:bCs/>
                <w:sz w:val="28"/>
                <w:szCs w:val="28"/>
              </w:rPr>
              <w:t>接待对象</w:t>
            </w:r>
          </w:p>
        </w:tc>
        <w:tc>
          <w:tcPr>
            <w:tcW w:w="2561" w:type="dxa"/>
            <w:vAlign w:val="center"/>
          </w:tcPr>
          <w:p>
            <w:pPr>
              <w:spacing w:line="400" w:lineRule="exact"/>
              <w:jc w:val="center"/>
              <w:rPr>
                <w:rFonts w:ascii="仿宋_GB2312" w:eastAsia="仿宋_GB2312" w:hAnsi="宋体"/>
                <w:b/>
                <w:bCs/>
                <w:sz w:val="28"/>
                <w:szCs w:val="28"/>
              </w:rPr>
            </w:pPr>
            <w:r>
              <w:rPr>
                <w:rFonts w:ascii="仿宋_GB2312" w:eastAsia="仿宋_GB2312" w:hint="eastAsia"/>
                <w:b/>
                <w:bCs/>
                <w:sz w:val="28"/>
                <w:szCs w:val="28"/>
              </w:rPr>
              <w:t>接待人员</w:t>
            </w:r>
          </w:p>
        </w:tc>
        <w:tc>
          <w:tcPr>
            <w:tcW w:w="2126" w:type="dxa"/>
            <w:vAlign w:val="center"/>
          </w:tcPr>
          <w:p>
            <w:pPr>
              <w:spacing w:line="400" w:lineRule="exact"/>
              <w:jc w:val="center"/>
              <w:rPr>
                <w:rFonts w:ascii="仿宋_GB2312" w:eastAsia="仿宋_GB2312" w:hAnsi="宋体"/>
                <w:b/>
                <w:bCs/>
                <w:sz w:val="28"/>
                <w:szCs w:val="28"/>
              </w:rPr>
            </w:pPr>
            <w:r>
              <w:rPr>
                <w:rFonts w:ascii="仿宋_GB2312" w:eastAsia="仿宋_GB2312" w:hAnsi="宋体" w:hint="eastAsia"/>
                <w:b/>
                <w:bCs/>
                <w:sz w:val="28"/>
                <w:szCs w:val="28"/>
              </w:rPr>
              <w:t>是否涉及应当披露重大信息</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7</w:t>
            </w:r>
            <w:r>
              <w:rPr>
                <w:rFonts w:ascii="仿宋_GB2312" w:eastAsia="仿宋_GB2312" w:hAnsi="宋体" w:hint="eastAsia"/>
                <w:sz w:val="28"/>
                <w:szCs w:val="28"/>
              </w:rPr>
              <w:t>月2</w:t>
            </w:r>
            <w:r>
              <w:rPr>
                <w:rFonts w:ascii="仿宋_GB2312" w:eastAsia="仿宋_GB2312" w:hAnsi="宋体"/>
                <w:sz w:val="28"/>
                <w:szCs w:val="28"/>
              </w:rPr>
              <w:t>1</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北京</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国寿养老 博时基金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工银瑞信 华夏基金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易方达基金</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7</w:t>
            </w:r>
            <w:r>
              <w:rPr>
                <w:rFonts w:ascii="仿宋_GB2312" w:eastAsia="仿宋_GB2312" w:hAnsi="宋体" w:hint="eastAsia"/>
                <w:sz w:val="28"/>
                <w:szCs w:val="28"/>
              </w:rPr>
              <w:t>月2</w:t>
            </w:r>
            <w:r>
              <w:rPr>
                <w:rFonts w:ascii="仿宋_GB2312" w:eastAsia="仿宋_GB2312" w:hAnsi="宋体"/>
                <w:sz w:val="28"/>
                <w:szCs w:val="28"/>
              </w:rPr>
              <w:t>1</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北京</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泰康资产 新华资产</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阳光保险 大家资产</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国寿资产 招商基金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富国基金 兴证全球</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太保资产 永赢基金</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7</w:t>
            </w:r>
            <w:r>
              <w:rPr>
                <w:rFonts w:ascii="仿宋_GB2312" w:eastAsia="仿宋_GB2312" w:hAnsi="宋体" w:hint="eastAsia"/>
                <w:sz w:val="28"/>
                <w:szCs w:val="28"/>
              </w:rPr>
              <w:t>月2</w:t>
            </w:r>
            <w:r>
              <w:rPr>
                <w:rFonts w:ascii="仿宋_GB2312" w:eastAsia="仿宋_GB2312" w:hAnsi="宋体"/>
                <w:sz w:val="28"/>
                <w:szCs w:val="28"/>
              </w:rPr>
              <w:t>8</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公司总部</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临时股东会投资者</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rPr>
                <w:rFonts w:ascii="仿宋_GB2312" w:eastAsia="仿宋_GB2312" w:hAnsi="宋体"/>
                <w:sz w:val="28"/>
                <w:szCs w:val="28"/>
              </w:rP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电话会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7</w:t>
            </w:r>
            <w:r>
              <w:rPr>
                <w:rFonts w:ascii="仿宋_GB2312" w:eastAsia="仿宋_GB2312" w:hAnsi="宋体" w:hint="eastAsia"/>
                <w:sz w:val="28"/>
                <w:szCs w:val="28"/>
              </w:rPr>
              <w:t>月2</w:t>
            </w:r>
            <w:r>
              <w:rPr>
                <w:rFonts w:ascii="仿宋_GB2312" w:eastAsia="仿宋_GB2312" w:hAnsi="宋体"/>
                <w:sz w:val="28"/>
                <w:szCs w:val="28"/>
              </w:rPr>
              <w:t>9</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公司总部</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浙商证券及其客户</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电话会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7</w:t>
            </w:r>
            <w:r>
              <w:rPr>
                <w:rFonts w:ascii="仿宋_GB2312" w:eastAsia="仿宋_GB2312" w:hAnsi="宋体" w:hint="eastAsia"/>
                <w:sz w:val="28"/>
                <w:szCs w:val="28"/>
              </w:rPr>
              <w:t>月2</w:t>
            </w:r>
            <w:r>
              <w:rPr>
                <w:rFonts w:ascii="仿宋_GB2312" w:eastAsia="仿宋_GB2312" w:hAnsi="宋体"/>
                <w:sz w:val="28"/>
                <w:szCs w:val="28"/>
              </w:rPr>
              <w:t>9</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公司总部</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汇添富基金</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lastRenderedPageBreak/>
              <w:t>相关业务负责人</w:t>
            </w:r>
          </w:p>
        </w:tc>
        <w:tc>
          <w:tcPr>
            <w:tcW w:w="2126" w:type="dxa"/>
            <w:vAlign w:val="center"/>
          </w:tcPr>
          <w:p>
            <w:pPr>
              <w:jc w:val="center"/>
            </w:pPr>
            <w:r>
              <w:rPr>
                <w:rFonts w:ascii="仿宋_GB2312" w:eastAsia="仿宋_GB2312" w:hAnsi="宋体" w:hint="eastAsia"/>
                <w:sz w:val="28"/>
                <w:szCs w:val="28"/>
              </w:rPr>
              <w:lastRenderedPageBreak/>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业绩说明会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8</w:t>
            </w:r>
            <w:r>
              <w:rPr>
                <w:rFonts w:ascii="仿宋_GB2312" w:eastAsia="仿宋_GB2312" w:hAnsi="宋体" w:hint="eastAsia"/>
                <w:sz w:val="28"/>
                <w:szCs w:val="28"/>
              </w:rPr>
              <w:t>月</w:t>
            </w:r>
            <w:r>
              <w:rPr>
                <w:rFonts w:ascii="仿宋_GB2312" w:eastAsia="仿宋_GB2312" w:hAnsi="宋体"/>
                <w:sz w:val="28"/>
                <w:szCs w:val="28"/>
              </w:rPr>
              <w:t>31</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香港</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中期业绩说明会投资者</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董事长</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董事、总经理</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财务总监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8</w:t>
            </w:r>
            <w:r>
              <w:rPr>
                <w:rFonts w:ascii="仿宋_GB2312" w:eastAsia="仿宋_GB2312" w:hAnsi="宋体" w:hint="eastAsia"/>
                <w:sz w:val="28"/>
                <w:szCs w:val="28"/>
              </w:rPr>
              <w:t>月</w:t>
            </w:r>
            <w:r>
              <w:rPr>
                <w:rFonts w:ascii="仿宋_GB2312" w:eastAsia="仿宋_GB2312" w:hAnsi="宋体"/>
                <w:sz w:val="28"/>
                <w:szCs w:val="28"/>
              </w:rPr>
              <w:t>31</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香港</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富国基金香港</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泰康资产香港</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1</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香港</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千禧资本 鑫巢资本</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盈泰投资</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trHeight w:val="815"/>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2</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广州</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金鹰基金、易方达、</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景顺长城、摩根士丹利</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3</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深圳</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鹏华基金、宝盈基金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招商基金、创金合信</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大成基金</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3</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北京</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泰康资产、中信自营</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新华资产、建信养老</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工银瑞信、嘉实基金</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财务总监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4</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北京</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 xml:space="preserve">泓德基金、华夏基金 </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财务总监</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证券事务代表</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8</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上海</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惠升投资、华泰柏瑞</w:t>
            </w:r>
          </w:p>
        </w:tc>
        <w:tc>
          <w:tcPr>
            <w:tcW w:w="2561" w:type="dxa"/>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4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9</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上海</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 xml:space="preserve">汇添富、摩根基金 </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 xml:space="preserve">平安养老、华宝基金 </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国海富兰克林</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10</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sz w:val="28"/>
                <w:szCs w:val="28"/>
              </w:rPr>
              <w:t>上海</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 xml:space="preserve">博时基金、国泰基金 </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长江养老、易方达</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陕蒙反路演</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18</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陕蒙</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德邦证券、国联民生证券、国信证券、华泰证券、国泰海通证券、国盛证券、太保资产</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vAlign w:val="center"/>
          </w:tcPr>
          <w:p>
            <w:pPr>
              <w:pStyle w:val="aa"/>
              <w:numPr>
                <w:ilvl w:val="0"/>
                <w:numId w:val="1"/>
              </w:numPr>
              <w:ind w:left="0" w:firstLineChars="0" w:firstLine="0"/>
              <w:jc w:val="center"/>
              <w:rPr>
                <w:rFonts w:ascii="仿宋_GB2312" w:eastAsia="仿宋_GB2312" w:hAnsi="宋体"/>
                <w:sz w:val="28"/>
                <w:szCs w:val="28"/>
              </w:rPr>
            </w:pPr>
          </w:p>
        </w:tc>
        <w:tc>
          <w:tcPr>
            <w:tcW w:w="1985"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现场会</w:t>
            </w:r>
          </w:p>
        </w:tc>
        <w:tc>
          <w:tcPr>
            <w:tcW w:w="2542"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202</w:t>
            </w:r>
            <w:r>
              <w:rPr>
                <w:rFonts w:ascii="仿宋_GB2312" w:eastAsia="仿宋_GB2312" w:hAnsi="宋体"/>
                <w:sz w:val="28"/>
                <w:szCs w:val="28"/>
              </w:rPr>
              <w:t>6</w:t>
            </w:r>
            <w:r>
              <w:rPr>
                <w:rFonts w:ascii="仿宋_GB2312" w:eastAsia="仿宋_GB2312" w:hAnsi="宋体" w:hint="eastAsia"/>
                <w:sz w:val="28"/>
                <w:szCs w:val="28"/>
              </w:rPr>
              <w:t>年</w:t>
            </w:r>
            <w:r>
              <w:rPr>
                <w:rFonts w:ascii="仿宋_GB2312" w:eastAsia="仿宋_GB2312" w:hAnsi="宋体"/>
                <w:sz w:val="28"/>
                <w:szCs w:val="28"/>
              </w:rPr>
              <w:t>9</w:t>
            </w:r>
            <w:r>
              <w:rPr>
                <w:rFonts w:ascii="仿宋_GB2312" w:eastAsia="仿宋_GB2312" w:hAnsi="宋体" w:hint="eastAsia"/>
                <w:sz w:val="28"/>
                <w:szCs w:val="28"/>
              </w:rPr>
              <w:t>月</w:t>
            </w:r>
            <w:r>
              <w:rPr>
                <w:rFonts w:ascii="仿宋_GB2312" w:eastAsia="仿宋_GB2312" w:hAnsi="宋体"/>
                <w:sz w:val="28"/>
                <w:szCs w:val="28"/>
              </w:rPr>
              <w:t>24</w:t>
            </w:r>
            <w:r>
              <w:rPr>
                <w:rFonts w:ascii="仿宋_GB2312" w:eastAsia="仿宋_GB2312" w:hAnsi="宋体" w:hint="eastAsia"/>
                <w:sz w:val="28"/>
                <w:szCs w:val="28"/>
              </w:rPr>
              <w:t>日</w:t>
            </w:r>
          </w:p>
        </w:tc>
        <w:tc>
          <w:tcPr>
            <w:tcW w:w="1568"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公司总部</w:t>
            </w:r>
          </w:p>
        </w:tc>
        <w:tc>
          <w:tcPr>
            <w:tcW w:w="325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国海证券及其客户</w:t>
            </w:r>
          </w:p>
        </w:tc>
        <w:tc>
          <w:tcPr>
            <w:tcW w:w="2561" w:type="dxa"/>
            <w:vAlign w:val="center"/>
          </w:tcPr>
          <w:p>
            <w:pPr>
              <w:spacing w:line="360" w:lineRule="exact"/>
              <w:jc w:val="center"/>
              <w:rPr>
                <w:rFonts w:ascii="仿宋_GB2312" w:eastAsia="仿宋_GB2312" w:hAnsi="宋体"/>
                <w:sz w:val="28"/>
                <w:szCs w:val="28"/>
              </w:rPr>
            </w:pPr>
            <w:r>
              <w:rPr>
                <w:rFonts w:ascii="仿宋_GB2312" w:eastAsia="仿宋_GB2312" w:hAnsi="宋体" w:hint="eastAsia"/>
                <w:sz w:val="28"/>
                <w:szCs w:val="28"/>
              </w:rPr>
              <w:t>董事、董事会秘书</w:t>
            </w:r>
          </w:p>
          <w:p>
            <w:pPr>
              <w:spacing w:line="360" w:lineRule="exact"/>
              <w:jc w:val="center"/>
              <w:rPr>
                <w:rFonts w:ascii="仿宋_GB2312" w:eastAsia="仿宋_GB2312" w:hAnsi="宋体"/>
                <w:sz w:val="28"/>
                <w:szCs w:val="28"/>
              </w:rPr>
            </w:pPr>
            <w:r>
              <w:rPr>
                <w:rFonts w:ascii="仿宋_GB2312" w:eastAsia="仿宋_GB2312" w:hAnsi="宋体" w:hint="eastAsia"/>
                <w:sz w:val="28"/>
                <w:szCs w:val="28"/>
              </w:rPr>
              <w:t>相关业务负责人</w:t>
            </w:r>
          </w:p>
        </w:tc>
        <w:tc>
          <w:tcPr>
            <w:tcW w:w="2126" w:type="dxa"/>
            <w:vAlign w:val="center"/>
          </w:tcPr>
          <w:p>
            <w:pPr>
              <w:jc w:val="center"/>
            </w:pPr>
            <w:r>
              <w:rPr>
                <w:rFonts w:ascii="仿宋_GB2312" w:eastAsia="仿宋_GB2312" w:hAnsi="宋体" w:hint="eastAsia"/>
                <w:sz w:val="28"/>
                <w:szCs w:val="28"/>
              </w:rPr>
              <w:t>否</w:t>
            </w:r>
          </w:p>
        </w:tc>
      </w:tr>
      <w:tr>
        <w:trPr>
          <w:jc w:val="center"/>
        </w:trPr>
        <w:tc>
          <w:tcPr>
            <w:tcW w:w="997" w:type="dxa"/>
            <w:tcBorders>
              <w:bottom w:val="single" w:sz="4" w:space="0" w:color="auto"/>
            </w:tcBorders>
            <w:shd w:val="clear" w:color="auto" w:fill="FFFFFF"/>
          </w:tcPr>
          <w:p>
            <w:pPr>
              <w:snapToGrid w:val="0"/>
              <w:spacing w:line="440" w:lineRule="exact"/>
              <w:ind w:firstLineChars="200" w:firstLine="562"/>
              <w:rPr>
                <w:rFonts w:ascii="宋体" w:hAnsi="宋体"/>
                <w:b/>
                <w:sz w:val="28"/>
                <w:szCs w:val="28"/>
              </w:rPr>
            </w:pPr>
          </w:p>
        </w:tc>
        <w:tc>
          <w:tcPr>
            <w:tcW w:w="14033" w:type="dxa"/>
            <w:gridSpan w:val="6"/>
            <w:tcBorders>
              <w:bottom w:val="single" w:sz="4" w:space="0" w:color="auto"/>
            </w:tcBorders>
            <w:shd w:val="clear" w:color="auto" w:fill="FFFFFF"/>
            <w:vAlign w:val="center"/>
          </w:tcPr>
          <w:p>
            <w:pPr>
              <w:snapToGrid w:val="0"/>
              <w:spacing w:line="440" w:lineRule="exact"/>
              <w:ind w:firstLineChars="200" w:firstLine="562"/>
              <w:rPr>
                <w:rFonts w:ascii="宋体" w:hAnsi="宋体"/>
                <w:b/>
                <w:sz w:val="28"/>
                <w:szCs w:val="28"/>
              </w:rPr>
            </w:pPr>
            <w:r>
              <w:rPr>
                <w:rFonts w:ascii="宋体" w:hAnsi="宋体" w:hint="eastAsia"/>
                <w:b/>
                <w:sz w:val="28"/>
                <w:szCs w:val="28"/>
              </w:rPr>
              <w:t>主要交流内容：</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一、</w:t>
            </w:r>
            <w:r>
              <w:rPr>
                <w:rFonts w:ascii="宋体" w:hAnsi="宋体" w:hint="eastAsia"/>
                <w:bCs/>
                <w:sz w:val="28"/>
                <w:szCs w:val="28"/>
              </w:rPr>
              <w:t>公司上半年产量情况？</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2026年上半年商品煤产量8802万吨，同比减少184万吨或2.05%。公司坚决守牢安全底线，科学统筹采掘接续与产能释放，核心骨干矿井稳产高效，产量逐季回升向好。其中：</w:t>
            </w:r>
          </w:p>
          <w:p>
            <w:pPr>
              <w:snapToGrid w:val="0"/>
              <w:spacing w:line="440" w:lineRule="exact"/>
              <w:ind w:firstLineChars="200" w:firstLine="560"/>
              <w:rPr>
                <w:rFonts w:ascii="宋体" w:hAnsi="宋体"/>
                <w:bCs/>
                <w:sz w:val="28"/>
                <w:szCs w:val="28"/>
              </w:rPr>
            </w:pPr>
            <w:r>
              <w:rPr>
                <w:rFonts w:ascii="宋体" w:hAnsi="宋体" w:hint="eastAsia"/>
                <w:bCs/>
                <w:sz w:val="28"/>
                <w:szCs w:val="28"/>
              </w:rPr>
              <w:t>①新疆能化以销定产，上半年商品煤产量同比减少236万吨；②西北矿业上半年商品煤产量同比增加167万吨，部分抵消其他地区的产量下降。</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二、公司煤炭成本管控实施情况？</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lastRenderedPageBreak/>
              <w:t>根据中国会计准则，2026年上半年集团自产商品煤吨煤销售成本348元/吨，同比上涨29元/吨或9.1%，其中：境内吨煤销售成本263元/吨，同比上涨13元/吨或5.2%；境外受柴油、原材料、物流费用等支出刚性上涨，叠加兖煤国际减产，吨煤销售成本576元/吨，同比上涨49元/吨或9.3%。</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随着下半年境内外产能逐步释放，各项降本增效举措落地推进，吨煤销售成本将持续改善，力争境内吨煤销售成本压降，境外现金经营成本控制在98澳元/吨以下。</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公司将深入落实“十个加强、十个增效”等精益管控措施：</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1.聚力产能释放。优化生产组织，通过提升商品煤产量摊薄固定成本，放大洗选、储运设施利用效率，发挥规模效应。</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2.从严降本控费。强化全面预算管理、对标管理，开展成本写实分析。</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3.深挖运营潜力。实施集中采购、“寄售代储”等综合措施，采购降本。开展资产核查和清仓利库，强化出僵治亏，有序清理低效无效资产。</w:t>
            </w:r>
          </w:p>
          <w:p>
            <w:pPr>
              <w:snapToGrid w:val="0"/>
              <w:spacing w:line="440" w:lineRule="exact"/>
              <w:ind w:firstLineChars="200" w:firstLine="560"/>
              <w:rPr>
                <w:rFonts w:ascii="宋体" w:hAnsi="宋体"/>
                <w:bCs/>
                <w:sz w:val="28"/>
                <w:szCs w:val="28"/>
              </w:rPr>
            </w:pPr>
            <w:r>
              <w:rPr>
                <w:rFonts w:ascii="宋体" w:hAnsi="宋体" w:hint="eastAsia"/>
                <w:bCs/>
                <w:sz w:val="28"/>
                <w:szCs w:val="28"/>
              </w:rPr>
              <w:t>4.深化改革提效。健全市场化经营机制，持续推进“三项制度”改革，落实末等调整、不胜任退出机制，节约人工成本。</w:t>
            </w:r>
          </w:p>
          <w:p>
            <w:pPr>
              <w:snapToGrid w:val="0"/>
              <w:spacing w:line="440" w:lineRule="exact"/>
              <w:ind w:firstLineChars="200" w:firstLine="560"/>
              <w:rPr>
                <w:rFonts w:ascii="宋体" w:hAnsi="宋体" w:hint="eastAsia"/>
                <w:bCs/>
                <w:sz w:val="28"/>
                <w:szCs w:val="28"/>
              </w:rPr>
            </w:pP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三</w:t>
            </w:r>
            <w:r>
              <w:rPr>
                <w:rFonts w:ascii="宋体" w:hAnsi="宋体" w:hint="eastAsia"/>
                <w:bCs/>
                <w:sz w:val="28"/>
                <w:szCs w:val="28"/>
              </w:rPr>
              <w:t>、对国内、国际煤价走势判断</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（一）国内煤炭市场</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预计下半年，煤炭供需将呈现总体稳定、阶段性紧平衡，价格在中高位窄幅波动、全年价格中枢确定性高于去年。</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lastRenderedPageBreak/>
              <w:t>供应端，国内煤炭供应能力稳定，随着电煤保供、煤炭储备等调节机制逐步健全，有利于煤炭价格长期趋稳运行。当前，全行业安全监管持续强化，刚性约束产能有序释放。国内供给阶段性收缩，1-7月国内煤炭产量27亿吨，同比下降2.9%，其中7月同比下降10.1%。</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需求端，宏观政策发力提效，加快财政支出和债券资金使用进度，推进“两重”“两新”“六张网”等基建投资、促消费举措。中电联预测全年社会用电量将同比增长5%-6%。随着高端制造业、数字经济与新兴技术等领域用电需求的快速增长，全社会用电量有望保持高位。多个煤化工新建项目下半年投产，预计化工用煤将持续提升。</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（二）国际煤炭市场</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预计下半年，国际煤炭市场价格走势与国内趋同，维持中高位震荡。</w:t>
            </w:r>
          </w:p>
          <w:p>
            <w:pPr>
              <w:snapToGrid w:val="0"/>
              <w:spacing w:line="440" w:lineRule="exact"/>
              <w:ind w:firstLineChars="200" w:firstLine="560"/>
              <w:rPr>
                <w:rFonts w:ascii="宋体" w:hAnsi="宋体"/>
                <w:bCs/>
                <w:sz w:val="28"/>
                <w:szCs w:val="28"/>
              </w:rPr>
            </w:pPr>
            <w:r>
              <w:rPr>
                <w:rFonts w:ascii="宋体" w:hAnsi="宋体" w:hint="eastAsia"/>
                <w:bCs/>
                <w:sz w:val="28"/>
                <w:szCs w:val="28"/>
              </w:rPr>
              <w:t>受印尼出口供应不确定性较强、海运成本抬升等因素影响，全球煤炭出口供应增量有限。地缘冲突局势反复强化了煤炭的兜底保障作用，为国际煤价维持中高位提供支撑。</w:t>
            </w:r>
          </w:p>
          <w:p>
            <w:pPr>
              <w:snapToGrid w:val="0"/>
              <w:spacing w:line="440" w:lineRule="exact"/>
              <w:ind w:firstLineChars="200" w:firstLine="560"/>
              <w:rPr>
                <w:rFonts w:ascii="宋体" w:hAnsi="宋体" w:hint="eastAsia"/>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四、公司2026-2028年利润分配政策</w:t>
            </w:r>
          </w:p>
          <w:p>
            <w:pPr>
              <w:snapToGrid w:val="0"/>
              <w:spacing w:line="440" w:lineRule="exact"/>
              <w:ind w:firstLineChars="200" w:firstLine="560"/>
              <w:rPr>
                <w:rFonts w:ascii="宋体" w:hAnsi="宋体"/>
                <w:bCs/>
                <w:sz w:val="28"/>
                <w:szCs w:val="28"/>
              </w:rPr>
            </w:pPr>
            <w:r>
              <w:rPr>
                <w:rFonts w:ascii="宋体" w:hAnsi="宋体" w:hint="eastAsia"/>
                <w:bCs/>
                <w:sz w:val="28"/>
                <w:szCs w:val="28"/>
              </w:rPr>
              <w:t>兖矿能源始终践行“股东至上、价值共享”理念，上市20余年来累计分红超900亿元。将2026-2028年度利润分配政策确定为：公司在各会计年度分配的现金股利总额，以中国会计准则和国际财务报告准则财务报表税后利润数较少者为准，应占公司该年度扣除法定储备后净利润的约50%。</w:t>
            </w:r>
          </w:p>
          <w:p>
            <w:pPr>
              <w:snapToGrid w:val="0"/>
              <w:spacing w:line="440" w:lineRule="exact"/>
              <w:ind w:firstLineChars="200" w:firstLine="560"/>
              <w:rPr>
                <w:rFonts w:ascii="宋体" w:hAnsi="宋体"/>
                <w:bCs/>
                <w:sz w:val="28"/>
                <w:szCs w:val="28"/>
              </w:rPr>
            </w:pPr>
            <w:r>
              <w:rPr>
                <w:rFonts w:ascii="宋体" w:hAnsi="宋体" w:hint="eastAsia"/>
                <w:bCs/>
                <w:sz w:val="28"/>
                <w:szCs w:val="28"/>
              </w:rPr>
              <w:t>此次调整是立足行业形势与发展实际的长远审慎安排。主要考量如下：</w:t>
            </w:r>
          </w:p>
          <w:p>
            <w:pPr>
              <w:snapToGrid w:val="0"/>
              <w:spacing w:line="440" w:lineRule="exact"/>
              <w:ind w:firstLineChars="200" w:firstLine="560"/>
              <w:rPr>
                <w:rFonts w:ascii="宋体" w:hAnsi="宋体"/>
                <w:bCs/>
                <w:sz w:val="28"/>
                <w:szCs w:val="28"/>
              </w:rPr>
            </w:pPr>
            <w:r>
              <w:rPr>
                <w:rFonts w:ascii="宋体" w:hAnsi="宋体" w:hint="eastAsia"/>
                <w:bCs/>
                <w:sz w:val="28"/>
                <w:szCs w:val="28"/>
              </w:rPr>
              <w:t>1.统筹稳健经营与长期回报，适度放宽分红下限。当前外部宏观环境错综复杂，未来2-3年煤炭价格走势难以精准预判。适度放宽分红比例下限，有利于在不确定环境中更好平衡企业稳健经营与股东长期回报。</w:t>
            </w:r>
          </w:p>
          <w:p>
            <w:pPr>
              <w:snapToGrid w:val="0"/>
              <w:spacing w:line="440" w:lineRule="exact"/>
              <w:ind w:firstLineChars="200" w:firstLine="560"/>
              <w:rPr>
                <w:rFonts w:ascii="宋体" w:hAnsi="宋体"/>
                <w:bCs/>
                <w:sz w:val="28"/>
                <w:szCs w:val="28"/>
              </w:rPr>
            </w:pPr>
            <w:r>
              <w:rPr>
                <w:rFonts w:ascii="宋体" w:hAnsi="宋体" w:hint="eastAsia"/>
                <w:bCs/>
                <w:sz w:val="28"/>
                <w:szCs w:val="28"/>
              </w:rPr>
              <w:lastRenderedPageBreak/>
              <w:t>2.立足高质量发展，夯实长期分红根基。公司未来五年发展路径清晰，在建及规划重点项目多，同时积极把握市场化优质资产并购机会，资金需求较为集中。</w:t>
            </w:r>
          </w:p>
          <w:p>
            <w:pPr>
              <w:snapToGrid w:val="0"/>
              <w:spacing w:line="440" w:lineRule="exact"/>
              <w:ind w:firstLineChars="200" w:firstLine="560"/>
              <w:rPr>
                <w:rFonts w:ascii="宋体" w:hAnsi="宋体"/>
                <w:bCs/>
                <w:sz w:val="28"/>
                <w:szCs w:val="28"/>
              </w:rPr>
            </w:pPr>
            <w:r>
              <w:rPr>
                <w:rFonts w:ascii="宋体" w:hAnsi="宋体" w:hint="eastAsia"/>
                <w:bCs/>
                <w:sz w:val="28"/>
                <w:szCs w:val="28"/>
              </w:rPr>
              <w:t>3.50%为底线非上限，历史分红持续领先。50%仅为分红底线而非上限。2019年以来公司分红比例均超60%。</w:t>
            </w:r>
          </w:p>
          <w:p>
            <w:pPr>
              <w:snapToGrid w:val="0"/>
              <w:spacing w:line="440" w:lineRule="exact"/>
              <w:ind w:firstLineChars="200" w:firstLine="560"/>
              <w:rPr>
                <w:rFonts w:ascii="宋体" w:hAnsi="宋体"/>
                <w:bCs/>
                <w:sz w:val="28"/>
                <w:szCs w:val="28"/>
              </w:rPr>
            </w:pPr>
            <w:r>
              <w:rPr>
                <w:rFonts w:ascii="宋体" w:hAnsi="宋体" w:hint="eastAsia"/>
                <w:bCs/>
                <w:sz w:val="28"/>
                <w:szCs w:val="28"/>
              </w:rPr>
              <w:t>4.构建多元回报体系，丰富股东价值实现路径。未来公司将持续优化股东回报体系，积极顺应监管政策导向，通过股份回购、控股股东增持等多元方式，进一步丰富价值提升渠道，增强股东回报的实效性与可持续性。</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五、如何实现3亿吨原煤产量规划目标</w:t>
            </w:r>
          </w:p>
          <w:p>
            <w:pPr>
              <w:snapToGrid w:val="0"/>
              <w:spacing w:line="440" w:lineRule="exact"/>
              <w:ind w:firstLineChars="200" w:firstLine="560"/>
              <w:rPr>
                <w:rFonts w:ascii="宋体" w:hAnsi="宋体"/>
                <w:bCs/>
                <w:sz w:val="28"/>
                <w:szCs w:val="28"/>
              </w:rPr>
            </w:pPr>
            <w:r>
              <w:rPr>
                <w:rFonts w:ascii="宋体" w:hAnsi="宋体" w:hint="eastAsia"/>
                <w:bCs/>
                <w:sz w:val="28"/>
                <w:szCs w:val="28"/>
              </w:rPr>
              <w:t xml:space="preserve">公司2021年12月制定的《发展战略纲要》提出，力争5-10年原煤产量达到3亿吨/年。目前，本集团在产、在建及规划矿井合计产能约3亿吨/年，将如期实现“原煤3亿吨”目标。包括： </w:t>
            </w:r>
          </w:p>
          <w:p>
            <w:pPr>
              <w:snapToGrid w:val="0"/>
              <w:spacing w:line="440" w:lineRule="exact"/>
              <w:ind w:firstLineChars="200" w:firstLine="560"/>
              <w:rPr>
                <w:rFonts w:ascii="宋体" w:hAnsi="宋体"/>
                <w:bCs/>
                <w:sz w:val="28"/>
                <w:szCs w:val="28"/>
              </w:rPr>
            </w:pPr>
            <w:r>
              <w:rPr>
                <w:rFonts w:ascii="宋体" w:hAnsi="宋体" w:hint="eastAsia"/>
                <w:bCs/>
                <w:sz w:val="28"/>
                <w:szCs w:val="28"/>
              </w:rPr>
              <w:t>（一）2025年商品煤产量1.82亿吨，对应原煤产量2.2亿吨。</w:t>
            </w:r>
          </w:p>
          <w:p>
            <w:pPr>
              <w:snapToGrid w:val="0"/>
              <w:spacing w:line="440" w:lineRule="exact"/>
              <w:ind w:firstLineChars="200" w:firstLine="560"/>
              <w:rPr>
                <w:rFonts w:ascii="宋体" w:hAnsi="宋体"/>
                <w:bCs/>
                <w:sz w:val="28"/>
                <w:szCs w:val="28"/>
              </w:rPr>
            </w:pPr>
            <w:r>
              <w:rPr>
                <w:rFonts w:ascii="宋体" w:hAnsi="宋体" w:hint="eastAsia"/>
                <w:bCs/>
                <w:sz w:val="28"/>
                <w:szCs w:val="28"/>
              </w:rPr>
              <w:t>（二）2026年至2031年，商品煤增量总计约7000-8000万吨，主要是：</w:t>
            </w:r>
          </w:p>
          <w:p>
            <w:pPr>
              <w:snapToGrid w:val="0"/>
              <w:spacing w:line="440" w:lineRule="exact"/>
              <w:ind w:firstLineChars="200" w:firstLine="560"/>
              <w:rPr>
                <w:rFonts w:ascii="宋体" w:hAnsi="宋体"/>
                <w:bCs/>
                <w:sz w:val="28"/>
                <w:szCs w:val="28"/>
              </w:rPr>
            </w:pPr>
            <w:r>
              <w:rPr>
                <w:rFonts w:ascii="宋体" w:hAnsi="宋体" w:hint="eastAsia"/>
                <w:bCs/>
                <w:sz w:val="28"/>
                <w:szCs w:val="28"/>
              </w:rPr>
              <w:t>1.陕蒙区域油房壕矿、霍林河一号矿、刘三圪旦矿、杨家坪矿及嘎鲁图矿等新建产能。</w:t>
            </w:r>
          </w:p>
          <w:p>
            <w:pPr>
              <w:snapToGrid w:val="0"/>
              <w:spacing w:line="440" w:lineRule="exact"/>
              <w:ind w:firstLineChars="200" w:firstLine="560"/>
              <w:rPr>
                <w:rFonts w:ascii="宋体" w:hAnsi="宋体"/>
                <w:bCs/>
                <w:sz w:val="28"/>
                <w:szCs w:val="28"/>
              </w:rPr>
            </w:pPr>
            <w:r>
              <w:rPr>
                <w:rFonts w:ascii="宋体" w:hAnsi="宋体" w:hint="eastAsia"/>
                <w:bCs/>
                <w:sz w:val="28"/>
                <w:szCs w:val="28"/>
              </w:rPr>
              <w:t>2.新疆区域五彩湾四号露天矿一期项目和二期项目建成后达产达效。</w:t>
            </w:r>
          </w:p>
          <w:p>
            <w:pPr>
              <w:snapToGrid w:val="0"/>
              <w:spacing w:line="440" w:lineRule="exact"/>
              <w:ind w:firstLineChars="200" w:firstLine="560"/>
              <w:rPr>
                <w:rFonts w:ascii="宋体" w:hAnsi="宋体"/>
                <w:bCs/>
                <w:sz w:val="28"/>
                <w:szCs w:val="28"/>
              </w:rPr>
            </w:pPr>
            <w:r>
              <w:rPr>
                <w:rFonts w:ascii="宋体" w:hAnsi="宋体" w:hint="eastAsia"/>
                <w:bCs/>
                <w:sz w:val="28"/>
                <w:szCs w:val="28"/>
              </w:rPr>
              <w:t>3.甘肃区域马福川、毛家川两座煤矿新增产能。</w:t>
            </w:r>
          </w:p>
          <w:p>
            <w:pPr>
              <w:snapToGrid w:val="0"/>
              <w:spacing w:line="440" w:lineRule="exact"/>
              <w:ind w:firstLineChars="200" w:firstLine="560"/>
              <w:rPr>
                <w:rFonts w:ascii="宋体" w:hAnsi="宋体"/>
                <w:bCs/>
                <w:sz w:val="28"/>
                <w:szCs w:val="28"/>
              </w:rPr>
            </w:pPr>
            <w:r>
              <w:rPr>
                <w:rFonts w:ascii="宋体" w:hAnsi="宋体" w:hint="eastAsia"/>
                <w:bCs/>
                <w:sz w:val="28"/>
                <w:szCs w:val="28"/>
              </w:rPr>
              <w:t>此外，公司将持续关注境内外市场优质资产的并购机遇，争取增产提效的外部机会。</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六、兴和钼业（曹四夭钼矿）的基本概况</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兴和钼业（曹四夭钼矿）是公司矿业产业延伸的核心战略项目，该矿拥有丰富的资源储量和较强的成本竞争</w:t>
            </w:r>
            <w:r>
              <w:rPr>
                <w:rFonts w:ascii="宋体" w:hAnsi="宋体" w:hint="eastAsia"/>
                <w:bCs/>
                <w:sz w:val="28"/>
                <w:szCs w:val="28"/>
              </w:rPr>
              <w:lastRenderedPageBreak/>
              <w:t>力，规模化开发优势显著，建成后将成为公司重要利润增长点。</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根据长沙有色冶金设计研究院有限公司编制的可行性研究报告，兴和钼业（曹四夭钼矿）地处内蒙古自治区乌兰察布市兴和县，拥有钼矿石资源量10.4亿吨，金属量108.9万吨，平均品位0.105%，并伴生有钨、锌等金属。设计产能为原矿1650万吨/年，达产年钼精矿产量3.08万吨/年。</w:t>
            </w:r>
          </w:p>
          <w:p>
            <w:pPr>
              <w:snapToGrid w:val="0"/>
              <w:spacing w:line="440" w:lineRule="exact"/>
              <w:ind w:firstLineChars="200" w:firstLine="560"/>
              <w:rPr>
                <w:rFonts w:ascii="宋体" w:hAnsi="宋体"/>
                <w:bCs/>
                <w:sz w:val="28"/>
                <w:szCs w:val="28"/>
              </w:rPr>
            </w:pPr>
            <w:r>
              <w:rPr>
                <w:rFonts w:ascii="宋体" w:hAnsi="宋体" w:hint="eastAsia"/>
                <w:bCs/>
                <w:sz w:val="28"/>
                <w:szCs w:val="28"/>
              </w:rPr>
              <w:t>2026年5月取得国家自然资源部监制的采矿许可证，预计2026年年底前开工建设，建设周期1.5-2年。</w:t>
            </w:r>
          </w:p>
          <w:p>
            <w:pPr>
              <w:snapToGrid w:val="0"/>
              <w:spacing w:line="440" w:lineRule="exact"/>
              <w:ind w:firstLineChars="200" w:firstLine="560"/>
              <w:rPr>
                <w:rFonts w:ascii="宋体" w:hAnsi="宋体" w:hint="eastAsia"/>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七、物泊科技分拆上市基本情况及原因</w:t>
            </w:r>
          </w:p>
          <w:p>
            <w:pPr>
              <w:snapToGrid w:val="0"/>
              <w:spacing w:line="440" w:lineRule="exact"/>
              <w:ind w:firstLineChars="200" w:firstLine="560"/>
              <w:rPr>
                <w:rFonts w:ascii="宋体" w:hAnsi="宋体"/>
                <w:bCs/>
                <w:sz w:val="28"/>
                <w:szCs w:val="28"/>
              </w:rPr>
            </w:pPr>
            <w:r>
              <w:rPr>
                <w:rFonts w:ascii="宋体" w:hAnsi="宋体" w:hint="eastAsia"/>
                <w:bCs/>
                <w:sz w:val="28"/>
                <w:szCs w:val="28"/>
              </w:rPr>
              <w:t>（一）基本情况</w:t>
            </w:r>
          </w:p>
          <w:p>
            <w:pPr>
              <w:snapToGrid w:val="0"/>
              <w:spacing w:line="440" w:lineRule="exact"/>
              <w:ind w:firstLineChars="200" w:firstLine="560"/>
              <w:rPr>
                <w:rFonts w:ascii="宋体" w:hAnsi="宋体"/>
                <w:bCs/>
                <w:sz w:val="28"/>
                <w:szCs w:val="28"/>
              </w:rPr>
            </w:pPr>
            <w:r>
              <w:rPr>
                <w:rFonts w:ascii="宋体" w:hAnsi="宋体" w:hint="eastAsia"/>
                <w:bCs/>
                <w:sz w:val="28"/>
                <w:szCs w:val="28"/>
              </w:rPr>
              <w:t>2024年5月，公司以现金15.5亿元增资物泊科技，获得物泊科技45%股权及6.32%表决权，2024年10月实现并表。物泊科技“实体物流+数智平台”模式实现深度融合，2025年全年运量突破2.4亿吨，成功开拓国际远洋航线，加速布局东南亚等海外市场。</w:t>
            </w:r>
          </w:p>
          <w:p>
            <w:pPr>
              <w:snapToGrid w:val="0"/>
              <w:spacing w:line="440" w:lineRule="exact"/>
              <w:ind w:firstLineChars="200" w:firstLine="560"/>
              <w:rPr>
                <w:rFonts w:ascii="宋体" w:hAnsi="宋体"/>
                <w:bCs/>
                <w:sz w:val="28"/>
                <w:szCs w:val="28"/>
              </w:rPr>
            </w:pPr>
            <w:r>
              <w:rPr>
                <w:rFonts w:ascii="宋体" w:hAnsi="宋体" w:hint="eastAsia"/>
                <w:bCs/>
                <w:sz w:val="28"/>
                <w:szCs w:val="28"/>
              </w:rPr>
              <w:t>兖矿能源拟将物泊科技分拆至香港联交所主板上市，并发行H股。募集资金将主要用于研发技术投入与平台迭代升级、数据中心建设、销售服务网络建设及市场拓展，以及公司运营等用途。</w:t>
            </w:r>
          </w:p>
          <w:p>
            <w:pPr>
              <w:snapToGrid w:val="0"/>
              <w:spacing w:line="440" w:lineRule="exact"/>
              <w:ind w:firstLineChars="200" w:firstLine="560"/>
              <w:rPr>
                <w:rFonts w:ascii="宋体" w:hAnsi="宋体"/>
                <w:bCs/>
                <w:sz w:val="28"/>
                <w:szCs w:val="28"/>
              </w:rPr>
            </w:pPr>
            <w:r>
              <w:rPr>
                <w:rFonts w:ascii="宋体" w:hAnsi="宋体" w:hint="eastAsia"/>
                <w:bCs/>
                <w:sz w:val="28"/>
                <w:szCs w:val="28"/>
              </w:rPr>
              <w:t>（二）上市目的</w:t>
            </w:r>
          </w:p>
          <w:p>
            <w:pPr>
              <w:snapToGrid w:val="0"/>
              <w:spacing w:line="440" w:lineRule="exact"/>
              <w:ind w:firstLineChars="200" w:firstLine="560"/>
              <w:rPr>
                <w:rFonts w:ascii="宋体" w:hAnsi="宋体"/>
                <w:bCs/>
                <w:sz w:val="28"/>
                <w:szCs w:val="28"/>
              </w:rPr>
            </w:pPr>
            <w:r>
              <w:rPr>
                <w:rFonts w:ascii="宋体" w:hAnsi="宋体" w:hint="eastAsia"/>
                <w:bCs/>
                <w:sz w:val="28"/>
                <w:szCs w:val="28"/>
              </w:rPr>
              <w:t>1.借助物泊科技，统筹整合兖矿能源物流资源。</w:t>
            </w:r>
          </w:p>
          <w:p>
            <w:pPr>
              <w:snapToGrid w:val="0"/>
              <w:spacing w:line="440" w:lineRule="exact"/>
              <w:ind w:firstLineChars="200" w:firstLine="560"/>
              <w:rPr>
                <w:rFonts w:ascii="宋体" w:hAnsi="宋体"/>
                <w:bCs/>
                <w:sz w:val="28"/>
                <w:szCs w:val="28"/>
              </w:rPr>
            </w:pPr>
            <w:r>
              <w:rPr>
                <w:rFonts w:ascii="宋体" w:hAnsi="宋体" w:hint="eastAsia"/>
                <w:bCs/>
                <w:sz w:val="28"/>
                <w:szCs w:val="28"/>
              </w:rPr>
              <w:t>2.释放估值潜力，维护公司全体股东的长期利益。</w:t>
            </w:r>
          </w:p>
          <w:p>
            <w:pPr>
              <w:snapToGrid w:val="0"/>
              <w:spacing w:line="440" w:lineRule="exact"/>
              <w:ind w:firstLineChars="200" w:firstLine="560"/>
              <w:rPr>
                <w:rFonts w:ascii="宋体" w:hAnsi="宋体"/>
                <w:bCs/>
                <w:sz w:val="28"/>
                <w:szCs w:val="28"/>
              </w:rPr>
            </w:pPr>
            <w:r>
              <w:rPr>
                <w:rFonts w:ascii="宋体" w:hAnsi="宋体" w:hint="eastAsia"/>
                <w:bCs/>
                <w:sz w:val="28"/>
                <w:szCs w:val="28"/>
              </w:rPr>
              <w:t>3.助推战略转型，促进物泊科技业务长远发展。</w:t>
            </w:r>
          </w:p>
          <w:p>
            <w:pPr>
              <w:snapToGrid w:val="0"/>
              <w:spacing w:line="440" w:lineRule="exact"/>
              <w:ind w:firstLineChars="200" w:firstLine="560"/>
              <w:rPr>
                <w:rFonts w:ascii="宋体" w:hAnsi="宋体"/>
                <w:bCs/>
                <w:sz w:val="28"/>
                <w:szCs w:val="28"/>
              </w:rPr>
            </w:pPr>
            <w:r>
              <w:rPr>
                <w:rFonts w:ascii="宋体" w:hAnsi="宋体" w:hint="eastAsia"/>
                <w:bCs/>
                <w:sz w:val="28"/>
                <w:szCs w:val="28"/>
              </w:rPr>
              <w:t>4.提升规范治理，改进物流板块运营管理水平。</w:t>
            </w:r>
          </w:p>
          <w:p>
            <w:pPr>
              <w:snapToGrid w:val="0"/>
              <w:spacing w:line="440" w:lineRule="exact"/>
              <w:ind w:firstLineChars="200" w:firstLine="560"/>
              <w:rPr>
                <w:rFonts w:ascii="宋体" w:hAnsi="宋体"/>
                <w:bCs/>
                <w:sz w:val="28"/>
                <w:szCs w:val="28"/>
              </w:rPr>
            </w:pPr>
            <w:r>
              <w:rPr>
                <w:rFonts w:ascii="宋体" w:hAnsi="宋体" w:hint="eastAsia"/>
                <w:bCs/>
                <w:sz w:val="28"/>
                <w:szCs w:val="28"/>
              </w:rPr>
              <w:lastRenderedPageBreak/>
              <w:t>5.布局全球网络，推进“通江达海、物流全球”网络布局。</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八、鑫泰公司挂牌转让交易简介，公司对资产处置的看法？</w:t>
            </w:r>
          </w:p>
          <w:p>
            <w:pPr>
              <w:snapToGrid w:val="0"/>
              <w:spacing w:line="440" w:lineRule="exact"/>
              <w:ind w:firstLineChars="200" w:firstLine="560"/>
              <w:rPr>
                <w:rFonts w:ascii="宋体" w:hAnsi="宋体"/>
                <w:bCs/>
                <w:sz w:val="28"/>
                <w:szCs w:val="28"/>
              </w:rPr>
            </w:pPr>
            <w:r>
              <w:rPr>
                <w:rFonts w:ascii="宋体" w:hAnsi="宋体" w:hint="eastAsia"/>
                <w:bCs/>
                <w:sz w:val="28"/>
                <w:szCs w:val="28"/>
              </w:rPr>
              <w:t>兖矿能源出售鑫泰公司，并非单纯的资产处置，而是基于企业高质量发展的战略性、前瞻性决策。交易双方已签订《产权交易合同》，贡献归母净利润约28亿元。</w:t>
            </w:r>
          </w:p>
          <w:p>
            <w:pPr>
              <w:snapToGrid w:val="0"/>
              <w:spacing w:line="440" w:lineRule="exact"/>
              <w:ind w:firstLineChars="200" w:firstLine="560"/>
              <w:rPr>
                <w:rFonts w:ascii="宋体" w:hAnsi="宋体"/>
                <w:bCs/>
                <w:sz w:val="28"/>
                <w:szCs w:val="28"/>
              </w:rPr>
            </w:pPr>
            <w:r>
              <w:rPr>
                <w:rFonts w:ascii="宋体" w:hAnsi="宋体" w:hint="eastAsia"/>
                <w:bCs/>
                <w:sz w:val="28"/>
                <w:szCs w:val="28"/>
              </w:rPr>
              <w:t>一是落实“存量盘活”战略，实现价值最大化。此次转让通过山东产权交易公开竞价，以市场化机制充分激活外部竞争，最终以30.5亿元成交，较6.7亿元的挂牌底价溢价355%，充分挖掘了存量资产价值，实现低效资产的高溢价、高价值变现。</w:t>
            </w:r>
          </w:p>
          <w:p>
            <w:pPr>
              <w:snapToGrid w:val="0"/>
              <w:spacing w:line="440" w:lineRule="exact"/>
              <w:ind w:firstLineChars="200" w:firstLine="560"/>
              <w:rPr>
                <w:rFonts w:ascii="宋体" w:hAnsi="宋体"/>
                <w:bCs/>
                <w:sz w:val="28"/>
                <w:szCs w:val="28"/>
              </w:rPr>
            </w:pPr>
            <w:r>
              <w:rPr>
                <w:rFonts w:ascii="宋体" w:hAnsi="宋体" w:hint="eastAsia"/>
                <w:bCs/>
                <w:sz w:val="28"/>
                <w:szCs w:val="28"/>
              </w:rPr>
              <w:t>二是聚焦大型矿井，实现战略协同。鑫泰公司产能规模、资源储量和盈利能力，与公司“主攻陕蒙”、智能化矿井建设、高端煤化工等战略方向协同性不足，此次出售是企业“有所为有所不为”的战略取舍，也是瘦身健体、提质增效的重要实践。</w:t>
            </w:r>
          </w:p>
          <w:p>
            <w:pPr>
              <w:snapToGrid w:val="0"/>
              <w:spacing w:line="440" w:lineRule="exact"/>
              <w:ind w:firstLineChars="200" w:firstLine="560"/>
              <w:rPr>
                <w:rFonts w:ascii="宋体" w:hAnsi="宋体"/>
                <w:bCs/>
                <w:sz w:val="28"/>
                <w:szCs w:val="28"/>
              </w:rPr>
            </w:pPr>
            <w:r>
              <w:rPr>
                <w:rFonts w:ascii="宋体" w:hAnsi="宋体" w:hint="eastAsia"/>
                <w:bCs/>
                <w:sz w:val="28"/>
                <w:szCs w:val="28"/>
              </w:rPr>
              <w:t>三是优化资源配置，蓄力布局新赛道。此次交易回笼了大额资金，同时释放了管理资源，为公司重新调整资产组合、建设重点项目、抢占新能源赛道等腾出了资金与管理空间，确保将有限资源集中投入核心优势领域。</w:t>
            </w:r>
          </w:p>
          <w:p>
            <w:pPr>
              <w:snapToGrid w:val="0"/>
              <w:spacing w:line="440" w:lineRule="exact"/>
              <w:ind w:firstLineChars="200" w:firstLine="560"/>
              <w:rPr>
                <w:rFonts w:ascii="宋体" w:hAnsi="宋体"/>
                <w:bCs/>
                <w:sz w:val="28"/>
                <w:szCs w:val="28"/>
              </w:rPr>
            </w:pPr>
            <w:r>
              <w:rPr>
                <w:rFonts w:ascii="宋体" w:hAnsi="宋体" w:hint="eastAsia"/>
                <w:bCs/>
                <w:sz w:val="28"/>
                <w:szCs w:val="28"/>
              </w:rPr>
              <w:t>“十五五”期间，公司将继续围绕存量优化工作，并通过市场化转让、升级改造、资产重组、精益盘活等多元方式，持续激活存量资产价值，不断优化产业布局与资产结构，推动公司更高质量发展。</w:t>
            </w:r>
          </w:p>
          <w:p>
            <w:pPr>
              <w:snapToGrid w:val="0"/>
              <w:spacing w:line="440" w:lineRule="exact"/>
              <w:ind w:firstLineChars="200" w:firstLine="560"/>
              <w:rPr>
                <w:rFonts w:ascii="宋体" w:hAnsi="宋体"/>
                <w:bCs/>
                <w:sz w:val="28"/>
                <w:szCs w:val="28"/>
              </w:rPr>
            </w:pPr>
          </w:p>
          <w:p>
            <w:pPr>
              <w:snapToGrid w:val="0"/>
              <w:spacing w:line="440" w:lineRule="exact"/>
              <w:ind w:left="567"/>
              <w:rPr>
                <w:rFonts w:ascii="宋体" w:hAnsi="宋体" w:hint="eastAsia"/>
                <w:bCs/>
                <w:sz w:val="28"/>
                <w:szCs w:val="28"/>
              </w:rPr>
            </w:pPr>
            <w:r>
              <w:rPr>
                <w:rFonts w:ascii="宋体" w:hAnsi="宋体" w:hint="eastAsia"/>
                <w:bCs/>
                <w:sz w:val="28"/>
                <w:szCs w:val="28"/>
              </w:rPr>
              <w:t>九、</w:t>
            </w:r>
            <w:r>
              <w:rPr>
                <w:rFonts w:ascii="宋体" w:hAnsi="宋体" w:hint="eastAsia"/>
                <w:bCs/>
                <w:sz w:val="28"/>
                <w:szCs w:val="28"/>
              </w:rPr>
              <w:t>双碳战略背景下，公司继续加大煤矿建设的战略考量</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在能源转型的背景下，公司持续进行矿井建设投入，并非简单追求规模扩张，而是顺应国家能源安全战略、产</w:t>
            </w:r>
            <w:r>
              <w:rPr>
                <w:rFonts w:ascii="宋体" w:hAnsi="宋体" w:hint="eastAsia"/>
                <w:bCs/>
                <w:sz w:val="28"/>
                <w:szCs w:val="28"/>
              </w:rPr>
              <w:lastRenderedPageBreak/>
              <w:t>能结构迭代、下游多元需求及公司自身战略等多重因素综合考量后做出的理性决策。具体原因如下：</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（一）煤炭作为国家能源安全“压舱石”定位未变，煤炭长期需求有保证。</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当前火电发电量占比回落，是新能源替代带来结构占比变化，不代表煤炭需求量的萎缩。近10年来，全国煤炭消费量总体呈增长态势，主要是由于经济发展带来的能源总需求增长，以及风光等新能源具有间歇性、波动性特征，需要依靠煤电等稳定能源的发展作为保障。</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根据《煤炭工业发展“十五五”规划》，煤炭消费将在2030年实现达峰，“十五五”时期煤炭产业仍有较大发展空间。煤炭消费达峰并不意味着需求的断崖式下降，而是进入一个长周期的平稳平台期，在能源供应体系中发挥着重要基础保障和系统调节作用。</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国内第三产业与居民用电仍有提升空间，总电力需求仍有增长潜力，进而巩固动力煤的需求。规划明确提出推动煤炭向燃料和原料并重转变。化工原料用煤、冶金用煤将支持刚性需求，煤基新材料的发展将持续带来需求增量。</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（二）把握行业机遇，布局先进产能抢占战略优势，践行公司长期发展战略。</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在全球及国内供给增量相对有限，优质煤炭资源的稀缺性正日益凸显的背景下，《煤炭工业发展“十五五”规划》给出的思路是推动落后无效产能有序退出，同时积极发展优质先进产能。持续推进山西、蒙西、蒙东、陕北、新疆五大煤炭供应保障基地建设，高标准规划建设一批大型现代化煤矿。2030年大型现代化煤矿产能占比提升至87%，推动灾害严重、资源枯竭中小煤矿有序退出，扎实推进产能储备制度实施，保障煤炭接续开发。</w:t>
            </w:r>
          </w:p>
          <w:p>
            <w:pPr>
              <w:snapToGrid w:val="0"/>
              <w:spacing w:line="440" w:lineRule="exact"/>
              <w:ind w:firstLineChars="200" w:firstLine="560"/>
              <w:rPr>
                <w:rFonts w:ascii="宋体" w:hAnsi="宋体"/>
                <w:bCs/>
                <w:sz w:val="28"/>
                <w:szCs w:val="28"/>
              </w:rPr>
            </w:pPr>
            <w:r>
              <w:rPr>
                <w:rFonts w:ascii="宋体" w:hAnsi="宋体" w:hint="eastAsia"/>
                <w:bCs/>
                <w:sz w:val="28"/>
                <w:szCs w:val="28"/>
              </w:rPr>
              <w:t>公司的战略布局与规划高度契合。公司2021年制定的《发展战略纲要》中提出：力争5-10年煤炭产量规模达到3亿吨/年。近年来，公司通过资产注入和新建矿井双轮驱动，持续推进该战略落地，有序释放产能。公司在</w:t>
            </w:r>
            <w:r>
              <w:rPr>
                <w:rFonts w:ascii="宋体" w:hAnsi="宋体" w:hint="eastAsia"/>
                <w:bCs/>
                <w:sz w:val="28"/>
                <w:szCs w:val="28"/>
              </w:rPr>
              <w:lastRenderedPageBreak/>
              <w:t>建、规划矿井全部为安全、绿色、智能、高效“四型矿井”，位于或临近国家五大煤炭供应保障基地。未来五年内，兖矿能源将按照“投产一批、在建一批、拟建一批”梯次布局，落地一批优质高效增量项目，进一步提高先进产能占比。</w:t>
            </w:r>
          </w:p>
          <w:p>
            <w:pPr>
              <w:snapToGrid w:val="0"/>
              <w:spacing w:line="440" w:lineRule="exact"/>
              <w:ind w:firstLineChars="200" w:firstLine="560"/>
              <w:rPr>
                <w:rFonts w:ascii="宋体" w:hAnsi="宋体"/>
                <w:bCs/>
                <w:sz w:val="28"/>
                <w:szCs w:val="28"/>
              </w:rPr>
            </w:pPr>
          </w:p>
          <w:p>
            <w:pPr>
              <w:snapToGrid w:val="0"/>
              <w:spacing w:line="440" w:lineRule="exact"/>
              <w:ind w:left="567"/>
              <w:rPr>
                <w:rFonts w:ascii="宋体" w:hAnsi="宋体"/>
                <w:bCs/>
                <w:sz w:val="28"/>
                <w:szCs w:val="28"/>
              </w:rPr>
            </w:pPr>
            <w:r>
              <w:rPr>
                <w:rFonts w:ascii="宋体" w:hAnsi="宋体" w:hint="eastAsia"/>
                <w:bCs/>
                <w:sz w:val="28"/>
                <w:szCs w:val="28"/>
              </w:rPr>
              <w:t>十、兖煤澳洲销售合同定价机制？</w:t>
            </w:r>
          </w:p>
          <w:p>
            <w:pPr>
              <w:snapToGrid w:val="0"/>
              <w:spacing w:line="440" w:lineRule="exact"/>
              <w:ind w:firstLineChars="200" w:firstLine="560"/>
              <w:rPr>
                <w:rFonts w:ascii="宋体" w:hAnsi="宋体"/>
                <w:bCs/>
                <w:sz w:val="28"/>
                <w:szCs w:val="28"/>
              </w:rPr>
            </w:pPr>
            <w:r>
              <w:rPr>
                <w:rFonts w:ascii="宋体" w:hAnsi="宋体" w:hint="eastAsia"/>
                <w:bCs/>
                <w:sz w:val="28"/>
                <w:szCs w:val="28"/>
              </w:rPr>
              <w:t>出口动力煤一般按指数价格或年度固定价格定价。一般而言，较低灰分产品根据纽卡斯尔指数定价，而较高灰分产品则根据API5动力煤指数定价。年度固定价格合约主要根据日本电厂基准价格定价，该参考价格为澳大利亚主要供货商与日本电力公司的合约价格。其余销售按交易当日相对于市场的现货价格定价，大多为固定价格。在此期间，延迟的合约交付会导致实际价格较基准现货价格出现“滞后效应”。</w:t>
            </w:r>
          </w:p>
          <w:p>
            <w:pPr>
              <w:snapToGrid w:val="0"/>
              <w:spacing w:line="440" w:lineRule="exact"/>
              <w:ind w:firstLineChars="200" w:firstLine="560"/>
              <w:rPr>
                <w:rFonts w:ascii="宋体" w:hAnsi="宋体"/>
                <w:bCs/>
                <w:sz w:val="28"/>
                <w:szCs w:val="28"/>
              </w:rPr>
            </w:pPr>
            <w:r>
              <w:rPr>
                <w:rFonts w:ascii="宋体" w:hAnsi="宋体" w:hint="eastAsia"/>
                <w:bCs/>
                <w:sz w:val="28"/>
                <w:szCs w:val="28"/>
              </w:rPr>
              <w:t>出口冶金煤按基准价或现货价格基准定价。大部分定期合约按照澳大利亚主要供货商与日本钢铁厂按季度价格基准协商的定价机制定价。现货销售按当日的市场价（普氏指数）定价。</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十一、兖煤澳洲煤炭主要销往哪些国家和地区？</w:t>
            </w:r>
          </w:p>
          <w:p>
            <w:pPr>
              <w:snapToGrid w:val="0"/>
              <w:spacing w:line="440" w:lineRule="exact"/>
              <w:ind w:firstLineChars="200" w:firstLine="560"/>
              <w:rPr>
                <w:rFonts w:ascii="宋体" w:hAnsi="宋体"/>
                <w:bCs/>
                <w:sz w:val="28"/>
                <w:szCs w:val="28"/>
              </w:rPr>
            </w:pPr>
            <w:r>
              <w:rPr>
                <w:rFonts w:ascii="宋体" w:hAnsi="宋体" w:hint="eastAsia"/>
                <w:bCs/>
                <w:sz w:val="28"/>
                <w:szCs w:val="28"/>
              </w:rPr>
              <w:t>兖煤澳洲的煤炭主要销往中国、日本、韩国、泰国等市场。</w:t>
            </w:r>
          </w:p>
          <w:p>
            <w:pPr>
              <w:snapToGrid w:val="0"/>
              <w:spacing w:line="440" w:lineRule="exact"/>
              <w:ind w:firstLineChars="200" w:firstLine="560"/>
              <w:rPr>
                <w:rFonts w:ascii="宋体" w:hAnsi="宋体"/>
                <w:bCs/>
                <w:sz w:val="28"/>
                <w:szCs w:val="28"/>
              </w:rPr>
            </w:pP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十二</w:t>
            </w:r>
            <w:r>
              <w:rPr>
                <w:rFonts w:ascii="宋体" w:hAnsi="宋体" w:hint="eastAsia"/>
                <w:bCs/>
                <w:sz w:val="28"/>
                <w:szCs w:val="28"/>
              </w:rPr>
              <w:t>、红隼煤矿收购基本情况</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兖煤澳大利亚有限公司（“兖煤澳洲”）收购红隼煤炭集团有限公司100%权益，间接取得红隼煤矿80%权益，交易对价上限为24亿美元，包括18.5亿美元首付现金对价及最高不超过5.5亿美元的或有现金对价。其中，或有</w:t>
            </w:r>
            <w:r>
              <w:rPr>
                <w:rFonts w:ascii="宋体" w:hAnsi="宋体" w:hint="eastAsia"/>
                <w:bCs/>
                <w:sz w:val="28"/>
                <w:szCs w:val="28"/>
              </w:rPr>
              <w:lastRenderedPageBreak/>
              <w:t>对价的触发条件与红隼煤矿的经营业绩直接挂钩，若触发或有对价，则表明红隼煤矿在规定期间内的实际售价超过了约定的门槛价格。在这种情况下，卖方、兖煤澳洲以及兖煤澳洲的股东将按约定比例分享超过门槛价格部分所产生的销售收入。</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红隼煤矿是澳大利亚最大的在产井工煤矿之一，主产优质硬焦煤（约占80%），辅以半软焦煤与动力煤，主要销往日本、韩国、印度及东南亚等亚洲钢铁企业市场。</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红隼煤矿在澳大利亚所有在产井工冶金煤矿中煤炭产量、生产效率和资源储量分别位居第一名、第二名、第三名。近年原煤产量600万-810万吨/年，2025年原煤产量约810万吨、商品煤约590万吨，2026年预计商品煤产量约600万吨；JORC规范下可销售储量1.64亿吨、资源量4.06亿吨（100%权益口径），矿山服务年限约25年，并具备进一步延长的潜力。</w:t>
            </w:r>
          </w:p>
          <w:p>
            <w:pPr>
              <w:snapToGrid w:val="0"/>
              <w:spacing w:line="440" w:lineRule="exact"/>
              <w:ind w:firstLineChars="200" w:firstLine="560"/>
              <w:rPr>
                <w:rFonts w:ascii="宋体" w:hAnsi="宋体" w:hint="eastAsia"/>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十三、收购新能源集团完成后，对公司影响？</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公司将取得新能源集团100%股权和山能售电100%股权，标的公司将纳入上市公司合并财务报表范围。</w:t>
            </w:r>
          </w:p>
          <w:p>
            <w:pPr>
              <w:snapToGrid w:val="0"/>
              <w:spacing w:line="440" w:lineRule="exact"/>
              <w:ind w:firstLineChars="200" w:firstLine="560"/>
              <w:rPr>
                <w:rFonts w:ascii="宋体" w:hAnsi="宋体" w:hint="eastAsia"/>
                <w:bCs/>
                <w:sz w:val="28"/>
                <w:szCs w:val="28"/>
              </w:rPr>
            </w:pPr>
            <w:r>
              <w:rPr>
                <w:rFonts w:ascii="宋体" w:hAnsi="宋体" w:hint="eastAsia"/>
                <w:bCs/>
                <w:sz w:val="28"/>
                <w:szCs w:val="28"/>
              </w:rPr>
              <w:t>近年来，公司持续推进传统能源与新能源协同融合、高质量发展。本次交易旨在通过注入优质电力资产，快速壮大电力业务规模，育强新兴产业，同时切实减少公司与控股股东在电力业务板块的同业竞争，进一步规范公司治理。</w:t>
            </w:r>
          </w:p>
          <w:p>
            <w:pPr>
              <w:snapToGrid w:val="0"/>
              <w:spacing w:line="440" w:lineRule="exact"/>
              <w:ind w:firstLineChars="200" w:firstLine="560"/>
              <w:rPr>
                <w:rFonts w:ascii="宋体" w:hAnsi="宋体"/>
                <w:bCs/>
                <w:sz w:val="28"/>
                <w:szCs w:val="28"/>
              </w:rPr>
            </w:pPr>
            <w:r>
              <w:rPr>
                <w:rFonts w:ascii="宋体" w:hAnsi="宋体" w:hint="eastAsia"/>
                <w:bCs/>
                <w:sz w:val="28"/>
                <w:szCs w:val="28"/>
              </w:rPr>
              <w:t>本次收购兼具传统产业提质与新兴产业赋能的双重价值。其中，火电资产经营效益稳定、业绩贡献度高，是本次拟收购资产的核心组成部分。通过纳入优质火电资产，公司可深度构建煤电一体化经营格局，依托自有火电产能稳定消纳自产煤炭，有效对冲煤炭行业周期性波动，显著增强盈利能力与抗风险能力，稳固经营基本盘。风电、光</w:t>
            </w:r>
            <w:r>
              <w:rPr>
                <w:rFonts w:ascii="宋体" w:hAnsi="宋体" w:hint="eastAsia"/>
                <w:bCs/>
                <w:sz w:val="28"/>
                <w:szCs w:val="28"/>
              </w:rPr>
              <w:lastRenderedPageBreak/>
              <w:t>伏及储能资产的注入，是公司积极响应国家“双碳”战略部署、把握能源结构调整机遇、落实新能源产业“战略优先、加快发展”目标的关键举措。通过本次收购，公司可有效扩容新能源资产规模，提速清洁能源产业布局，推动绿色低碳转型。配套收购的售电业务，可打通发、售、用全产业链，为电厂提供灵活的风险对冲工具，形成一体化协同运营模式，强化全链条竞争优势。本次交易完成后，公司将实现传统能源提质增效、新能源提速增量的良性发展格局，全面提升综合盈利能力与核心竞争力。</w:t>
            </w:r>
          </w:p>
          <w:p>
            <w:pPr>
              <w:snapToGrid w:val="0"/>
              <w:spacing w:line="440" w:lineRule="exact"/>
              <w:ind w:firstLineChars="200" w:firstLine="560"/>
              <w:rPr>
                <w:rFonts w:ascii="宋体" w:hAnsi="宋体" w:hint="eastAsia"/>
                <w:bCs/>
                <w:sz w:val="28"/>
                <w:szCs w:val="28"/>
              </w:rPr>
            </w:pPr>
          </w:p>
          <w:p>
            <w:pPr>
              <w:snapToGrid w:val="0"/>
              <w:spacing w:line="440" w:lineRule="exact"/>
              <w:ind w:firstLineChars="200" w:firstLine="560"/>
              <w:rPr>
                <w:rFonts w:ascii="宋体" w:hAnsi="宋体"/>
                <w:bCs/>
                <w:sz w:val="28"/>
                <w:szCs w:val="28"/>
              </w:rPr>
            </w:pPr>
            <w:r>
              <w:rPr>
                <w:rFonts w:ascii="宋体" w:hAnsi="宋体" w:hint="eastAsia"/>
                <w:bCs/>
                <w:sz w:val="28"/>
                <w:szCs w:val="28"/>
              </w:rPr>
              <w:t>十四、收购新能源集团是否设置业绩对赌？</w:t>
            </w:r>
          </w:p>
          <w:p>
            <w:pPr>
              <w:snapToGrid w:val="0"/>
              <w:spacing w:line="440" w:lineRule="exact"/>
              <w:ind w:firstLineChars="200" w:firstLine="560"/>
              <w:rPr>
                <w:rFonts w:ascii="宋体" w:hAnsi="宋体"/>
                <w:bCs/>
                <w:sz w:val="28"/>
                <w:szCs w:val="28"/>
              </w:rPr>
            </w:pPr>
            <w:r>
              <w:rPr>
                <w:rFonts w:ascii="宋体" w:hAnsi="宋体" w:hint="eastAsia"/>
                <w:bCs/>
                <w:sz w:val="28"/>
                <w:szCs w:val="28"/>
              </w:rPr>
              <w:t>基于对新能源集团未来发展前景的信心，参考经有权国资监管部门备案的《新能源集团资产评估报告》，山能集团、兖矿香港同意作出如下承诺（“本承诺函”）：</w:t>
            </w:r>
          </w:p>
          <w:p>
            <w:pPr>
              <w:snapToGrid w:val="0"/>
              <w:spacing w:line="440" w:lineRule="exact"/>
              <w:ind w:firstLineChars="200" w:firstLine="560"/>
              <w:rPr>
                <w:rFonts w:ascii="宋体" w:hAnsi="宋体"/>
                <w:bCs/>
                <w:sz w:val="28"/>
                <w:szCs w:val="28"/>
              </w:rPr>
            </w:pPr>
            <w:r>
              <w:rPr>
                <w:rFonts w:ascii="宋体" w:hAnsi="宋体" w:hint="eastAsia"/>
                <w:bCs/>
                <w:sz w:val="28"/>
                <w:szCs w:val="28"/>
              </w:rPr>
              <w:t>1.2026 年度、2027 年度、2028 年度（“承诺期”），按中国企业会计准则计算，新能源集团对应的经审计的扣除非经常性损益后归属于母公司股东的净利润（“净利润”）承诺期累计不低于人民币305,860.36 万元（“承诺期累计承诺净利润”）。</w:t>
            </w:r>
          </w:p>
          <w:p>
            <w:pPr>
              <w:snapToGrid w:val="0"/>
              <w:spacing w:line="440" w:lineRule="exact"/>
              <w:ind w:firstLineChars="200" w:firstLine="560"/>
              <w:rPr>
                <w:rFonts w:ascii="宋体" w:hAnsi="宋体"/>
                <w:bCs/>
                <w:sz w:val="28"/>
                <w:szCs w:val="28"/>
              </w:rPr>
            </w:pPr>
            <w:r>
              <w:rPr>
                <w:rFonts w:ascii="宋体" w:hAnsi="宋体" w:hint="eastAsia"/>
                <w:bCs/>
                <w:sz w:val="28"/>
                <w:szCs w:val="28"/>
              </w:rPr>
              <w:t>承诺期满后，转让方应以转让价款为上限，以调整并反映承诺期末估值为目的，以现金方式向兖矿能源予以支付相关款项，本承诺函项下总支付金额为按照以下两种方式计算金额孰高者：</w:t>
            </w:r>
          </w:p>
          <w:p>
            <w:pPr>
              <w:snapToGrid w:val="0"/>
              <w:spacing w:line="440" w:lineRule="exact"/>
              <w:ind w:firstLineChars="200" w:firstLine="560"/>
              <w:rPr>
                <w:rFonts w:ascii="宋体" w:hAnsi="宋体"/>
                <w:bCs/>
                <w:sz w:val="28"/>
                <w:szCs w:val="28"/>
              </w:rPr>
            </w:pPr>
            <w:r>
              <w:rPr>
                <w:rFonts w:ascii="宋体" w:hAnsi="宋体" w:hint="eastAsia"/>
                <w:bCs/>
                <w:sz w:val="28"/>
                <w:szCs w:val="28"/>
              </w:rPr>
              <w:t>（1）净利润差额=承诺期累计承诺净利润-承诺期累计实现净利润；或者</w:t>
            </w:r>
          </w:p>
          <w:p>
            <w:pPr>
              <w:snapToGrid w:val="0"/>
              <w:spacing w:line="440" w:lineRule="exact"/>
              <w:ind w:firstLineChars="200" w:firstLine="560"/>
              <w:rPr>
                <w:rFonts w:ascii="宋体" w:hAnsi="宋体"/>
                <w:bCs/>
                <w:sz w:val="28"/>
                <w:szCs w:val="28"/>
              </w:rPr>
            </w:pPr>
            <w:r>
              <w:rPr>
                <w:rFonts w:ascii="宋体" w:hAnsi="宋体" w:hint="eastAsia"/>
                <w:bCs/>
                <w:sz w:val="28"/>
                <w:szCs w:val="28"/>
              </w:rPr>
              <w:t>（2）评估值差额=本次交易评估值-承诺期末评估值。</w:t>
            </w:r>
          </w:p>
          <w:p>
            <w:pPr>
              <w:spacing w:line="520" w:lineRule="exact"/>
              <w:rPr>
                <w:rFonts w:ascii="宋体" w:hAnsi="宋体"/>
                <w:sz w:val="28"/>
                <w:szCs w:val="28"/>
              </w:rPr>
            </w:pPr>
          </w:p>
          <w:p>
            <w:pPr>
              <w:spacing w:line="520" w:lineRule="exact"/>
              <w:ind w:firstLineChars="200" w:firstLine="560"/>
              <w:rPr>
                <w:rFonts w:ascii="宋体" w:hAnsi="宋体" w:hint="eastAsia"/>
                <w:sz w:val="28"/>
                <w:szCs w:val="28"/>
              </w:rPr>
            </w:pPr>
            <w:r>
              <w:rPr>
                <w:rFonts w:ascii="宋体" w:hAnsi="宋体" w:hint="eastAsia"/>
                <w:sz w:val="28"/>
                <w:szCs w:val="28"/>
              </w:rPr>
              <w:t>十五</w:t>
            </w:r>
            <w:r>
              <w:rPr>
                <w:rFonts w:ascii="宋体" w:hAnsi="宋体" w:hint="eastAsia"/>
                <w:sz w:val="28"/>
                <w:szCs w:val="28"/>
              </w:rPr>
              <w:t>、公司回购、控股股东增持的实施进展？</w:t>
            </w:r>
          </w:p>
          <w:p>
            <w:pPr>
              <w:spacing w:line="520" w:lineRule="exact"/>
              <w:ind w:firstLineChars="200" w:firstLine="560"/>
              <w:rPr>
                <w:rFonts w:ascii="宋体" w:hAnsi="宋体" w:hint="eastAsia"/>
                <w:sz w:val="28"/>
                <w:szCs w:val="28"/>
              </w:rPr>
            </w:pPr>
            <w:r>
              <w:rPr>
                <w:rFonts w:ascii="宋体" w:hAnsi="宋体" w:hint="eastAsia"/>
                <w:sz w:val="28"/>
                <w:szCs w:val="28"/>
              </w:rPr>
              <w:lastRenderedPageBreak/>
              <w:t>（一）公司回购</w:t>
            </w:r>
          </w:p>
          <w:p>
            <w:pPr>
              <w:spacing w:line="520" w:lineRule="exact"/>
              <w:ind w:firstLineChars="200" w:firstLine="560"/>
              <w:rPr>
                <w:rFonts w:ascii="宋体" w:hAnsi="宋体" w:hint="eastAsia"/>
                <w:sz w:val="28"/>
                <w:szCs w:val="28"/>
              </w:rPr>
            </w:pPr>
            <w:r>
              <w:rPr>
                <w:rFonts w:ascii="宋体" w:hAnsi="宋体" w:hint="eastAsia"/>
                <w:sz w:val="28"/>
                <w:szCs w:val="28"/>
              </w:rPr>
              <w:t>为多元化提高股东回报，实现与投资者共享价值增长，公司多次实施股份回购，合计6037万股，其中：2026年，公司通过集中竞价交易方式回购公司A股股份196.52万股，回购金额5093万元，完成了最近一期的A股回购计划。</w:t>
            </w:r>
          </w:p>
          <w:p>
            <w:pPr>
              <w:spacing w:line="520" w:lineRule="exact"/>
              <w:ind w:firstLineChars="200" w:firstLine="560"/>
              <w:rPr>
                <w:rFonts w:ascii="宋体" w:hAnsi="宋体" w:hint="eastAsia"/>
                <w:sz w:val="28"/>
                <w:szCs w:val="28"/>
              </w:rPr>
            </w:pPr>
            <w:r>
              <w:rPr>
                <w:rFonts w:ascii="宋体" w:hAnsi="宋体" w:hint="eastAsia"/>
                <w:sz w:val="28"/>
                <w:szCs w:val="28"/>
              </w:rPr>
              <w:t>（二）控股股东增持</w:t>
            </w:r>
          </w:p>
          <w:p>
            <w:pPr>
              <w:spacing w:line="520" w:lineRule="exact"/>
              <w:ind w:firstLineChars="200" w:firstLine="560"/>
              <w:rPr>
                <w:rFonts w:ascii="宋体" w:hAnsi="宋体" w:hint="eastAsia"/>
                <w:sz w:val="28"/>
                <w:szCs w:val="28"/>
              </w:rPr>
            </w:pPr>
            <w:r>
              <w:rPr>
                <w:rFonts w:ascii="宋体" w:hAnsi="宋体" w:hint="eastAsia"/>
                <w:sz w:val="28"/>
                <w:szCs w:val="28"/>
              </w:rPr>
              <w:t>山能集团始终看好公司的投资价值，多次增持公司股份累计达4.84亿股，并公开承诺不主动减持兖矿能源股份。</w:t>
            </w:r>
          </w:p>
          <w:p>
            <w:pPr>
              <w:spacing w:line="520" w:lineRule="exact"/>
              <w:ind w:firstLineChars="200" w:firstLine="560"/>
              <w:rPr>
                <w:rFonts w:ascii="宋体" w:hAnsi="宋体"/>
                <w:sz w:val="28"/>
                <w:szCs w:val="28"/>
              </w:rPr>
            </w:pPr>
            <w:r>
              <w:rPr>
                <w:rFonts w:ascii="宋体" w:hAnsi="宋体" w:hint="eastAsia"/>
                <w:sz w:val="28"/>
                <w:szCs w:val="28"/>
              </w:rPr>
              <w:t>2026年7月，山能集团以集中竞价方式增持公司A股股份99.78万股，增持金额2023万元。山能集团承诺将综合市场情况、资金安排及操作窗口等各方面因素，于2027年3月26日前，完成累计增持1-2亿元A股股份的增持计划。</w:t>
            </w:r>
          </w:p>
          <w:p>
            <w:pPr>
              <w:spacing w:line="520" w:lineRule="exact"/>
              <w:ind w:firstLineChars="200" w:firstLine="560"/>
              <w:rPr>
                <w:rFonts w:ascii="宋体" w:hAnsi="宋体"/>
                <w:sz w:val="28"/>
                <w:szCs w:val="28"/>
              </w:rPr>
            </w:pPr>
          </w:p>
          <w:p>
            <w:pPr>
              <w:spacing w:line="520" w:lineRule="exact"/>
              <w:ind w:firstLineChars="200" w:firstLine="560"/>
              <w:rPr>
                <w:rFonts w:ascii="宋体" w:hAnsi="宋体"/>
                <w:sz w:val="28"/>
                <w:szCs w:val="28"/>
              </w:rPr>
            </w:pPr>
            <w:r>
              <w:rPr>
                <w:rFonts w:ascii="宋体" w:hAnsi="宋体" w:hint="eastAsia"/>
                <w:sz w:val="28"/>
                <w:szCs w:val="28"/>
              </w:rPr>
              <w:t>十六、公司未来资金使用规划？</w:t>
            </w:r>
          </w:p>
          <w:p>
            <w:pPr>
              <w:spacing w:line="520" w:lineRule="exact"/>
              <w:ind w:firstLineChars="200" w:firstLine="560"/>
              <w:rPr>
                <w:rFonts w:ascii="宋体" w:hAnsi="宋体"/>
                <w:sz w:val="28"/>
                <w:szCs w:val="28"/>
              </w:rPr>
            </w:pPr>
            <w:r>
              <w:rPr>
                <w:rFonts w:ascii="宋体" w:hAnsi="宋体" w:hint="eastAsia"/>
                <w:sz w:val="28"/>
                <w:szCs w:val="28"/>
              </w:rPr>
              <w:t>在保障正常生产经营所需资金支出的前提下，按照当前利润分配政策兑现现金分红，之后会根据资金状况考虑项目建设及收购兼并等战略性投资以需求，同时通过各种合理渠道控制资产负债率。</w:t>
            </w:r>
          </w:p>
        </w:tc>
      </w:tr>
    </w:tbl>
    <w:p/>
    <w:sectPr>
      <w:footerReference w:type="even" r:id="rId7"/>
      <w:footerReference w:type="default" r:id="rId8"/>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TBiaoSongSJ">
    <w:panose1 w:val="00000000000000000000"/>
    <w:charset w:val="86"/>
    <w:family w:val="auto"/>
    <w:pitch w:val="variable"/>
    <w:sig w:usb0="00000201" w:usb1="080F0000" w:usb2="00000010" w:usb3="00000000" w:csb0="00160004"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2</w:t>
    </w:r>
    <w:r>
      <w:rPr>
        <w:rStyle w:val="a9"/>
      </w:rPr>
      <w:fldChar w:fldCharType="end"/>
    </w:r>
  </w:p>
  <w:p>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1</w:t>
    </w:r>
    <w:r>
      <w:rPr>
        <w:rStyle w:val="a9"/>
      </w:rPr>
      <w:fldChar w:fldCharType="end"/>
    </w:r>
  </w:p>
  <w:p>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1032B"/>
    <w:multiLevelType w:val="hybridMultilevel"/>
    <w:tmpl w:val="AFB0A1BE"/>
    <w:lvl w:ilvl="0" w:tplc="E8DCDC72">
      <w:start w:val="1"/>
      <w:numFmt w:val="chineseCountingThousand"/>
      <w:suff w:val="nothing"/>
      <w:lvlText w:val="%1、"/>
      <w:lvlJc w:val="left"/>
      <w:pPr>
        <w:ind w:left="987" w:hanging="420"/>
      </w:pPr>
      <w:rPr>
        <w:rFonts w:hint="eastAsia"/>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 w15:restartNumberingAfterBreak="0">
    <w:nsid w:val="736C469E"/>
    <w:multiLevelType w:val="hybridMultilevel"/>
    <w:tmpl w:val="1EC4CB1E"/>
    <w:lvl w:ilvl="0" w:tplc="A9628EEA">
      <w:start w:val="1"/>
      <w:numFmt w:val="decimal"/>
      <w:suff w:val="nothing"/>
      <w:lvlText w:val="%1"/>
      <w:lvlJc w:val="center"/>
      <w:pPr>
        <w:ind w:left="1129" w:hanging="420"/>
      </w:pPr>
      <w:rPr>
        <w:rFonts w:eastAsia="宋体" w:hint="eastAsia"/>
        <w:spacing w:val="0"/>
        <w:position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 w15:restartNumberingAfterBreak="0">
    <w:nsid w:val="76EA417F"/>
    <w:multiLevelType w:val="hybridMultilevel"/>
    <w:tmpl w:val="F73071D6"/>
    <w:lvl w:ilvl="0" w:tplc="F2880CA2">
      <w:start w:val="1"/>
      <w:numFmt w:val="chineseCountingThousand"/>
      <w:suff w:val="nothing"/>
      <w:lvlText w:val="%1、"/>
      <w:lvlJc w:val="left"/>
      <w:pPr>
        <w:ind w:left="0" w:firstLine="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816534179">
    <w:abstractNumId w:val="1"/>
  </w:num>
  <w:num w:numId="2" w16cid:durableId="260144969">
    <w:abstractNumId w:val="2"/>
  </w:num>
  <w:num w:numId="3" w16cid:durableId="1368019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BmZWRlMmNlOTUzMDE2NWRlY2Y1YjE4ZTA3ZmJkOWQifQ=="/>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5:chartTrackingRefBased/>
  <w15:docId w15:val="{DE659FAD-52C0-4C01-92FE-629A99E8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lang w:val="zh-CN"/>
    </w:rPr>
  </w:style>
  <w:style w:type="character" w:customStyle="1" w:styleId="a4">
    <w:name w:val="批注框文本 字符"/>
    <w:link w:val="a3"/>
    <w:qFormat/>
    <w:rPr>
      <w:kern w:val="2"/>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lang w:val="zh-CN"/>
    </w:rPr>
  </w:style>
  <w:style w:type="character" w:customStyle="1" w:styleId="a7">
    <w:name w:val="页眉 字符"/>
    <w:link w:val="a6"/>
    <w:qFormat/>
    <w:rPr>
      <w:kern w:val="2"/>
      <w:sz w:val="18"/>
      <w:szCs w:val="18"/>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qFormat/>
  </w:style>
  <w:style w:type="paragraph" w:styleId="aa">
    <w:name w:val="List Paragraph"/>
    <w:basedOn w:val="a"/>
    <w:link w:val="ab"/>
    <w:uiPriority w:val="34"/>
    <w:qFormat/>
    <w:pPr>
      <w:ind w:firstLineChars="200" w:firstLine="420"/>
    </w:pPr>
  </w:style>
  <w:style w:type="character" w:customStyle="1" w:styleId="ab">
    <w:name w:val="列表段落 字符"/>
    <w:basedOn w:val="a0"/>
    <w:link w:val="aa"/>
    <w:uiPriority w:val="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7324">
      <w:bodyDiv w:val="1"/>
      <w:marLeft w:val="0"/>
      <w:marRight w:val="0"/>
      <w:marTop w:val="0"/>
      <w:marBottom w:val="0"/>
      <w:divBdr>
        <w:top w:val="none" w:sz="0" w:space="0" w:color="auto"/>
        <w:left w:val="none" w:sz="0" w:space="0" w:color="auto"/>
        <w:bottom w:val="none" w:sz="0" w:space="0" w:color="auto"/>
        <w:right w:val="none" w:sz="0" w:space="0" w:color="auto"/>
      </w:divBdr>
    </w:div>
    <w:div w:id="1234658500">
      <w:bodyDiv w:val="1"/>
      <w:marLeft w:val="0"/>
      <w:marRight w:val="0"/>
      <w:marTop w:val="0"/>
      <w:marBottom w:val="0"/>
      <w:divBdr>
        <w:top w:val="none" w:sz="0" w:space="0" w:color="auto"/>
        <w:left w:val="none" w:sz="0" w:space="0" w:color="auto"/>
        <w:bottom w:val="none" w:sz="0" w:space="0" w:color="auto"/>
        <w:right w:val="none" w:sz="0" w:space="0" w:color="auto"/>
      </w:divBdr>
    </w:div>
    <w:div w:id="1801458928">
      <w:bodyDiv w:val="1"/>
      <w:marLeft w:val="0"/>
      <w:marRight w:val="0"/>
      <w:marTop w:val="0"/>
      <w:marBottom w:val="0"/>
      <w:divBdr>
        <w:top w:val="none" w:sz="0" w:space="0" w:color="auto"/>
        <w:left w:val="none" w:sz="0" w:space="0" w:color="auto"/>
        <w:bottom w:val="none" w:sz="0" w:space="0" w:color="auto"/>
        <w:right w:val="none" w:sz="0" w:space="0" w:color="auto"/>
      </w:divBdr>
    </w:div>
    <w:div w:id="194611562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13</Pages>
  <Words>1082</Words>
  <Characters>6169</Characters>
  <Application>Microsoft Office Word</Application>
  <DocSecurity>0</DocSecurity>
  <Lines>51</Lines>
  <Paragraphs>14</Paragraphs>
  <ScaleCrop>false</ScaleCrop>
  <Company>yanzhoucoal</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投资者来访会谈记录</dc:title>
  <dc:subject/>
  <dc:creator>熊振中</dc:creator>
  <cp:keywords/>
  <cp:lastModifiedBy>1432642317@qq.com</cp:lastModifiedBy>
  <cp:revision>4</cp:revision>
  <cp:lastPrinted>2024-07-18T10:37:00Z</cp:lastPrinted>
  <dcterms:created xsi:type="dcterms:W3CDTF">2026-10-17T06:50:00Z</dcterms:created>
  <dcterms:modified xsi:type="dcterms:W3CDTF">2026-10-17T07:21:00Z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0B56D47173624FFE8CDF18E7E08809E5</vt:lpwstr>
  </property>
</Properties>
</file>