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7D781">
      <w:pPr>
        <w:widowControl/>
        <w:jc w:val="center"/>
        <w:rPr>
          <w:rFonts w:hint="eastAsia" w:ascii="宋体" w:hAnsi="宋体"/>
          <w:bCs/>
          <w:iCs/>
          <w:color w:val="000000"/>
          <w:sz w:val="24"/>
        </w:rPr>
      </w:pPr>
      <w:bookmarkStart w:id="0" w:name="_Toc515462335"/>
      <w:r>
        <w:rPr>
          <w:rFonts w:hint="eastAsia" w:ascii="宋体" w:hAnsi="宋体"/>
          <w:bCs/>
          <w:iCs/>
          <w:color w:val="000000"/>
          <w:sz w:val="24"/>
        </w:rPr>
        <w:t xml:space="preserve">证券代码：600392  </w:t>
      </w:r>
      <w:r>
        <w:rPr>
          <w:rFonts w:ascii="宋体" w:hAnsi="宋体"/>
          <w:bCs/>
          <w:iCs/>
          <w:color w:val="000000"/>
          <w:sz w:val="24"/>
        </w:rPr>
        <w:t xml:space="preserve">         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   证券简称：盛和资源</w:t>
      </w:r>
    </w:p>
    <w:p w14:paraId="41332F67">
      <w:pPr>
        <w:widowControl/>
        <w:jc w:val="center"/>
        <w:rPr>
          <w:rFonts w:hint="eastAsia" w:ascii="宋体" w:hAnsi="宋体"/>
          <w:bCs/>
          <w:iCs/>
          <w:color w:val="000000"/>
          <w:sz w:val="24"/>
        </w:rPr>
      </w:pPr>
    </w:p>
    <w:p w14:paraId="63AE5D74">
      <w:pPr>
        <w:widowControl/>
        <w:spacing w:before="312" w:beforeLines="100"/>
        <w:jc w:val="center"/>
        <w:rPr>
          <w:rFonts w:hint="eastAsia" w:ascii="宋体" w:hAnsi="宋体"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Cs/>
          <w:iCs/>
          <w:color w:val="000000"/>
          <w:sz w:val="36"/>
          <w:szCs w:val="36"/>
        </w:rPr>
        <w:t>盛和资源控股股份有限公司</w:t>
      </w:r>
    </w:p>
    <w:p w14:paraId="33441F95">
      <w:pPr>
        <w:widowControl/>
        <w:spacing w:after="312" w:afterLines="100"/>
        <w:jc w:val="center"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bCs/>
          <w:iCs/>
          <w:color w:val="000000"/>
          <w:sz w:val="36"/>
          <w:szCs w:val="36"/>
        </w:rPr>
        <w:t>投资者关系活动记录表</w:t>
      </w:r>
    </w:p>
    <w:p w14:paraId="577C54F2">
      <w:pPr>
        <w:spacing w:line="360" w:lineRule="auto"/>
        <w:rPr>
          <w:rFonts w:hint="eastAsia" w:ascii="宋体" w:hAnsi="宋体" w:eastAsia="宋体"/>
          <w:bCs/>
          <w:iCs/>
          <w:color w:val="000000"/>
          <w:szCs w:val="21"/>
          <w:lang w:val="en-US" w:eastAsia="zh-CN"/>
        </w:rPr>
      </w:pPr>
      <w:r>
        <w:rPr>
          <w:rFonts w:ascii="宋体" w:hAnsi="宋体"/>
          <w:bCs/>
          <w:iCs/>
          <w:color w:val="000000"/>
          <w:szCs w:val="21"/>
        </w:rPr>
        <w:t xml:space="preserve">                                                     </w:t>
      </w:r>
      <w:r>
        <w:rPr>
          <w:rFonts w:hint="eastAsia" w:ascii="宋体" w:hAnsi="宋体"/>
          <w:bCs/>
          <w:iCs/>
          <w:color w:val="000000"/>
          <w:szCs w:val="21"/>
        </w:rPr>
        <w:t xml:space="preserve">            </w:t>
      </w:r>
      <w:r>
        <w:rPr>
          <w:rFonts w:ascii="宋体" w:hAnsi="宋体"/>
          <w:bCs/>
          <w:iCs/>
          <w:color w:val="000000"/>
          <w:szCs w:val="21"/>
        </w:rPr>
        <w:t>编号：</w:t>
      </w:r>
      <w:r>
        <w:rPr>
          <w:rFonts w:hint="eastAsia" w:ascii="宋体" w:hAnsi="宋体"/>
          <w:bCs/>
          <w:iCs/>
          <w:color w:val="000000"/>
          <w:szCs w:val="21"/>
        </w:rPr>
        <w:t>2</w:t>
      </w:r>
      <w:r>
        <w:rPr>
          <w:rFonts w:ascii="宋体" w:hAnsi="宋体"/>
          <w:bCs/>
          <w:iCs/>
          <w:color w:val="000000"/>
          <w:szCs w:val="21"/>
        </w:rPr>
        <w:t>02</w:t>
      </w:r>
      <w:r>
        <w:rPr>
          <w:rFonts w:hint="eastAsia" w:ascii="宋体" w:hAnsi="宋体"/>
          <w:bCs/>
          <w:iCs/>
          <w:color w:val="000000"/>
          <w:szCs w:val="21"/>
          <w:lang w:val="en-US" w:eastAsia="zh-CN"/>
        </w:rPr>
        <w:t>6</w:t>
      </w:r>
      <w:r>
        <w:rPr>
          <w:rFonts w:ascii="宋体" w:hAnsi="宋体"/>
          <w:bCs/>
          <w:iCs/>
          <w:color w:val="000000"/>
          <w:szCs w:val="21"/>
        </w:rPr>
        <w:t>-0</w:t>
      </w:r>
      <w:r>
        <w:rPr>
          <w:rFonts w:hint="eastAsia" w:ascii="宋体" w:hAnsi="宋体"/>
          <w:bCs/>
          <w:iCs/>
          <w:color w:val="000000"/>
          <w:szCs w:val="21"/>
          <w:lang w:val="en-US" w:eastAsia="zh-CN"/>
        </w:rPr>
        <w:t>7</w:t>
      </w:r>
    </w:p>
    <w:tbl>
      <w:tblPr>
        <w:tblStyle w:val="10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7088"/>
      </w:tblGrid>
      <w:tr w14:paraId="2EC8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57D39C22">
            <w:pPr>
              <w:spacing w:line="360" w:lineRule="auto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投资者关系活动类别</w:t>
            </w:r>
            <w:r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  <w:t>“选中项请打√”</w:t>
            </w:r>
          </w:p>
        </w:tc>
        <w:tc>
          <w:tcPr>
            <w:tcW w:w="7088" w:type="dxa"/>
          </w:tcPr>
          <w:p w14:paraId="6C19A47B">
            <w:pPr>
              <w:spacing w:line="360" w:lineRule="auto"/>
              <w:jc w:val="left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Cs/>
                <w:iCs/>
                <w:color w:val="000000"/>
                <w:szCs w:val="21"/>
              </w:rPr>
              <w:t>□</w:t>
            </w:r>
            <w:r>
              <w:rPr>
                <w:rFonts w:ascii="宋体" w:hAnsi="宋体"/>
                <w:color w:val="000000"/>
                <w:szCs w:val="21"/>
              </w:rPr>
              <w:t xml:space="preserve">特定对象调研   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sym w:font="Wingdings 2" w:char="00A3"/>
            </w:r>
            <w:r>
              <w:rPr>
                <w:rFonts w:ascii="宋体" w:hAnsi="宋体"/>
                <w:color w:val="000000"/>
                <w:szCs w:val="21"/>
              </w:rPr>
              <w:t>分析师会议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    </w:t>
            </w:r>
            <w:bookmarkStart w:id="1" w:name="OLE_LINK1"/>
            <w:r>
              <w:rPr>
                <w:rFonts w:ascii="宋体" w:hAnsi="宋体"/>
                <w:bCs/>
                <w:iCs/>
                <w:color w:val="000000"/>
                <w:szCs w:val="21"/>
              </w:rPr>
              <w:t>□</w:t>
            </w:r>
            <w:bookmarkEnd w:id="1"/>
            <w:r>
              <w:rPr>
                <w:rFonts w:ascii="宋体" w:hAnsi="宋体"/>
                <w:color w:val="000000"/>
                <w:szCs w:val="21"/>
              </w:rPr>
              <w:t xml:space="preserve">媒体采访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□</w:t>
            </w:r>
            <w:r>
              <w:rPr>
                <w:rFonts w:ascii="宋体" w:hAnsi="宋体"/>
                <w:color w:val="000000"/>
                <w:szCs w:val="21"/>
              </w:rPr>
              <w:t>业绩说明会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          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t>□</w:t>
            </w:r>
            <w:r>
              <w:rPr>
                <w:rFonts w:ascii="宋体" w:hAnsi="宋体"/>
                <w:color w:val="000000"/>
                <w:szCs w:val="21"/>
              </w:rPr>
              <w:t xml:space="preserve">新闻发布会     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t>□</w:t>
            </w:r>
            <w:r>
              <w:rPr>
                <w:rFonts w:ascii="宋体" w:hAnsi="宋体"/>
                <w:color w:val="000000"/>
                <w:szCs w:val="21"/>
              </w:rPr>
              <w:t>路演活动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      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t>□</w:t>
            </w:r>
            <w:r>
              <w:rPr>
                <w:rFonts w:ascii="宋体" w:hAnsi="宋体"/>
                <w:color w:val="000000"/>
                <w:szCs w:val="21"/>
              </w:rPr>
              <w:t>现场参观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tab/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   </w:t>
            </w:r>
            <w:r>
              <w:rPr>
                <w:rFonts w:ascii="宋体" w:hAnsi="宋体"/>
                <w:bCs/>
                <w:iCs/>
                <w:color w:val="000000"/>
                <w:szCs w:val="21"/>
              </w:rPr>
              <w:sym w:font="Wingdings 2" w:char="0052"/>
            </w:r>
            <w:r>
              <w:rPr>
                <w:rFonts w:ascii="宋体" w:hAnsi="宋体"/>
                <w:color w:val="000000"/>
                <w:szCs w:val="21"/>
              </w:rPr>
              <w:t>其他</w:t>
            </w:r>
            <w:r>
              <w:rPr>
                <w:rFonts w:hint="eastAsia" w:ascii="宋体" w:hAnsi="宋体"/>
                <w:color w:val="000000"/>
                <w:szCs w:val="21"/>
              </w:rPr>
              <w:t>（电话</w:t>
            </w:r>
            <w:r>
              <w:rPr>
                <w:rFonts w:ascii="宋体" w:hAnsi="宋体"/>
                <w:color w:val="000000"/>
                <w:szCs w:val="21"/>
              </w:rPr>
              <w:t>会议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</w:tc>
      </w:tr>
      <w:tr w14:paraId="2FD7A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547" w:type="dxa"/>
            <w:vAlign w:val="center"/>
          </w:tcPr>
          <w:p w14:paraId="4A65AD5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参与单位名称</w:t>
            </w:r>
          </w:p>
        </w:tc>
        <w:tc>
          <w:tcPr>
            <w:tcW w:w="7088" w:type="dxa"/>
            <w:vAlign w:val="center"/>
          </w:tcPr>
          <w:p w14:paraId="39B6AB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等线" w:hAnsi="等线" w:eastAsia="等线"/>
                <w:color w:val="000000"/>
                <w:kern w:val="0"/>
                <w:sz w:val="22"/>
                <w:szCs w:val="22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深圳市弘洛私募证券基金管理有限公司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南方基金管理股份有限公司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博道基金管理有限公司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大成基金管理有限公司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淳厚基金管理有限公司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长城基金管理有限公司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申万菱信基金管理有限公司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宏利基金管理有限公司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上海漫长奇遇企业管理有限公司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华安基金管理有限公司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中科实业集团 (控股) 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磐厚动量 (上海) 资本管理有限公司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上海贵源投资有限公司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深圳创富兆业金融管理有限公司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杭州弈宸私募基金管理有限公司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上海益和源资产管理有限公司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耕霁 (上海) 投资管理有限公司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泳诚私募基金管理 (海南) 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西安瀑布资产管理有限公司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上海普行资产管理有限公司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玄卜投资（上海）有限公司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深圳市珞瑜私募证券基金管理有限公司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上海元昊投资管理有限公司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上海山合私募基金管理中心 (有限合伙)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深圳前海佰德纳资本管理有限公司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上海弘尚资产管理中心 (有限合伙)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中信建投证券股份有限公司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上海于翼资产管理合伙企业 (有限合伙)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长城证券股份有限公司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中国国际金融股份有限公司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方正证券股份有限公司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中银国际证券股份有限公司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国泰海通证券股份有限公司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中航证券有限公司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西部证券股份有限公司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国信证券股份有限公司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光大证券股份有限公司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浙商证券股份有限公司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中泰证券股份有限公司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华西证券股份有限公司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广发证券股份有限公司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中国银河证券股份有限公司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开源证券股份有限公司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东方财富证券股份有限公司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长江证券股份有限公司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东方证券股份有限公司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财通证券股份有限公司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国金证券股份有限公司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五矿证券有限公司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国联民生证券股份有限公司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中信证券股份有限公司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招商证券股份有限公司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国盛证券股份有限公司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天风证券股份有限公司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华安证券股份有限公司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上海东方证券资产管理有限公司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国元证券股份有限公司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国投证券经济研究所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中金公司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华能贵诚信托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积和宸资本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长城证券资管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诚正集团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珠海立合实业有限责任公司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南通海星电子股份有限公司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云南约牛证券投资咨询有限公司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大家资产管理有限责任公司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北京文博启胜投资有限公司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常州金融投资集团有限公司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上海九方云智能科技有限公司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lang w:eastAsia="zh-CN"/>
              </w:rPr>
              <w:t>、</w:t>
            </w:r>
            <w:r>
              <w:rPr>
                <w:i w:val="0"/>
                <w:iCs w:val="0"/>
                <w:caps w:val="0"/>
                <w:color w:val="000000"/>
                <w:spacing w:val="0"/>
              </w:rPr>
              <w:t>太平养老保险股份有限公司</w:t>
            </w:r>
          </w:p>
        </w:tc>
      </w:tr>
      <w:tr w14:paraId="434C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7FB3F8E9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时间</w:t>
            </w:r>
          </w:p>
        </w:tc>
        <w:tc>
          <w:tcPr>
            <w:tcW w:w="7088" w:type="dxa"/>
            <w:vAlign w:val="center"/>
          </w:tcPr>
          <w:p w14:paraId="366106BE">
            <w:pPr>
              <w:spacing w:line="276" w:lineRule="auto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Cs/>
                <w:iCs/>
                <w:color w:val="000000"/>
                <w:szCs w:val="21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月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日</w:t>
            </w:r>
          </w:p>
        </w:tc>
      </w:tr>
      <w:tr w14:paraId="0945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6A516070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  <w:t>地点</w:t>
            </w:r>
          </w:p>
        </w:tc>
        <w:tc>
          <w:tcPr>
            <w:tcW w:w="7088" w:type="dxa"/>
            <w:vAlign w:val="center"/>
          </w:tcPr>
          <w:p w14:paraId="4EED8646">
            <w:pPr>
              <w:spacing w:line="276" w:lineRule="auto"/>
              <w:rPr>
                <w:rFonts w:hint="default" w:ascii="宋体" w:hAnsi="宋体" w:eastAsia="宋体"/>
                <w:bCs/>
                <w:i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电话会议</w:t>
            </w:r>
          </w:p>
        </w:tc>
      </w:tr>
      <w:tr w14:paraId="278A4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37276267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上市公司接待人员姓名</w:t>
            </w:r>
          </w:p>
        </w:tc>
        <w:tc>
          <w:tcPr>
            <w:tcW w:w="7088" w:type="dxa"/>
            <w:vAlign w:val="center"/>
          </w:tcPr>
          <w:p w14:paraId="18D75E2C">
            <w:pPr>
              <w:spacing w:line="276" w:lineRule="auto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董事、副总经理、董事会秘书：郭晓雷 </w:t>
            </w:r>
          </w:p>
          <w:p w14:paraId="406FE3C2">
            <w:pPr>
              <w:spacing w:line="276" w:lineRule="auto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投资者关系总监：孙宇翔 </w:t>
            </w:r>
          </w:p>
          <w:p w14:paraId="14E8F6CE">
            <w:pPr>
              <w:spacing w:line="276" w:lineRule="auto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 xml:space="preserve">证券部经理、证券事务代表：陈冬梅 </w:t>
            </w:r>
          </w:p>
          <w:p w14:paraId="7CF6EA5F">
            <w:pPr>
              <w:spacing w:line="276" w:lineRule="auto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证券部副经理：王尧</w:t>
            </w:r>
          </w:p>
        </w:tc>
      </w:tr>
      <w:tr w14:paraId="5EB2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7DD40161">
            <w:pPr>
              <w:spacing w:before="156" w:beforeLines="50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调研</w:t>
            </w:r>
            <w:r>
              <w:rPr>
                <w:rFonts w:ascii="宋体" w:hAnsi="宋体"/>
              </w:rPr>
              <w:t>主要内容介绍</w:t>
            </w:r>
          </w:p>
          <w:p w14:paraId="4945DF06">
            <w:pPr>
              <w:spacing w:before="156" w:beforeLines="50"/>
              <w:ind w:firstLine="420" w:firstLineChars="200"/>
              <w:rPr>
                <w:rFonts w:hint="eastAsia" w:ascii="宋体" w:hAnsi="宋体"/>
              </w:rPr>
            </w:pPr>
          </w:p>
        </w:tc>
        <w:tc>
          <w:tcPr>
            <w:tcW w:w="7088" w:type="dxa"/>
          </w:tcPr>
          <w:p w14:paraId="60340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公司董事会秘书郭晓雷首先介绍盛和资源出售4家稀土冶炼分离子公司部分股权，与中国稀土集团产业发展有限公司开展股权合作，充分发挥各自在资源、产业、技术、市场等方面的优势，推动4家标的公司实现更高质量发展，实现合作各方的互利共赢。随后进入问答环节。</w:t>
            </w:r>
          </w:p>
          <w:p w14:paraId="59CB13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1.公司出售4家冶炼分离子公司部分股权后, 这4家标的公司后续经营安排如何？与中稀集团的合作会继续向其他方向拓展吗?</w:t>
            </w:r>
          </w:p>
          <w:p w14:paraId="1ED257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答：股权合作完成后, 盛和会继续深度参与这4家标的公司的经营管理。根据合作协议的约定，4家标的公司的总经理由盛和提名，经营管理层和劳动用工将保持稳定，标的公司继续按照市场化原则运营，董事会席位按协议分配。</w:t>
            </w:r>
          </w:p>
          <w:p w14:paraId="127F36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本次股权合作仅限于4家标的公司，暂时没有涉及其他方面。</w:t>
            </w:r>
          </w:p>
          <w:p w14:paraId="02A975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2.公司出售4家子公司后, 剩余的核心业务还有哪些？以及未来的发展规划？</w:t>
            </w:r>
          </w:p>
          <w:p w14:paraId="169D7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答：本次合作前，公司拥有稀土矿山、稀土冶炼分离、稀土金属加工、稀土深加工、稀土废料回收、锆钛矿采选等业务。本次股权合作仅限于稀土冶炼分离业务，其他业务仍由公司独立运营。</w:t>
            </w:r>
          </w:p>
          <w:p w14:paraId="498778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稀土方面，公司已形成包括稀土矿山、冶炼分离、金属加工、深加工及废料回收等环节在内的完整产业链。金属加工、深加工及废料回收业务仍由公司正常运营。稀土矿方面，2025年公司通过收购Peak稀土公司100%股权进而控股了坦桑尼亚恩古拉稀土矿，目前正在积极推动稀土矿采选技术出口前置许可工作。本次合作完成后，公司通过和中稀集团的深化合作，将推动公司的稀土业务进入新的发展阶段。</w:t>
            </w:r>
          </w:p>
          <w:p w14:paraId="70B79E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锆钛方面，公司已构建起海外资源及国内选矿两大核心业务基础。目前，公司位于非洲坦桑尼亚的Fungoni项目已实现规模化生产，已于今年7月份正式实现重矿物精矿回运，与国内锆钛选矿业务形成协同联动效应，形成公司新的业绩增长点。坦桑尼亚Tajiri项目初选厂已实现连续稳产，正在加快推动当地精选厂建设，朝全面投产迈出坚实步伐。马达加斯加重砂矿项目正在加快推进环评、征地补偿等前期工作，预计将在2026年内完成首采区建设准备，2027年实现首批重矿物精矿出产。</w:t>
            </w:r>
          </w:p>
          <w:p w14:paraId="7F57D4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根据2026年4月公司发布的《2026-2028年发展规划》，公司在立足稀土、锆钛业务的同时，未来还将积极探索拓展多元化有色金属及非金属矿产投资，构建“关键资源开发+功能材料制备”并重的发展格局。目前公司的发展定位和发展规划没有发生改变。</w:t>
            </w:r>
          </w:p>
          <w:p w14:paraId="70ACA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3.股权出售后对财务报表所有者权益变动及利润表有哪些影响及调整？</w:t>
            </w:r>
          </w:p>
          <w:p w14:paraId="1D305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答：本次股权转让价格虽未最终确定，但参考预估结果，预计4家标的公司股权的交易价格较账面值有溢价，原则上将增加公司的投资收益和所有者权益。</w:t>
            </w:r>
          </w:p>
          <w:p w14:paraId="4F41C5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家标的公司完成股权交割后，公司将不再对其合并财务报表，由成本法转为收益法核算，按交易完成后公司的持股比例确认投资收益。同时，为保障公司的现金获取能力，合作协议也约定了4家标的公司如果实现盈利且在弥补以前年度亏损（如有）和提取法定公积金后所余税后利润，应保证不低于80%的比例以现金方式按照股东实缴出资比例分配。</w:t>
            </w:r>
          </w:p>
          <w:p w14:paraId="68F818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2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4.如何看待出售子公司披露后对股价波动的影响？公司的股权回购如何安排？</w:t>
            </w:r>
          </w:p>
          <w:p w14:paraId="044824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答：公司公告披露后股价出现了一定的波动，反映了市场对公司出让4家标的公司盈利资产可能有不同的解读。短期来看，出让4家标的公司股权</w:t>
            </w:r>
            <w:bookmarkStart w:id="2" w:name="_GoBack"/>
            <w:bookmarkEnd w:id="2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对公司财务报表会产生一定的影响，但从中长期看，通过本次股权转让，公司将和中国稀土集团在稀土冶炼分离业务上深化合作，充分发挥各自的优势，推动4家标的公司向更高质量发展，实现各方的互利共赢。</w:t>
            </w:r>
          </w:p>
          <w:p w14:paraId="6949A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公司将依法依规实施股权回购，并及时向市场披露。</w:t>
            </w:r>
          </w:p>
          <w:p w14:paraId="6FA5DE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420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  <w:p w14:paraId="2282FB55">
            <w:pPr>
              <w:ind w:firstLine="420" w:firstLineChars="200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0874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7F2D6383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088" w:type="dxa"/>
          </w:tcPr>
          <w:p w14:paraId="0B4F9E31">
            <w:pPr>
              <w:spacing w:line="360" w:lineRule="auto"/>
              <w:ind w:firstLine="105" w:firstLineChars="50"/>
              <w:jc w:val="center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无</w:t>
            </w:r>
          </w:p>
        </w:tc>
      </w:tr>
      <w:tr w14:paraId="4A329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47" w:type="dxa"/>
            <w:vAlign w:val="center"/>
          </w:tcPr>
          <w:p w14:paraId="75670B42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088" w:type="dxa"/>
          </w:tcPr>
          <w:p w14:paraId="0D27C80F">
            <w:pPr>
              <w:spacing w:line="360" w:lineRule="auto"/>
              <w:jc w:val="center"/>
              <w:rPr>
                <w:rFonts w:hint="eastAsia" w:ascii="宋体" w:hAnsi="宋体"/>
                <w:bCs/>
                <w:iCs/>
                <w:color w:val="000000"/>
                <w:szCs w:val="21"/>
              </w:rPr>
            </w:pPr>
            <w:r>
              <w:rPr>
                <w:rFonts w:ascii="宋体" w:hAnsi="宋体"/>
                <w:bCs/>
                <w:iCs/>
                <w:color w:val="000000"/>
                <w:szCs w:val="21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月1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Cs w:val="21"/>
              </w:rPr>
              <w:t>日</w:t>
            </w:r>
          </w:p>
        </w:tc>
      </w:tr>
      <w:bookmarkEnd w:id="0"/>
    </w:tbl>
    <w:p w14:paraId="12A20572">
      <w:pPr>
        <w:widowControl/>
        <w:jc w:val="left"/>
        <w:rPr>
          <w:rFonts w:hint="eastAsia" w:ascii="仿宋" w:hAnsi="仿宋" w:eastAsia="仿宋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701" w:right="1797" w:bottom="1134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2957E">
    <w:pPr>
      <w:pStyle w:val="7"/>
      <w:framePr w:wrap="around" w:vAnchor="text" w:hAnchor="margin" w:xAlign="center" w:y="1"/>
      <w:rPr>
        <w:rStyle w:val="14"/>
        <w:rFonts w:hint="eastAsia" w:ascii="宋体" w:hAnsi="宋体"/>
        <w:sz w:val="28"/>
        <w:szCs w:val="28"/>
      </w:rPr>
    </w:pPr>
    <w:r>
      <w:rPr>
        <w:rStyle w:val="14"/>
        <w:rFonts w:hint="eastAsia"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fldChar w:fldCharType="begin"/>
    </w:r>
    <w:r>
      <w:rPr>
        <w:rStyle w:val="14"/>
        <w:rFonts w:hint="eastAsia" w:ascii="宋体" w:hAnsi="宋体"/>
        <w:sz w:val="28"/>
        <w:szCs w:val="28"/>
      </w:rPr>
      <w:instrText xml:space="preserve">PAGE 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Style w:val="14"/>
        <w:rFonts w:ascii="宋体" w:hAnsi="宋体"/>
        <w:sz w:val="28"/>
        <w:szCs w:val="28"/>
      </w:rPr>
      <w:t>2</w:t>
    </w:r>
    <w:r>
      <w:rPr>
        <w:rFonts w:hint="eastAsia" w:ascii="宋体" w:hAnsi="宋体"/>
        <w:sz w:val="28"/>
        <w:szCs w:val="28"/>
      </w:rPr>
      <w:fldChar w:fldCharType="end"/>
    </w:r>
    <w:r>
      <w:rPr>
        <w:rStyle w:val="14"/>
        <w:rFonts w:hint="eastAsia" w:ascii="宋体" w:hAnsi="宋体"/>
        <w:sz w:val="28"/>
        <w:szCs w:val="28"/>
      </w:rPr>
      <w:t>—</w:t>
    </w:r>
  </w:p>
  <w:p w14:paraId="758DCC33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9902A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10BC5D1F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3YWU0ODljM2NmZjU5OGNmMjFkOGY5YmJkOTk2ODUifQ=="/>
  </w:docVars>
  <w:rsids>
    <w:rsidRoot w:val="00953981"/>
    <w:rsid w:val="0007285A"/>
    <w:rsid w:val="00081574"/>
    <w:rsid w:val="000A6FEC"/>
    <w:rsid w:val="000B37B1"/>
    <w:rsid w:val="000D7761"/>
    <w:rsid w:val="00126512"/>
    <w:rsid w:val="00177EC3"/>
    <w:rsid w:val="00180568"/>
    <w:rsid w:val="001A04B5"/>
    <w:rsid w:val="001C1D99"/>
    <w:rsid w:val="001F4540"/>
    <w:rsid w:val="0023626F"/>
    <w:rsid w:val="00273F00"/>
    <w:rsid w:val="002B7B99"/>
    <w:rsid w:val="002E1978"/>
    <w:rsid w:val="0031359B"/>
    <w:rsid w:val="003635FB"/>
    <w:rsid w:val="003F075D"/>
    <w:rsid w:val="004C55DA"/>
    <w:rsid w:val="004D4ECC"/>
    <w:rsid w:val="004E149C"/>
    <w:rsid w:val="004E7079"/>
    <w:rsid w:val="00593A9B"/>
    <w:rsid w:val="005B097F"/>
    <w:rsid w:val="005C1E93"/>
    <w:rsid w:val="005F33F1"/>
    <w:rsid w:val="0060780A"/>
    <w:rsid w:val="00650410"/>
    <w:rsid w:val="00676A4E"/>
    <w:rsid w:val="007549ED"/>
    <w:rsid w:val="0077568A"/>
    <w:rsid w:val="007C2390"/>
    <w:rsid w:val="007C5823"/>
    <w:rsid w:val="007D4949"/>
    <w:rsid w:val="007E1E56"/>
    <w:rsid w:val="007E4551"/>
    <w:rsid w:val="007E7F4E"/>
    <w:rsid w:val="007F5049"/>
    <w:rsid w:val="008359E8"/>
    <w:rsid w:val="00871D04"/>
    <w:rsid w:val="0089239A"/>
    <w:rsid w:val="008C3B4A"/>
    <w:rsid w:val="008F346F"/>
    <w:rsid w:val="00905BC4"/>
    <w:rsid w:val="009456A9"/>
    <w:rsid w:val="00953981"/>
    <w:rsid w:val="00992AD5"/>
    <w:rsid w:val="009B0861"/>
    <w:rsid w:val="009F45A2"/>
    <w:rsid w:val="00A05D19"/>
    <w:rsid w:val="00A130E2"/>
    <w:rsid w:val="00A30EA4"/>
    <w:rsid w:val="00A540D5"/>
    <w:rsid w:val="00AB65AE"/>
    <w:rsid w:val="00AE58F2"/>
    <w:rsid w:val="00AF6245"/>
    <w:rsid w:val="00B10F99"/>
    <w:rsid w:val="00B22C28"/>
    <w:rsid w:val="00B23358"/>
    <w:rsid w:val="00B34641"/>
    <w:rsid w:val="00B61496"/>
    <w:rsid w:val="00B61558"/>
    <w:rsid w:val="00B943F5"/>
    <w:rsid w:val="00BC283B"/>
    <w:rsid w:val="00C037C8"/>
    <w:rsid w:val="00C125C5"/>
    <w:rsid w:val="00C3495A"/>
    <w:rsid w:val="00C40C24"/>
    <w:rsid w:val="00C74CFE"/>
    <w:rsid w:val="00CC0983"/>
    <w:rsid w:val="00CE0A43"/>
    <w:rsid w:val="00CE6605"/>
    <w:rsid w:val="00D03E6A"/>
    <w:rsid w:val="00D15A3A"/>
    <w:rsid w:val="00D16C08"/>
    <w:rsid w:val="00D23B76"/>
    <w:rsid w:val="00D346BD"/>
    <w:rsid w:val="00DE22B5"/>
    <w:rsid w:val="00E877F5"/>
    <w:rsid w:val="00E91845"/>
    <w:rsid w:val="00EA062D"/>
    <w:rsid w:val="00F273B8"/>
    <w:rsid w:val="00F536E6"/>
    <w:rsid w:val="00F619A6"/>
    <w:rsid w:val="00F72C4E"/>
    <w:rsid w:val="00F958D0"/>
    <w:rsid w:val="00FA38A8"/>
    <w:rsid w:val="00FB5270"/>
    <w:rsid w:val="035E62A9"/>
    <w:rsid w:val="08B92631"/>
    <w:rsid w:val="0BC57CAD"/>
    <w:rsid w:val="0ECB5A9B"/>
    <w:rsid w:val="1913751B"/>
    <w:rsid w:val="1E38504E"/>
    <w:rsid w:val="222A111F"/>
    <w:rsid w:val="2C0B44D1"/>
    <w:rsid w:val="36C22E36"/>
    <w:rsid w:val="3A8638A8"/>
    <w:rsid w:val="3E275C3F"/>
    <w:rsid w:val="3ED65E91"/>
    <w:rsid w:val="41C10393"/>
    <w:rsid w:val="4599357F"/>
    <w:rsid w:val="4B4C73DC"/>
    <w:rsid w:val="58535244"/>
    <w:rsid w:val="5CC34FC4"/>
    <w:rsid w:val="5D864CC7"/>
    <w:rsid w:val="60F224FB"/>
    <w:rsid w:val="658E7179"/>
    <w:rsid w:val="6AC94A9A"/>
    <w:rsid w:val="6D031B69"/>
    <w:rsid w:val="6FFFCB84"/>
    <w:rsid w:val="7BCD4BD4"/>
    <w:rsid w:val="E56946D7"/>
    <w:rsid w:val="EFBB04FA"/>
    <w:rsid w:val="F7FB7466"/>
    <w:rsid w:val="FBDFB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qFormat/>
    <w:uiPriority w:val="0"/>
    <w:rPr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rPr>
      <w:rFonts w:ascii="Calibri" w:hAnsi="Calibri"/>
      <w:sz w:val="24"/>
    </w:rPr>
  </w:style>
  <w:style w:type="table" w:styleId="11">
    <w:name w:val="Table Grid"/>
    <w:basedOn w:val="10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0"/>
    <w:rPr>
      <w:i/>
    </w:rPr>
  </w:style>
  <w:style w:type="character" w:styleId="16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7">
    <w:name w:val="标题 1 字符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18">
    <w:name w:val="标题 2 字符"/>
    <w:link w:val="3"/>
    <w:qFormat/>
    <w:uiPriority w:val="9"/>
    <w:rPr>
      <w:rFonts w:ascii="Calibri Light" w:hAnsi="Calibri Light"/>
      <w:b/>
      <w:bCs/>
      <w:kern w:val="2"/>
      <w:sz w:val="32"/>
      <w:szCs w:val="32"/>
    </w:rPr>
  </w:style>
  <w:style w:type="character" w:customStyle="1" w:styleId="19">
    <w:name w:val="正文文本 字符"/>
    <w:link w:val="4"/>
    <w:qFormat/>
    <w:uiPriority w:val="0"/>
    <w:rPr>
      <w:kern w:val="2"/>
      <w:sz w:val="28"/>
      <w:szCs w:val="24"/>
    </w:rPr>
  </w:style>
  <w:style w:type="character" w:customStyle="1" w:styleId="20">
    <w:name w:val="批注框文本 字符"/>
    <w:link w:val="6"/>
    <w:qFormat/>
    <w:uiPriority w:val="0"/>
    <w:rPr>
      <w:kern w:val="2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2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3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</Company>
  <Pages>3</Pages>
  <Words>2473</Words>
  <Characters>2537</Characters>
  <Lines>10</Lines>
  <Paragraphs>2</Paragraphs>
  <TotalTime>39</TotalTime>
  <ScaleCrop>false</ScaleCrop>
  <LinksUpToDate>false</LinksUpToDate>
  <CharactersWithSpaces>2678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2024-09-04T11:38:00Z</dcterms:created>
  <dc:creator>Li</dc:creator>
  <cp:lastModifiedBy>chendm</cp:lastModifiedBy>
  <cp:lastPrinted>2010-08-04T14:50:00Z</cp:lastPrinted>
  <dcterms:modified xsi:type="dcterms:W3CDTF">2026-10-20T08:38:34Z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A0068EEB226D4B46BC0C6AD88F15A966_13</vt:lpwstr>
  </property>
  <property fmtid="{D5CDD505-2E9C-101B-9397-08002B2CF9AE}" pid="4" name="KSOTemplateDocerSaveRecord">
    <vt:lpwstr>eyJoZGlkIjoiY2YwZWVjYmM2OTViOTQzMTVkZDU5ZGY3ZjQyZWJmZmIiLCJ1c2VySWQiOiI3OTU5OTU1OTgifQ==</vt:lpwstr>
  </property>
</Properties>
</file>