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27E5E">
      <w:pPr>
        <w:pStyle w:val="2"/>
        <w:rPr>
          <w:lang w:eastAsia="zh-CN"/>
        </w:rPr>
      </w:pPr>
      <w:r>
        <w:rPr>
          <w:lang w:eastAsia="zh-CN"/>
        </w:rPr>
        <w:t>证券代码：</w:t>
      </w:r>
      <w:r>
        <w:rPr>
          <w:rFonts w:hint="eastAsia"/>
          <w:lang w:eastAsia="zh-CN"/>
        </w:rPr>
        <w:t xml:space="preserve">600099                                   </w:t>
      </w:r>
      <w:r>
        <w:rPr>
          <w:lang w:eastAsia="zh-CN"/>
        </w:rPr>
        <w:t>证券简称：</w:t>
      </w:r>
      <w:r>
        <w:rPr>
          <w:rFonts w:hint="eastAsia"/>
          <w:lang w:eastAsia="zh-CN"/>
        </w:rPr>
        <w:t>林海股份</w:t>
      </w:r>
    </w:p>
    <w:p w14:paraId="3B3FD5B6">
      <w:pPr>
        <w:pStyle w:val="2"/>
        <w:rPr>
          <w:lang w:eastAsia="zh-CN"/>
        </w:rPr>
      </w:pPr>
    </w:p>
    <w:p w14:paraId="663434CD">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b/>
          <w:w w:val="99"/>
          <w:sz w:val="32"/>
          <w:szCs w:val="32"/>
          <w:lang w:eastAsia="zh-CN"/>
        </w:rPr>
      </w:pPr>
      <w:r>
        <w:rPr>
          <w:rFonts w:hint="eastAsia"/>
          <w:b/>
          <w:spacing w:val="4"/>
          <w:w w:val="99"/>
          <w:sz w:val="32"/>
          <w:szCs w:val="32"/>
          <w:lang w:eastAsia="zh-CN"/>
        </w:rPr>
        <w:t>林海</w:t>
      </w:r>
      <w:r>
        <w:rPr>
          <w:b/>
          <w:w w:val="99"/>
          <w:sz w:val="32"/>
          <w:szCs w:val="32"/>
          <w:lang w:eastAsia="zh-CN"/>
        </w:rPr>
        <w:t>股</w:t>
      </w:r>
      <w:r>
        <w:rPr>
          <w:b/>
          <w:spacing w:val="4"/>
          <w:w w:val="99"/>
          <w:sz w:val="32"/>
          <w:szCs w:val="32"/>
          <w:lang w:eastAsia="zh-CN"/>
        </w:rPr>
        <w:t>份有</w:t>
      </w:r>
      <w:r>
        <w:rPr>
          <w:b/>
          <w:w w:val="99"/>
          <w:sz w:val="32"/>
          <w:szCs w:val="32"/>
          <w:lang w:eastAsia="zh-CN"/>
        </w:rPr>
        <w:t>限</w:t>
      </w:r>
      <w:r>
        <w:rPr>
          <w:b/>
          <w:spacing w:val="4"/>
          <w:w w:val="99"/>
          <w:sz w:val="32"/>
          <w:szCs w:val="32"/>
          <w:lang w:eastAsia="zh-CN"/>
        </w:rPr>
        <w:t>公</w:t>
      </w:r>
      <w:r>
        <w:rPr>
          <w:b/>
          <w:w w:val="99"/>
          <w:sz w:val="32"/>
          <w:szCs w:val="32"/>
          <w:lang w:eastAsia="zh-CN"/>
        </w:rPr>
        <w:t>司</w:t>
      </w:r>
    </w:p>
    <w:p w14:paraId="71E2C980">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b/>
          <w:sz w:val="32"/>
          <w:szCs w:val="32"/>
          <w:lang w:eastAsia="zh-CN"/>
        </w:rPr>
      </w:pPr>
      <w:r>
        <w:rPr>
          <w:rFonts w:hint="eastAsia"/>
          <w:b/>
          <w:spacing w:val="4"/>
          <w:w w:val="99"/>
          <w:sz w:val="32"/>
          <w:szCs w:val="32"/>
          <w:lang w:eastAsia="zh-CN"/>
        </w:rPr>
        <w:t>202</w:t>
      </w:r>
      <w:r>
        <w:rPr>
          <w:rFonts w:hint="eastAsia"/>
          <w:b/>
          <w:spacing w:val="4"/>
          <w:w w:val="99"/>
          <w:sz w:val="32"/>
          <w:szCs w:val="32"/>
          <w:lang w:val="en-US" w:eastAsia="zh-CN"/>
        </w:rPr>
        <w:t>6</w:t>
      </w:r>
      <w:r>
        <w:rPr>
          <w:rFonts w:hint="eastAsia"/>
          <w:b/>
          <w:spacing w:val="4"/>
          <w:w w:val="99"/>
          <w:sz w:val="32"/>
          <w:szCs w:val="32"/>
          <w:lang w:eastAsia="zh-CN"/>
        </w:rPr>
        <w:t>年</w:t>
      </w:r>
      <w:r>
        <w:rPr>
          <w:rFonts w:hint="eastAsia"/>
          <w:b/>
          <w:spacing w:val="4"/>
          <w:w w:val="99"/>
          <w:sz w:val="32"/>
          <w:szCs w:val="32"/>
          <w:lang w:val="en-US" w:eastAsia="zh-CN"/>
        </w:rPr>
        <w:t>10</w:t>
      </w:r>
      <w:r>
        <w:rPr>
          <w:rFonts w:hint="eastAsia"/>
          <w:b/>
          <w:spacing w:val="4"/>
          <w:w w:val="99"/>
          <w:sz w:val="32"/>
          <w:szCs w:val="32"/>
          <w:lang w:eastAsia="zh-CN"/>
        </w:rPr>
        <w:t>月</w:t>
      </w:r>
      <w:r>
        <w:rPr>
          <w:rFonts w:hint="eastAsia"/>
          <w:b/>
          <w:spacing w:val="4"/>
          <w:w w:val="99"/>
          <w:sz w:val="32"/>
          <w:szCs w:val="32"/>
          <w:lang w:val="en-US" w:eastAsia="zh-CN"/>
        </w:rPr>
        <w:t>20日</w:t>
      </w:r>
      <w:r>
        <w:rPr>
          <w:b/>
          <w:spacing w:val="4"/>
          <w:w w:val="99"/>
          <w:sz w:val="32"/>
          <w:szCs w:val="32"/>
          <w:lang w:eastAsia="zh-CN"/>
        </w:rPr>
        <w:t>投资</w:t>
      </w:r>
      <w:r>
        <w:rPr>
          <w:b/>
          <w:w w:val="99"/>
          <w:sz w:val="32"/>
          <w:szCs w:val="32"/>
          <w:lang w:eastAsia="zh-CN"/>
        </w:rPr>
        <w:t>者</w:t>
      </w:r>
      <w:r>
        <w:rPr>
          <w:b/>
          <w:spacing w:val="4"/>
          <w:w w:val="99"/>
          <w:sz w:val="32"/>
          <w:szCs w:val="32"/>
          <w:lang w:eastAsia="zh-CN"/>
        </w:rPr>
        <w:t>关</w:t>
      </w:r>
      <w:r>
        <w:rPr>
          <w:b/>
          <w:w w:val="99"/>
          <w:sz w:val="32"/>
          <w:szCs w:val="32"/>
          <w:lang w:eastAsia="zh-CN"/>
        </w:rPr>
        <w:t>系</w:t>
      </w:r>
      <w:r>
        <w:rPr>
          <w:b/>
          <w:spacing w:val="4"/>
          <w:w w:val="99"/>
          <w:sz w:val="32"/>
          <w:szCs w:val="32"/>
          <w:lang w:eastAsia="zh-CN"/>
        </w:rPr>
        <w:t>活</w:t>
      </w:r>
      <w:r>
        <w:rPr>
          <w:b/>
          <w:w w:val="99"/>
          <w:sz w:val="32"/>
          <w:szCs w:val="32"/>
          <w:lang w:eastAsia="zh-CN"/>
        </w:rPr>
        <w:t>动</w:t>
      </w:r>
      <w:r>
        <w:rPr>
          <w:b/>
          <w:spacing w:val="4"/>
          <w:w w:val="99"/>
          <w:sz w:val="32"/>
          <w:szCs w:val="32"/>
          <w:lang w:eastAsia="zh-CN"/>
        </w:rPr>
        <w:t>记录</w:t>
      </w:r>
      <w:r>
        <w:rPr>
          <w:b/>
          <w:w w:val="99"/>
          <w:sz w:val="32"/>
          <w:szCs w:val="32"/>
          <w:lang w:eastAsia="zh-CN"/>
        </w:rPr>
        <w:t>表</w:t>
      </w:r>
    </w:p>
    <w:tbl>
      <w:tblPr>
        <w:tblStyle w:val="6"/>
        <w:tblW w:w="9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8"/>
        <w:gridCol w:w="7616"/>
      </w:tblGrid>
      <w:tr w14:paraId="050AB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8" w:type="dxa"/>
            <w:vAlign w:val="center"/>
          </w:tcPr>
          <w:p w14:paraId="55EEACB7">
            <w:pPr>
              <w:tabs>
                <w:tab w:val="left" w:pos="828"/>
              </w:tabs>
              <w:spacing w:line="360" w:lineRule="auto"/>
              <w:jc w:val="center"/>
              <w:rPr>
                <w:sz w:val="24"/>
                <w:szCs w:val="24"/>
              </w:rPr>
            </w:pPr>
            <w:r>
              <w:rPr>
                <w:rFonts w:hint="eastAsia"/>
                <w:sz w:val="24"/>
                <w:szCs w:val="24"/>
              </w:rPr>
              <w:t>投资</w:t>
            </w:r>
            <w:r>
              <w:rPr>
                <w:rFonts w:hint="eastAsia"/>
                <w:spacing w:val="4"/>
                <w:sz w:val="24"/>
                <w:szCs w:val="24"/>
              </w:rPr>
              <w:t>者</w:t>
            </w:r>
            <w:r>
              <w:rPr>
                <w:rFonts w:hint="eastAsia"/>
                <w:sz w:val="24"/>
                <w:szCs w:val="24"/>
              </w:rPr>
              <w:t>关系</w:t>
            </w:r>
          </w:p>
          <w:p w14:paraId="3B9307DD">
            <w:pPr>
              <w:tabs>
                <w:tab w:val="left" w:pos="828"/>
              </w:tabs>
              <w:spacing w:line="360" w:lineRule="auto"/>
              <w:jc w:val="center"/>
              <w:rPr>
                <w:sz w:val="24"/>
                <w:szCs w:val="24"/>
                <w:lang w:eastAsia="zh-CN"/>
              </w:rPr>
            </w:pPr>
            <w:r>
              <w:rPr>
                <w:rFonts w:hint="eastAsia"/>
                <w:sz w:val="24"/>
                <w:szCs w:val="24"/>
              </w:rPr>
              <w:t>活动类别</w:t>
            </w:r>
          </w:p>
        </w:tc>
        <w:tc>
          <w:tcPr>
            <w:tcW w:w="7616" w:type="dxa"/>
          </w:tcPr>
          <w:p w14:paraId="646FF39F">
            <w:pPr>
              <w:pStyle w:val="11"/>
              <w:spacing w:before="166"/>
              <w:jc w:val="both"/>
              <w:rPr>
                <w:sz w:val="24"/>
                <w:szCs w:val="24"/>
                <w:lang w:eastAsia="zh-CN"/>
              </w:rPr>
            </w:pPr>
            <w:r>
              <w:rPr>
                <w:rFonts w:hint="default"/>
                <w:sz w:val="24"/>
                <w:szCs w:val="24"/>
                <w:lang w:val="en-US" w:eastAsia="zh-CN"/>
              </w:rPr>
              <w:t>□</w:t>
            </w:r>
            <w:r>
              <w:rPr>
                <w:rFonts w:hint="eastAsia"/>
                <w:sz w:val="24"/>
                <w:szCs w:val="24"/>
                <w:lang w:eastAsia="zh-CN"/>
              </w:rPr>
              <w:t>特定对象调研       □分析师会议</w:t>
            </w:r>
          </w:p>
          <w:p w14:paraId="3D9C8C68">
            <w:pPr>
              <w:pStyle w:val="11"/>
              <w:tabs>
                <w:tab w:val="left" w:pos="3008"/>
              </w:tabs>
              <w:spacing w:before="226"/>
              <w:jc w:val="both"/>
              <w:rPr>
                <w:sz w:val="24"/>
                <w:szCs w:val="24"/>
                <w:lang w:eastAsia="zh-CN"/>
              </w:rPr>
            </w:pPr>
            <w:r>
              <w:rPr>
                <w:rFonts w:hint="eastAsia"/>
                <w:sz w:val="24"/>
                <w:szCs w:val="24"/>
                <w:lang w:eastAsia="zh-CN"/>
              </w:rPr>
              <w:t xml:space="preserve">□媒体采访           </w:t>
            </w:r>
            <w:r>
              <w:rPr>
                <w:rFonts w:hint="eastAsia"/>
                <w:sz w:val="24"/>
                <w:szCs w:val="24"/>
                <w:lang w:eastAsia="zh-CN"/>
              </w:rPr>
              <w:sym w:font="Wingdings 2" w:char="0052"/>
            </w:r>
            <w:r>
              <w:rPr>
                <w:rFonts w:hint="eastAsia"/>
                <w:sz w:val="24"/>
                <w:szCs w:val="24"/>
                <w:lang w:eastAsia="zh-CN"/>
              </w:rPr>
              <w:t>业绩说明会（</w:t>
            </w:r>
            <w:r>
              <w:rPr>
                <w:rFonts w:hint="eastAsia"/>
                <w:sz w:val="24"/>
                <w:szCs w:val="24"/>
                <w:lang w:val="en-US" w:eastAsia="zh-CN"/>
              </w:rPr>
              <w:t>2026年半年度业绩说明会</w:t>
            </w:r>
            <w:r>
              <w:rPr>
                <w:rFonts w:hint="eastAsia"/>
                <w:sz w:val="24"/>
                <w:szCs w:val="24"/>
                <w:lang w:eastAsia="zh-CN"/>
              </w:rPr>
              <w:t>）</w:t>
            </w:r>
          </w:p>
          <w:p w14:paraId="1681BD36">
            <w:pPr>
              <w:pStyle w:val="11"/>
              <w:spacing w:before="166"/>
              <w:jc w:val="both"/>
              <w:rPr>
                <w:sz w:val="24"/>
                <w:szCs w:val="24"/>
                <w:lang w:eastAsia="zh-CN"/>
              </w:rPr>
            </w:pPr>
            <w:r>
              <w:rPr>
                <w:rFonts w:hint="eastAsia"/>
                <w:sz w:val="24"/>
                <w:szCs w:val="24"/>
                <w:lang w:eastAsia="zh-CN"/>
              </w:rPr>
              <w:t>□新闻发布会</w:t>
            </w:r>
            <w:r>
              <w:rPr>
                <w:rFonts w:hint="eastAsia"/>
                <w:sz w:val="24"/>
                <w:szCs w:val="24"/>
                <w:lang w:eastAsia="zh-CN"/>
              </w:rPr>
              <w:tab/>
            </w:r>
            <w:r>
              <w:rPr>
                <w:rFonts w:hint="eastAsia"/>
                <w:sz w:val="24"/>
                <w:szCs w:val="24"/>
                <w:lang w:eastAsia="zh-CN"/>
              </w:rPr>
              <w:t xml:space="preserve">    □路演活动</w:t>
            </w:r>
          </w:p>
          <w:p w14:paraId="5917C2AD">
            <w:pPr>
              <w:pStyle w:val="11"/>
              <w:spacing w:before="166"/>
              <w:jc w:val="both"/>
              <w:rPr>
                <w:sz w:val="24"/>
                <w:szCs w:val="24"/>
                <w:lang w:eastAsia="zh-CN"/>
              </w:rPr>
            </w:pPr>
            <w:r>
              <w:rPr>
                <w:rFonts w:hint="eastAsia"/>
                <w:sz w:val="24"/>
                <w:szCs w:val="24"/>
                <w:lang w:eastAsia="zh-CN"/>
              </w:rPr>
              <w:t>□现场参观</w:t>
            </w:r>
          </w:p>
          <w:p w14:paraId="75549545">
            <w:pPr>
              <w:pStyle w:val="11"/>
              <w:spacing w:before="166"/>
              <w:jc w:val="both"/>
              <w:rPr>
                <w:sz w:val="24"/>
                <w:szCs w:val="24"/>
                <w:lang w:eastAsia="zh-CN"/>
              </w:rPr>
            </w:pPr>
            <w:r>
              <w:rPr>
                <w:rFonts w:hint="eastAsia"/>
                <w:sz w:val="24"/>
                <w:szCs w:val="24"/>
                <w:lang w:eastAsia="zh-CN"/>
              </w:rPr>
              <w:t xml:space="preserve">□其他  </w:t>
            </w:r>
          </w:p>
        </w:tc>
      </w:tr>
      <w:tr w14:paraId="1C2E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8" w:type="dxa"/>
            <w:vAlign w:val="center"/>
          </w:tcPr>
          <w:p w14:paraId="2B1138FA">
            <w:pPr>
              <w:tabs>
                <w:tab w:val="left" w:pos="828"/>
              </w:tabs>
              <w:jc w:val="center"/>
              <w:rPr>
                <w:sz w:val="24"/>
                <w:szCs w:val="24"/>
                <w:lang w:eastAsia="zh-CN"/>
              </w:rPr>
            </w:pPr>
            <w:r>
              <w:rPr>
                <w:rFonts w:hint="eastAsia"/>
                <w:sz w:val="24"/>
                <w:szCs w:val="24"/>
                <w:lang w:eastAsia="zh-CN"/>
              </w:rPr>
              <w:t>参与</w:t>
            </w:r>
            <w:r>
              <w:rPr>
                <w:rFonts w:hint="eastAsia"/>
                <w:spacing w:val="4"/>
                <w:sz w:val="24"/>
                <w:szCs w:val="24"/>
                <w:lang w:eastAsia="zh-CN"/>
              </w:rPr>
              <w:t>单</w:t>
            </w:r>
            <w:r>
              <w:rPr>
                <w:rFonts w:hint="eastAsia"/>
                <w:sz w:val="24"/>
                <w:szCs w:val="24"/>
                <w:lang w:eastAsia="zh-CN"/>
              </w:rPr>
              <w:t>位名称</w:t>
            </w:r>
          </w:p>
          <w:p w14:paraId="069FA9E5">
            <w:pPr>
              <w:tabs>
                <w:tab w:val="left" w:pos="828"/>
              </w:tabs>
              <w:jc w:val="center"/>
              <w:rPr>
                <w:sz w:val="24"/>
                <w:szCs w:val="24"/>
                <w:lang w:eastAsia="zh-CN"/>
              </w:rPr>
            </w:pPr>
            <w:r>
              <w:rPr>
                <w:rFonts w:hint="eastAsia"/>
                <w:sz w:val="24"/>
                <w:szCs w:val="24"/>
                <w:lang w:eastAsia="zh-CN"/>
              </w:rPr>
              <w:t>及人员姓名</w:t>
            </w:r>
          </w:p>
        </w:tc>
        <w:tc>
          <w:tcPr>
            <w:tcW w:w="7616" w:type="dxa"/>
            <w:vAlign w:val="center"/>
          </w:tcPr>
          <w:p w14:paraId="58A87E67">
            <w:pPr>
              <w:pStyle w:val="11"/>
              <w:ind w:left="0"/>
              <w:jc w:val="left"/>
              <w:rPr>
                <w:rFonts w:hint="default"/>
                <w:sz w:val="24"/>
                <w:szCs w:val="24"/>
                <w:lang w:val="en-US" w:eastAsia="zh-CN"/>
              </w:rPr>
            </w:pPr>
            <w:r>
              <w:rPr>
                <w:rFonts w:ascii="宋体" w:hAnsi="宋体" w:eastAsia="宋体" w:cs="宋体"/>
                <w:sz w:val="24"/>
                <w:szCs w:val="24"/>
              </w:rPr>
              <w:t>线上参与公司业绩说明会的投资者</w:t>
            </w:r>
          </w:p>
        </w:tc>
      </w:tr>
      <w:tr w14:paraId="0DD1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8" w:type="dxa"/>
            <w:vAlign w:val="center"/>
          </w:tcPr>
          <w:p w14:paraId="27645B89">
            <w:pPr>
              <w:pStyle w:val="11"/>
              <w:ind w:left="0" w:firstLine="240" w:firstLineChars="100"/>
              <w:jc w:val="center"/>
              <w:rPr>
                <w:sz w:val="24"/>
                <w:szCs w:val="24"/>
                <w:lang w:eastAsia="zh-CN"/>
              </w:rPr>
            </w:pPr>
            <w:r>
              <w:rPr>
                <w:rFonts w:hint="eastAsia"/>
                <w:sz w:val="24"/>
                <w:szCs w:val="24"/>
                <w:lang w:eastAsia="zh-CN"/>
              </w:rPr>
              <w:t>时间</w:t>
            </w:r>
          </w:p>
        </w:tc>
        <w:tc>
          <w:tcPr>
            <w:tcW w:w="7616" w:type="dxa"/>
            <w:vAlign w:val="center"/>
          </w:tcPr>
          <w:p w14:paraId="2A86D1E6">
            <w:pPr>
              <w:pStyle w:val="11"/>
              <w:ind w:left="0"/>
              <w:jc w:val="both"/>
              <w:rPr>
                <w:rFonts w:hint="default"/>
                <w:sz w:val="24"/>
                <w:szCs w:val="24"/>
                <w:lang w:val="en-US" w:eastAsia="zh-CN"/>
              </w:rPr>
            </w:pPr>
            <w:r>
              <w:rPr>
                <w:rFonts w:hint="eastAsia"/>
                <w:sz w:val="24"/>
                <w:szCs w:val="24"/>
                <w:lang w:eastAsia="zh-CN"/>
              </w:rPr>
              <w:t>202</w:t>
            </w:r>
            <w:r>
              <w:rPr>
                <w:rFonts w:hint="eastAsia"/>
                <w:sz w:val="24"/>
                <w:szCs w:val="24"/>
                <w:lang w:val="en-US" w:eastAsia="zh-CN"/>
              </w:rPr>
              <w:t>6</w:t>
            </w:r>
            <w:r>
              <w:rPr>
                <w:rFonts w:hint="eastAsia"/>
                <w:sz w:val="24"/>
                <w:szCs w:val="24"/>
                <w:lang w:eastAsia="zh-CN"/>
              </w:rPr>
              <w:t>年</w:t>
            </w:r>
            <w:r>
              <w:rPr>
                <w:rFonts w:hint="eastAsia"/>
                <w:sz w:val="24"/>
                <w:szCs w:val="24"/>
                <w:lang w:val="en-US" w:eastAsia="zh-CN"/>
              </w:rPr>
              <w:t>10月20日（周二）9:30-11</w:t>
            </w:r>
            <w:r>
              <w:rPr>
                <w:rFonts w:hint="default"/>
                <w:sz w:val="24"/>
                <w:szCs w:val="24"/>
                <w:lang w:val="en-US" w:eastAsia="zh-CN"/>
              </w:rPr>
              <w:t>:</w:t>
            </w:r>
            <w:r>
              <w:rPr>
                <w:rFonts w:hint="eastAsia"/>
                <w:sz w:val="24"/>
                <w:szCs w:val="24"/>
                <w:lang w:val="en-US" w:eastAsia="zh-CN"/>
              </w:rPr>
              <w:t>30</w:t>
            </w:r>
          </w:p>
        </w:tc>
      </w:tr>
      <w:tr w14:paraId="14BB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8" w:type="dxa"/>
            <w:vAlign w:val="center"/>
          </w:tcPr>
          <w:p w14:paraId="3BFA7BAD">
            <w:pPr>
              <w:tabs>
                <w:tab w:val="left" w:pos="828"/>
              </w:tabs>
              <w:ind w:firstLine="240" w:firstLineChars="100"/>
              <w:jc w:val="center"/>
              <w:rPr>
                <w:rFonts w:hint="default"/>
                <w:sz w:val="24"/>
                <w:szCs w:val="24"/>
                <w:lang w:val="en-US" w:eastAsia="zh-CN"/>
              </w:rPr>
            </w:pPr>
            <w:r>
              <w:rPr>
                <w:rFonts w:hint="eastAsia"/>
                <w:sz w:val="24"/>
                <w:szCs w:val="24"/>
                <w:lang w:eastAsia="zh-CN"/>
              </w:rPr>
              <w:t>地点</w:t>
            </w:r>
            <w:r>
              <w:rPr>
                <w:rFonts w:hint="eastAsia"/>
                <w:sz w:val="24"/>
                <w:szCs w:val="24"/>
                <w:lang w:val="en-US" w:eastAsia="zh-CN"/>
              </w:rPr>
              <w:t>/方式</w:t>
            </w:r>
          </w:p>
        </w:tc>
        <w:tc>
          <w:tcPr>
            <w:tcW w:w="7616" w:type="dxa"/>
            <w:vAlign w:val="center"/>
          </w:tcPr>
          <w:p w14:paraId="1D2CDDD0">
            <w:pPr>
              <w:pStyle w:val="11"/>
              <w:ind w:left="0"/>
              <w:jc w:val="both"/>
              <w:rPr>
                <w:rFonts w:hint="default"/>
                <w:sz w:val="24"/>
                <w:szCs w:val="24"/>
                <w:lang w:val="en-US" w:eastAsia="zh-CN"/>
              </w:rPr>
            </w:pPr>
            <w:r>
              <w:rPr>
                <w:rFonts w:hint="eastAsia"/>
                <w:sz w:val="24"/>
                <w:szCs w:val="24"/>
                <w:lang w:val="en-US" w:eastAsia="zh-CN"/>
              </w:rPr>
              <w:t>上海证券交易所上证路演中心/</w:t>
            </w:r>
            <w:r>
              <w:rPr>
                <w:rFonts w:hint="eastAsia" w:asciiTheme="minorEastAsia" w:hAnsiTheme="minorEastAsia" w:eastAsiaTheme="minorEastAsia" w:cstheme="minorEastAsia"/>
                <w:i w:val="0"/>
                <w:iCs w:val="0"/>
                <w:caps w:val="0"/>
                <w:color w:val="00050E"/>
                <w:spacing w:val="0"/>
                <w:sz w:val="24"/>
                <w:szCs w:val="24"/>
                <w:shd w:val="clear" w:fill="FFFFFF"/>
              </w:rPr>
              <w:t>自行录制+网络文字互动问答</w:t>
            </w:r>
          </w:p>
        </w:tc>
      </w:tr>
      <w:tr w14:paraId="06F99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8" w:type="dxa"/>
            <w:vAlign w:val="center"/>
          </w:tcPr>
          <w:p w14:paraId="03C8EDA6">
            <w:pPr>
              <w:tabs>
                <w:tab w:val="left" w:pos="828"/>
              </w:tabs>
              <w:jc w:val="center"/>
              <w:rPr>
                <w:rFonts w:hint="eastAsia"/>
                <w:sz w:val="24"/>
                <w:szCs w:val="24"/>
                <w:lang w:eastAsia="zh-CN"/>
              </w:rPr>
            </w:pPr>
            <w:r>
              <w:rPr>
                <w:rFonts w:hint="eastAsia"/>
                <w:sz w:val="24"/>
                <w:szCs w:val="24"/>
                <w:lang w:eastAsia="zh-CN"/>
              </w:rPr>
              <w:t>上市公司</w:t>
            </w:r>
          </w:p>
          <w:p w14:paraId="01664318">
            <w:pPr>
              <w:tabs>
                <w:tab w:val="left" w:pos="828"/>
              </w:tabs>
              <w:jc w:val="center"/>
              <w:rPr>
                <w:sz w:val="24"/>
                <w:szCs w:val="24"/>
                <w:lang w:eastAsia="zh-CN"/>
              </w:rPr>
            </w:pPr>
            <w:r>
              <w:rPr>
                <w:rFonts w:hint="eastAsia"/>
                <w:sz w:val="24"/>
                <w:szCs w:val="24"/>
                <w:lang w:eastAsia="zh-CN"/>
              </w:rPr>
              <w:t>接待人员姓名</w:t>
            </w:r>
          </w:p>
        </w:tc>
        <w:tc>
          <w:tcPr>
            <w:tcW w:w="7616" w:type="dxa"/>
            <w:vAlign w:val="center"/>
          </w:tcPr>
          <w:p w14:paraId="627B1AD5">
            <w:pPr>
              <w:pStyle w:val="11"/>
              <w:keepNext w:val="0"/>
              <w:keepLines w:val="0"/>
              <w:pageBreakBefore w:val="0"/>
              <w:widowControl w:val="0"/>
              <w:kinsoku/>
              <w:wordWrap/>
              <w:overflowPunct/>
              <w:topLinePunct w:val="0"/>
              <w:autoSpaceDE w:val="0"/>
              <w:autoSpaceDN w:val="0"/>
              <w:bidi w:val="0"/>
              <w:adjustRightInd/>
              <w:snapToGrid/>
              <w:spacing w:line="400" w:lineRule="exact"/>
              <w:ind w:left="0"/>
              <w:jc w:val="both"/>
              <w:textAlignment w:val="auto"/>
              <w:rPr>
                <w:rFonts w:hint="default"/>
                <w:sz w:val="24"/>
                <w:szCs w:val="24"/>
                <w:lang w:val="en-US" w:eastAsia="zh-CN"/>
              </w:rPr>
            </w:pPr>
            <w:r>
              <w:rPr>
                <w:rFonts w:hint="eastAsia"/>
                <w:sz w:val="24"/>
                <w:szCs w:val="24"/>
                <w:lang w:val="en-US" w:eastAsia="zh-CN"/>
              </w:rPr>
              <w:t>董事长：荆新保先生</w:t>
            </w:r>
          </w:p>
          <w:p w14:paraId="0D6E9281">
            <w:pPr>
              <w:pStyle w:val="11"/>
              <w:keepNext w:val="0"/>
              <w:keepLines w:val="0"/>
              <w:pageBreakBefore w:val="0"/>
              <w:widowControl w:val="0"/>
              <w:kinsoku/>
              <w:wordWrap/>
              <w:overflowPunct/>
              <w:topLinePunct w:val="0"/>
              <w:autoSpaceDE w:val="0"/>
              <w:autoSpaceDN w:val="0"/>
              <w:bidi w:val="0"/>
              <w:adjustRightInd/>
              <w:snapToGrid/>
              <w:spacing w:line="400" w:lineRule="exact"/>
              <w:ind w:left="0"/>
              <w:jc w:val="both"/>
              <w:textAlignment w:val="auto"/>
              <w:rPr>
                <w:rFonts w:hint="eastAsia"/>
                <w:sz w:val="24"/>
                <w:szCs w:val="24"/>
                <w:lang w:val="en-US" w:eastAsia="zh-CN"/>
              </w:rPr>
            </w:pPr>
            <w:r>
              <w:rPr>
                <w:rFonts w:hint="eastAsia"/>
                <w:sz w:val="24"/>
                <w:szCs w:val="24"/>
                <w:lang w:val="en-US" w:eastAsia="zh-CN"/>
              </w:rPr>
              <w:t>董事、总经理：吴俊先生</w:t>
            </w:r>
          </w:p>
          <w:p w14:paraId="0CDF960A">
            <w:pPr>
              <w:pStyle w:val="11"/>
              <w:keepNext w:val="0"/>
              <w:keepLines w:val="0"/>
              <w:pageBreakBefore w:val="0"/>
              <w:widowControl w:val="0"/>
              <w:kinsoku/>
              <w:wordWrap/>
              <w:overflowPunct/>
              <w:topLinePunct w:val="0"/>
              <w:autoSpaceDE w:val="0"/>
              <w:autoSpaceDN w:val="0"/>
              <w:bidi w:val="0"/>
              <w:adjustRightInd/>
              <w:snapToGrid/>
              <w:spacing w:line="400" w:lineRule="exact"/>
              <w:ind w:left="0"/>
              <w:jc w:val="both"/>
              <w:textAlignment w:val="auto"/>
              <w:rPr>
                <w:rFonts w:hint="default"/>
                <w:sz w:val="24"/>
                <w:szCs w:val="24"/>
                <w:lang w:val="en-US" w:eastAsia="zh-CN"/>
              </w:rPr>
            </w:pPr>
            <w:r>
              <w:rPr>
                <w:rFonts w:hint="eastAsia"/>
                <w:sz w:val="24"/>
                <w:szCs w:val="24"/>
                <w:lang w:val="en-US" w:eastAsia="zh-CN"/>
              </w:rPr>
              <w:t>董事会秘书（代行）：荆新保先生</w:t>
            </w:r>
          </w:p>
          <w:p w14:paraId="542C85DC">
            <w:pPr>
              <w:pStyle w:val="11"/>
              <w:keepNext w:val="0"/>
              <w:keepLines w:val="0"/>
              <w:pageBreakBefore w:val="0"/>
              <w:widowControl w:val="0"/>
              <w:kinsoku/>
              <w:wordWrap/>
              <w:overflowPunct/>
              <w:topLinePunct w:val="0"/>
              <w:autoSpaceDE w:val="0"/>
              <w:autoSpaceDN w:val="0"/>
              <w:bidi w:val="0"/>
              <w:adjustRightInd/>
              <w:snapToGrid/>
              <w:spacing w:line="400" w:lineRule="exact"/>
              <w:ind w:left="0"/>
              <w:jc w:val="both"/>
              <w:textAlignment w:val="auto"/>
              <w:rPr>
                <w:rFonts w:hint="default"/>
                <w:sz w:val="24"/>
                <w:szCs w:val="24"/>
                <w:lang w:val="en-US" w:eastAsia="zh-CN"/>
              </w:rPr>
            </w:pPr>
            <w:r>
              <w:rPr>
                <w:rFonts w:hint="eastAsia"/>
                <w:sz w:val="24"/>
                <w:szCs w:val="24"/>
                <w:lang w:val="en-US" w:eastAsia="zh-CN"/>
              </w:rPr>
              <w:t>独立董事：张增华先生</w:t>
            </w:r>
          </w:p>
          <w:p w14:paraId="603B6849">
            <w:pPr>
              <w:pStyle w:val="11"/>
              <w:keepNext w:val="0"/>
              <w:keepLines w:val="0"/>
              <w:pageBreakBefore w:val="0"/>
              <w:widowControl w:val="0"/>
              <w:kinsoku/>
              <w:wordWrap/>
              <w:overflowPunct/>
              <w:topLinePunct w:val="0"/>
              <w:autoSpaceDE w:val="0"/>
              <w:autoSpaceDN w:val="0"/>
              <w:bidi w:val="0"/>
              <w:adjustRightInd/>
              <w:snapToGrid/>
              <w:spacing w:line="400" w:lineRule="exact"/>
              <w:ind w:left="0"/>
              <w:jc w:val="both"/>
              <w:textAlignment w:val="auto"/>
              <w:rPr>
                <w:rFonts w:hint="default"/>
                <w:sz w:val="24"/>
                <w:szCs w:val="24"/>
                <w:lang w:val="en-US" w:eastAsia="zh-CN"/>
              </w:rPr>
            </w:pPr>
            <w:r>
              <w:rPr>
                <w:rFonts w:hint="eastAsia"/>
                <w:sz w:val="24"/>
                <w:szCs w:val="24"/>
                <w:lang w:eastAsia="zh-CN"/>
              </w:rPr>
              <w:t>财务总监：李鹏鹏</w:t>
            </w:r>
            <w:r>
              <w:rPr>
                <w:rFonts w:hint="eastAsia"/>
                <w:sz w:val="24"/>
                <w:szCs w:val="24"/>
                <w:lang w:val="en-US" w:eastAsia="zh-CN"/>
              </w:rPr>
              <w:t>先生</w:t>
            </w:r>
          </w:p>
        </w:tc>
      </w:tr>
      <w:tr w14:paraId="19825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8" w:type="dxa"/>
            <w:vAlign w:val="center"/>
          </w:tcPr>
          <w:p w14:paraId="3F55B619">
            <w:pPr>
              <w:tabs>
                <w:tab w:val="left" w:pos="828"/>
              </w:tabs>
              <w:spacing w:line="360" w:lineRule="auto"/>
              <w:jc w:val="center"/>
              <w:rPr>
                <w:sz w:val="24"/>
                <w:szCs w:val="24"/>
                <w:lang w:eastAsia="zh-CN"/>
              </w:rPr>
            </w:pPr>
            <w:r>
              <w:rPr>
                <w:rFonts w:hint="eastAsia"/>
                <w:sz w:val="24"/>
                <w:szCs w:val="24"/>
                <w:lang w:eastAsia="zh-CN"/>
              </w:rPr>
              <w:t>投资者关系活动主要内容介绍</w:t>
            </w:r>
          </w:p>
        </w:tc>
        <w:tc>
          <w:tcPr>
            <w:tcW w:w="7616" w:type="dxa"/>
            <w:vAlign w:val="center"/>
          </w:tcPr>
          <w:p w14:paraId="14341D79">
            <w:pPr>
              <w:keepNext w:val="0"/>
              <w:keepLines w:val="0"/>
              <w:pageBreakBefore w:val="0"/>
              <w:widowControl w:val="0"/>
              <w:kinsoku/>
              <w:wordWrap/>
              <w:overflowPunct/>
              <w:topLinePunct w:val="0"/>
              <w:autoSpaceDE w:val="0"/>
              <w:autoSpaceDN w:val="0"/>
              <w:bidi w:val="0"/>
              <w:adjustRightInd/>
              <w:snapToGrid/>
              <w:spacing w:line="420" w:lineRule="exact"/>
              <w:ind w:firstLine="480" w:firstLineChars="200"/>
              <w:jc w:val="both"/>
              <w:textAlignment w:val="auto"/>
              <w:rPr>
                <w:rFonts w:ascii="宋体" w:hAnsi="宋体" w:eastAsia="宋体" w:cs="宋体"/>
                <w:sz w:val="24"/>
                <w:szCs w:val="24"/>
              </w:rPr>
            </w:pPr>
            <w:bookmarkStart w:id="0" w:name="_GoBack"/>
            <w:r>
              <w:rPr>
                <w:rFonts w:ascii="宋体" w:hAnsi="宋体" w:eastAsia="宋体" w:cs="宋体"/>
                <w:sz w:val="24"/>
                <w:szCs w:val="24"/>
              </w:rPr>
              <w:t>公司于</w:t>
            </w:r>
            <w:r>
              <w:rPr>
                <w:rFonts w:hint="eastAsia" w:cs="宋体"/>
                <w:sz w:val="24"/>
                <w:szCs w:val="24"/>
                <w:lang w:val="en-US" w:eastAsia="zh-CN"/>
              </w:rPr>
              <w:t>2026</w:t>
            </w:r>
            <w:r>
              <w:rPr>
                <w:rFonts w:ascii="宋体" w:hAnsi="宋体" w:eastAsia="宋体" w:cs="宋体"/>
                <w:sz w:val="24"/>
                <w:szCs w:val="24"/>
              </w:rPr>
              <w:t>年</w:t>
            </w:r>
            <w:r>
              <w:rPr>
                <w:rFonts w:hint="eastAsia" w:cs="宋体"/>
                <w:sz w:val="24"/>
                <w:szCs w:val="24"/>
                <w:lang w:val="en-US" w:eastAsia="zh-CN"/>
              </w:rPr>
              <w:t>10</w:t>
            </w:r>
            <w:r>
              <w:rPr>
                <w:rFonts w:ascii="宋体" w:hAnsi="宋体" w:eastAsia="宋体" w:cs="宋体"/>
                <w:sz w:val="24"/>
                <w:szCs w:val="24"/>
              </w:rPr>
              <w:t>月</w:t>
            </w:r>
            <w:r>
              <w:rPr>
                <w:rFonts w:hint="eastAsia" w:cs="宋体"/>
                <w:sz w:val="24"/>
                <w:szCs w:val="24"/>
                <w:lang w:val="en-US" w:eastAsia="zh-CN"/>
              </w:rPr>
              <w:t>20</w:t>
            </w:r>
            <w:r>
              <w:rPr>
                <w:rFonts w:ascii="宋体" w:hAnsi="宋体" w:eastAsia="宋体" w:cs="宋体"/>
                <w:sz w:val="24"/>
                <w:szCs w:val="24"/>
              </w:rPr>
              <w:t>日（周</w:t>
            </w:r>
            <w:r>
              <w:rPr>
                <w:rFonts w:hint="eastAsia" w:cs="宋体"/>
                <w:sz w:val="24"/>
                <w:szCs w:val="24"/>
                <w:lang w:val="en-US" w:eastAsia="zh-CN"/>
              </w:rPr>
              <w:t>二</w:t>
            </w:r>
            <w:r>
              <w:rPr>
                <w:rFonts w:ascii="宋体" w:hAnsi="宋体" w:eastAsia="宋体" w:cs="宋体"/>
                <w:sz w:val="24"/>
                <w:szCs w:val="24"/>
              </w:rPr>
              <w:t>）召开</w:t>
            </w:r>
            <w:r>
              <w:rPr>
                <w:rFonts w:hint="eastAsia" w:cs="宋体"/>
                <w:sz w:val="24"/>
                <w:szCs w:val="24"/>
                <w:lang w:val="en-US" w:eastAsia="zh-CN"/>
              </w:rPr>
              <w:t>2026</w:t>
            </w:r>
            <w:r>
              <w:rPr>
                <w:rFonts w:ascii="宋体" w:hAnsi="宋体" w:eastAsia="宋体" w:cs="宋体"/>
                <w:sz w:val="24"/>
                <w:szCs w:val="24"/>
              </w:rPr>
              <w:t>年</w:t>
            </w:r>
            <w:r>
              <w:rPr>
                <w:rFonts w:hint="eastAsia" w:cs="宋体"/>
                <w:sz w:val="24"/>
                <w:szCs w:val="24"/>
                <w:lang w:val="en-US" w:eastAsia="zh-CN"/>
              </w:rPr>
              <w:t>半年度</w:t>
            </w:r>
            <w:r>
              <w:rPr>
                <w:rFonts w:ascii="宋体" w:hAnsi="宋体" w:eastAsia="宋体" w:cs="宋体"/>
                <w:sz w:val="24"/>
                <w:szCs w:val="24"/>
              </w:rPr>
              <w:t>业绩说明会。本次业绩说明会</w:t>
            </w:r>
            <w:r>
              <w:rPr>
                <w:rFonts w:hint="eastAsia" w:cs="宋体"/>
                <w:sz w:val="24"/>
                <w:szCs w:val="24"/>
                <w:lang w:val="en-US" w:eastAsia="zh-CN"/>
              </w:rPr>
              <w:t>采取</w:t>
            </w:r>
            <w:r>
              <w:rPr>
                <w:rFonts w:hint="eastAsia" w:asciiTheme="minorEastAsia" w:hAnsiTheme="minorEastAsia" w:eastAsiaTheme="minorEastAsia" w:cstheme="minorEastAsia"/>
                <w:i w:val="0"/>
                <w:iCs w:val="0"/>
                <w:caps w:val="0"/>
                <w:color w:val="00050E"/>
                <w:spacing w:val="0"/>
                <w:sz w:val="24"/>
                <w:szCs w:val="24"/>
                <w:shd w:val="clear" w:fill="FFFFFF"/>
              </w:rPr>
              <w:t>自行录制+网络文字互动问答</w:t>
            </w:r>
            <w:r>
              <w:rPr>
                <w:rFonts w:ascii="宋体" w:hAnsi="宋体" w:eastAsia="宋体" w:cs="宋体"/>
                <w:sz w:val="24"/>
                <w:szCs w:val="24"/>
              </w:rPr>
              <w:t>形式召开。完整交流内容请见上证路演中心网站（https://roadshow.sseinfo.com）</w:t>
            </w:r>
            <w:r>
              <w:rPr>
                <w:rFonts w:hint="eastAsia" w:cs="宋体"/>
                <w:sz w:val="24"/>
                <w:szCs w:val="24"/>
                <w:lang w:eastAsia="zh-CN"/>
              </w:rPr>
              <w:t>。</w:t>
            </w:r>
            <w:r>
              <w:rPr>
                <w:rFonts w:ascii="宋体" w:hAnsi="宋体" w:eastAsia="宋体" w:cs="宋体"/>
                <w:sz w:val="24"/>
                <w:szCs w:val="24"/>
              </w:rPr>
              <w:t>主要交流内容如下：</w:t>
            </w:r>
          </w:p>
          <w:p w14:paraId="73C26756">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rFonts w:hint="eastAsia" w:cs="宋体"/>
                <w:b/>
                <w:bCs/>
                <w:sz w:val="24"/>
                <w:szCs w:val="24"/>
                <w:lang w:val="en-US" w:eastAsia="zh-CN"/>
              </w:rPr>
            </w:pPr>
            <w:r>
              <w:rPr>
                <w:rFonts w:hint="eastAsia" w:cs="宋体"/>
                <w:b/>
                <w:bCs/>
                <w:sz w:val="24"/>
                <w:szCs w:val="24"/>
                <w:lang w:val="en-US" w:eastAsia="zh-CN"/>
              </w:rPr>
              <w:t>一、请问董事长，林海股份怎么解决和林海集团的同业竞争</w:t>
            </w:r>
          </w:p>
          <w:p w14:paraId="7ACCECA2">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rFonts w:hint="eastAsia" w:cs="宋体"/>
                <w:b w:val="0"/>
                <w:bCs w:val="0"/>
                <w:sz w:val="24"/>
                <w:szCs w:val="24"/>
                <w:lang w:val="en-US" w:eastAsia="zh-CN"/>
              </w:rPr>
            </w:pPr>
            <w:r>
              <w:rPr>
                <w:rFonts w:hint="eastAsia" w:cs="宋体"/>
                <w:b/>
                <w:bCs/>
                <w:sz w:val="24"/>
                <w:szCs w:val="24"/>
                <w:lang w:val="en-US" w:eastAsia="zh-CN"/>
              </w:rPr>
              <w:t>回复：</w:t>
            </w:r>
            <w:r>
              <w:rPr>
                <w:rFonts w:hint="eastAsia" w:cs="宋体"/>
                <w:b w:val="0"/>
                <w:bCs w:val="0"/>
                <w:sz w:val="24"/>
                <w:szCs w:val="24"/>
                <w:lang w:val="en-US" w:eastAsia="zh-CN"/>
              </w:rPr>
              <w:t>尊敬的投资者您好，林海股份与林海集团不存在同业竞争，感谢您的关注！</w:t>
            </w:r>
          </w:p>
          <w:p w14:paraId="0B2077A4">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rFonts w:hint="eastAsia" w:cs="宋体"/>
                <w:b/>
                <w:bCs/>
                <w:sz w:val="24"/>
                <w:szCs w:val="24"/>
                <w:lang w:val="en-US" w:eastAsia="zh-CN"/>
              </w:rPr>
            </w:pPr>
            <w:r>
              <w:rPr>
                <w:rFonts w:hint="eastAsia" w:cs="宋体"/>
                <w:b/>
                <w:bCs/>
                <w:sz w:val="24"/>
                <w:szCs w:val="24"/>
                <w:lang w:val="en-US" w:eastAsia="zh-CN"/>
              </w:rPr>
              <w:t>二、公司今年产品出口情况怎么样？未来预期如何？</w:t>
            </w:r>
          </w:p>
          <w:p w14:paraId="271F6869">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rFonts w:hint="eastAsia" w:cs="宋体"/>
                <w:b/>
                <w:bCs/>
                <w:sz w:val="24"/>
                <w:szCs w:val="24"/>
                <w:lang w:val="en-US" w:eastAsia="zh-CN"/>
              </w:rPr>
            </w:pPr>
            <w:r>
              <w:rPr>
                <w:rFonts w:hint="eastAsia" w:cs="宋体"/>
                <w:b/>
                <w:bCs/>
                <w:sz w:val="24"/>
                <w:szCs w:val="24"/>
                <w:lang w:val="en-US" w:eastAsia="zh-CN"/>
              </w:rPr>
              <w:t>回复：</w:t>
            </w:r>
            <w:r>
              <w:rPr>
                <w:rFonts w:hint="eastAsia" w:cs="宋体"/>
                <w:b w:val="0"/>
                <w:bCs w:val="0"/>
                <w:sz w:val="24"/>
                <w:szCs w:val="24"/>
                <w:lang w:val="en-US" w:eastAsia="zh-CN"/>
              </w:rPr>
              <w:t>尊敬的投资者您好，2026年上半年，公司出口业务保持良好增长态势：特种车辆产品实现营业收入36,750.27万元，同比增长63.37%；摩托车产品实现营业收入7,846.09万元，同比增长27.39%；收割机产品实现批量出口。未来，公司将继续重视国际化经营工作，一是在巩固现有市场的基础上，进一步优化产品结构，针对不同区域市场需求，加大适销对路产品的研发与投放力度；二是持续完善海外营销网络与售后服务体系，提升品牌在国际市场的影响力；三是围绕全地形车产品在海外市场的多场景应用，积极探索与国机集团体系内国际化经营重点企业的业务协同；四是积极研究、推动森林消防装备和农业机械出口业务，力争开辟新的业绩增长点。感谢您的关注！</w:t>
            </w:r>
            <w:r>
              <w:rPr>
                <w:rFonts w:hint="eastAsia" w:cs="宋体"/>
                <w:b/>
                <w:bCs/>
                <w:sz w:val="24"/>
                <w:szCs w:val="24"/>
                <w:lang w:val="en-US" w:eastAsia="zh-CN"/>
              </w:rPr>
              <w:t>三、公司上半年特种车辆海外收入增长亮眼，后续海外市场是否会面临贸易壁垒、汇率压力？</w:t>
            </w:r>
          </w:p>
          <w:p w14:paraId="4E9281C3">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rFonts w:hint="default" w:cs="宋体"/>
                <w:b w:val="0"/>
                <w:bCs w:val="0"/>
                <w:sz w:val="24"/>
                <w:szCs w:val="24"/>
                <w:lang w:val="en-US" w:eastAsia="zh-CN"/>
              </w:rPr>
            </w:pPr>
            <w:r>
              <w:rPr>
                <w:rFonts w:hint="eastAsia" w:cs="宋体"/>
                <w:b/>
                <w:bCs/>
                <w:sz w:val="24"/>
                <w:szCs w:val="24"/>
                <w:lang w:val="en-US" w:eastAsia="zh-CN"/>
              </w:rPr>
              <w:t>回复：</w:t>
            </w:r>
            <w:r>
              <w:rPr>
                <w:rFonts w:hint="default" w:cs="宋体"/>
                <w:b w:val="0"/>
                <w:bCs w:val="0"/>
                <w:sz w:val="24"/>
                <w:szCs w:val="24"/>
                <w:lang w:val="en-US" w:eastAsia="zh-CN"/>
              </w:rPr>
              <w:t>尊敬的投资者您好，公司特种车辆行业受国际地缘政治冲突和由此引起的海外经济环境变化，以及美国关税政策可能引起的一系列全球性的贸易保护主义、贸易壁垒影响，预计存在一定的不确定性。同时，受国际形势的影响，若人民币汇率大幅波动，可能产生一定汇兑损失的风险，并对公司出口销售产生一定的影响。</w:t>
            </w:r>
          </w:p>
          <w:p w14:paraId="0AEACCC7">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rFonts w:hint="default" w:cs="宋体"/>
                <w:b w:val="0"/>
                <w:bCs w:val="0"/>
                <w:sz w:val="24"/>
                <w:szCs w:val="24"/>
                <w:lang w:val="en-US" w:eastAsia="zh-CN"/>
              </w:rPr>
            </w:pPr>
            <w:r>
              <w:rPr>
                <w:rFonts w:hint="default" w:cs="宋体"/>
                <w:b w:val="0"/>
                <w:bCs w:val="0"/>
                <w:sz w:val="24"/>
                <w:szCs w:val="24"/>
                <w:lang w:val="en-US" w:eastAsia="zh-CN"/>
              </w:rPr>
              <w:t>公司将坚持产品竞争力提升与业务模式创新并重，不断深化改革，加快新产品开发速度和新项目进度，加快转型升级步伐，积极探索针对海外市场风险的应对措施，有效应对市场风险。同时，持续加强对外汇市场及汇率走势的跟踪研判，通过优化定价机制、及时结汇、远期结售汇等方式，有效降低汇兑损失的风险。感谢您的关注！</w:t>
            </w:r>
          </w:p>
          <w:p w14:paraId="103B52A7">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rFonts w:hint="eastAsia" w:cs="宋体"/>
                <w:b/>
                <w:bCs/>
                <w:sz w:val="24"/>
                <w:szCs w:val="24"/>
                <w:lang w:val="en-US" w:eastAsia="zh-CN"/>
              </w:rPr>
            </w:pPr>
            <w:r>
              <w:rPr>
                <w:rFonts w:hint="eastAsia" w:cs="宋体"/>
                <w:b/>
                <w:bCs/>
                <w:sz w:val="24"/>
                <w:szCs w:val="24"/>
                <w:lang w:val="en-US" w:eastAsia="zh-CN"/>
              </w:rPr>
              <w:t>四、尊敬的领导，上午好！作为中小投资者，有以下问题：1、可视化半年报显示，公司半年业绩继续保持良好增长，净资产收益率增长但毛利率下滑，财务费用率、资产负债率均大幅增加，另外筹资性和投资性现金流均是负值，能否分析一下原因？2、介绍一下公司海外业务的发展前景，目前公司收入和利润的占比？3、公司在舆情管理方面做了哪些基础性的工作？一旦遇到突发舆情，公司将如何应对？</w:t>
            </w:r>
          </w:p>
          <w:p w14:paraId="616CA31B">
            <w:pPr>
              <w:keepNext w:val="0"/>
              <w:keepLines w:val="0"/>
              <w:pageBreakBefore w:val="0"/>
              <w:widowControl w:val="0"/>
              <w:kinsoku/>
              <w:wordWrap/>
              <w:overflowPunct/>
              <w:topLinePunct w:val="0"/>
              <w:autoSpaceDE w:val="0"/>
              <w:autoSpaceDN w:val="0"/>
              <w:bidi w:val="0"/>
              <w:adjustRightInd/>
              <w:snapToGrid/>
              <w:spacing w:line="420" w:lineRule="exact"/>
              <w:jc w:val="both"/>
              <w:textAlignment w:val="auto"/>
              <w:rPr>
                <w:rFonts w:hint="default" w:cs="宋体"/>
                <w:b w:val="0"/>
                <w:bCs w:val="0"/>
                <w:sz w:val="24"/>
                <w:szCs w:val="24"/>
                <w:lang w:val="en-US" w:eastAsia="zh-CN"/>
              </w:rPr>
            </w:pPr>
            <w:r>
              <w:rPr>
                <w:rFonts w:hint="eastAsia" w:cs="宋体"/>
                <w:b/>
                <w:bCs/>
                <w:sz w:val="24"/>
                <w:szCs w:val="24"/>
                <w:lang w:val="en-US" w:eastAsia="zh-CN"/>
              </w:rPr>
              <w:t>回复：</w:t>
            </w:r>
            <w:r>
              <w:rPr>
                <w:rFonts w:hint="eastAsia" w:cs="宋体"/>
                <w:b w:val="0"/>
                <w:bCs w:val="0"/>
                <w:sz w:val="24"/>
                <w:szCs w:val="24"/>
                <w:lang w:val="en-US" w:eastAsia="zh-CN"/>
              </w:rPr>
              <w:t>尊敬的投资者您好，公司财务费用率增长主要是报告期内受汇率变动影响，本期汇兑净收益较同期减少，同时存款利率呈现持续下行趋势，公司存款利息收入较同期减少所致。资产负债率增长主要是因为随着公司业务增长，应付账款和应付票据增加。筹资活动产生的现金流量净额变动主要是报告期内公司支付股东红利较同期增加所致。公司海外业务营收占比约为60%，海外业务毛利贡献占比约为50%。公司已经制定《舆情管理制度》，遇到突发舆情，公司将根据相关制度及规定，积极应对。感谢您的关注!</w:t>
            </w:r>
            <w:bookmarkEnd w:id="0"/>
          </w:p>
        </w:tc>
      </w:tr>
      <w:tr w14:paraId="38D8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978" w:type="dxa"/>
          </w:tcPr>
          <w:p w14:paraId="643BD6B9">
            <w:pPr>
              <w:pStyle w:val="11"/>
              <w:keepNext w:val="0"/>
              <w:keepLines w:val="0"/>
              <w:pageBreakBefore w:val="0"/>
              <w:widowControl w:val="0"/>
              <w:kinsoku/>
              <w:wordWrap/>
              <w:overflowPunct/>
              <w:topLinePunct w:val="0"/>
              <w:autoSpaceDE w:val="0"/>
              <w:autoSpaceDN w:val="0"/>
              <w:bidi w:val="0"/>
              <w:adjustRightInd/>
              <w:snapToGrid/>
              <w:ind w:left="108" w:right="-17"/>
              <w:jc w:val="center"/>
              <w:textAlignment w:val="auto"/>
              <w:rPr>
                <w:sz w:val="24"/>
                <w:szCs w:val="24"/>
              </w:rPr>
            </w:pPr>
            <w:r>
              <w:rPr>
                <w:rFonts w:hint="eastAsia"/>
                <w:sz w:val="24"/>
                <w:szCs w:val="24"/>
              </w:rPr>
              <w:t>附件清单</w:t>
            </w:r>
          </w:p>
          <w:p w14:paraId="0776811C">
            <w:pPr>
              <w:pStyle w:val="11"/>
              <w:keepNext w:val="0"/>
              <w:keepLines w:val="0"/>
              <w:pageBreakBefore w:val="0"/>
              <w:widowControl w:val="0"/>
              <w:kinsoku/>
              <w:wordWrap/>
              <w:overflowPunct/>
              <w:topLinePunct w:val="0"/>
              <w:autoSpaceDE w:val="0"/>
              <w:autoSpaceDN w:val="0"/>
              <w:bidi w:val="0"/>
              <w:adjustRightInd/>
              <w:snapToGrid/>
              <w:ind w:left="108" w:right="-17"/>
              <w:jc w:val="center"/>
              <w:textAlignment w:val="auto"/>
              <w:rPr>
                <w:sz w:val="24"/>
                <w:szCs w:val="24"/>
                <w:lang w:eastAsia="zh-CN"/>
              </w:rPr>
            </w:pPr>
            <w:r>
              <w:rPr>
                <w:rFonts w:hint="eastAsia"/>
                <w:sz w:val="24"/>
                <w:szCs w:val="24"/>
                <w:lang w:eastAsia="zh-CN"/>
              </w:rPr>
              <w:t>(如有)</w:t>
            </w:r>
          </w:p>
        </w:tc>
        <w:tc>
          <w:tcPr>
            <w:tcW w:w="7616" w:type="dxa"/>
            <w:vAlign w:val="center"/>
          </w:tcPr>
          <w:p w14:paraId="6330173D">
            <w:pPr>
              <w:pStyle w:val="11"/>
              <w:spacing w:before="41"/>
              <w:ind w:left="105" w:right="-19"/>
              <w:jc w:val="both"/>
              <w:rPr>
                <w:sz w:val="24"/>
                <w:szCs w:val="24"/>
                <w:lang w:eastAsia="zh-CN"/>
              </w:rPr>
            </w:pPr>
            <w:r>
              <w:rPr>
                <w:rFonts w:hint="eastAsia"/>
                <w:sz w:val="24"/>
                <w:szCs w:val="24"/>
                <w:lang w:eastAsia="zh-CN"/>
              </w:rPr>
              <w:t>无</w:t>
            </w:r>
          </w:p>
        </w:tc>
      </w:tr>
      <w:tr w14:paraId="4C53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978" w:type="dxa"/>
          </w:tcPr>
          <w:p w14:paraId="48A35F6B">
            <w:pPr>
              <w:pStyle w:val="11"/>
              <w:spacing w:before="108"/>
              <w:ind w:left="105"/>
              <w:jc w:val="center"/>
              <w:rPr>
                <w:sz w:val="24"/>
                <w:szCs w:val="24"/>
                <w:lang w:eastAsia="zh-CN"/>
              </w:rPr>
            </w:pPr>
            <w:r>
              <w:rPr>
                <w:rFonts w:hint="eastAsia"/>
                <w:sz w:val="24"/>
                <w:szCs w:val="24"/>
              </w:rPr>
              <w:t>日期</w:t>
            </w:r>
          </w:p>
        </w:tc>
        <w:tc>
          <w:tcPr>
            <w:tcW w:w="7616" w:type="dxa"/>
          </w:tcPr>
          <w:p w14:paraId="724FFE81">
            <w:pPr>
              <w:pStyle w:val="11"/>
              <w:spacing w:before="108"/>
              <w:jc w:val="both"/>
              <w:rPr>
                <w:sz w:val="24"/>
                <w:szCs w:val="24"/>
                <w:lang w:eastAsia="zh-CN"/>
              </w:rPr>
            </w:pPr>
            <w:r>
              <w:rPr>
                <w:rFonts w:hint="eastAsia"/>
                <w:sz w:val="24"/>
                <w:szCs w:val="24"/>
                <w:lang w:eastAsia="zh-CN"/>
              </w:rPr>
              <w:t>20</w:t>
            </w:r>
            <w:r>
              <w:rPr>
                <w:rFonts w:hint="eastAsia"/>
                <w:sz w:val="24"/>
                <w:szCs w:val="24"/>
                <w:lang w:val="en-US" w:eastAsia="zh-CN"/>
              </w:rPr>
              <w:t>26</w:t>
            </w:r>
            <w:r>
              <w:rPr>
                <w:rFonts w:hint="eastAsia"/>
                <w:sz w:val="24"/>
                <w:szCs w:val="24"/>
              </w:rPr>
              <w:t>年</w:t>
            </w:r>
            <w:r>
              <w:rPr>
                <w:rFonts w:hint="eastAsia"/>
                <w:sz w:val="24"/>
                <w:szCs w:val="24"/>
                <w:lang w:val="en-US" w:eastAsia="zh-CN"/>
              </w:rPr>
              <w:t>10</w:t>
            </w:r>
            <w:r>
              <w:rPr>
                <w:rFonts w:hint="eastAsia"/>
                <w:sz w:val="24"/>
                <w:szCs w:val="24"/>
              </w:rPr>
              <w:t>月</w:t>
            </w:r>
            <w:r>
              <w:rPr>
                <w:rFonts w:hint="eastAsia"/>
                <w:sz w:val="24"/>
                <w:szCs w:val="24"/>
                <w:lang w:val="en-US" w:eastAsia="zh-CN"/>
              </w:rPr>
              <w:t>20</w:t>
            </w:r>
            <w:r>
              <w:rPr>
                <w:rFonts w:hint="eastAsia"/>
                <w:sz w:val="24"/>
                <w:szCs w:val="24"/>
              </w:rPr>
              <w:t>日</w:t>
            </w:r>
          </w:p>
        </w:tc>
      </w:tr>
    </w:tbl>
    <w:p w14:paraId="190DC9FB"/>
    <w:sectPr>
      <w:pgSz w:w="11910" w:h="16840"/>
      <w:pgMar w:top="1191" w:right="1560" w:bottom="1134" w:left="15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mOGViMzE5ZjYzMmFmZTRmNTQwZDMzNzk2ODdhYmYifQ=="/>
  </w:docVars>
  <w:rsids>
    <w:rsidRoot w:val="002E6828"/>
    <w:rsid w:val="0007798A"/>
    <w:rsid w:val="000A18FB"/>
    <w:rsid w:val="00231C2F"/>
    <w:rsid w:val="002D2416"/>
    <w:rsid w:val="002E6828"/>
    <w:rsid w:val="00312CD5"/>
    <w:rsid w:val="00344D2A"/>
    <w:rsid w:val="00361CDA"/>
    <w:rsid w:val="00487135"/>
    <w:rsid w:val="00521AB5"/>
    <w:rsid w:val="00574784"/>
    <w:rsid w:val="006932BD"/>
    <w:rsid w:val="006D2A98"/>
    <w:rsid w:val="006F5F10"/>
    <w:rsid w:val="00746E46"/>
    <w:rsid w:val="00786637"/>
    <w:rsid w:val="007C6E95"/>
    <w:rsid w:val="00875AC1"/>
    <w:rsid w:val="009153DF"/>
    <w:rsid w:val="00967F00"/>
    <w:rsid w:val="00976781"/>
    <w:rsid w:val="00A15C49"/>
    <w:rsid w:val="00AB59E5"/>
    <w:rsid w:val="00AE5207"/>
    <w:rsid w:val="00B42812"/>
    <w:rsid w:val="00B82246"/>
    <w:rsid w:val="00BD006A"/>
    <w:rsid w:val="00CA511F"/>
    <w:rsid w:val="00E37B6C"/>
    <w:rsid w:val="00E516E3"/>
    <w:rsid w:val="00EA2D10"/>
    <w:rsid w:val="01115C7F"/>
    <w:rsid w:val="01315624"/>
    <w:rsid w:val="014F4893"/>
    <w:rsid w:val="02713DE6"/>
    <w:rsid w:val="02A23DA7"/>
    <w:rsid w:val="02DF2093"/>
    <w:rsid w:val="043438CC"/>
    <w:rsid w:val="0453511D"/>
    <w:rsid w:val="055D1082"/>
    <w:rsid w:val="05784265"/>
    <w:rsid w:val="058E2A81"/>
    <w:rsid w:val="05C55124"/>
    <w:rsid w:val="06AD6F44"/>
    <w:rsid w:val="06CE1DB6"/>
    <w:rsid w:val="07A71460"/>
    <w:rsid w:val="07BC2556"/>
    <w:rsid w:val="08517DBF"/>
    <w:rsid w:val="08A21AF3"/>
    <w:rsid w:val="08CC6078"/>
    <w:rsid w:val="0A375EC4"/>
    <w:rsid w:val="0A3E69D1"/>
    <w:rsid w:val="0A5346D9"/>
    <w:rsid w:val="0A7B67B1"/>
    <w:rsid w:val="0AB063A2"/>
    <w:rsid w:val="0ABF74D6"/>
    <w:rsid w:val="0BF51F2D"/>
    <w:rsid w:val="0C0C702E"/>
    <w:rsid w:val="0C3E5B31"/>
    <w:rsid w:val="0D036452"/>
    <w:rsid w:val="0D677404"/>
    <w:rsid w:val="0D6E60A1"/>
    <w:rsid w:val="0DB3350E"/>
    <w:rsid w:val="0DB6446C"/>
    <w:rsid w:val="0DC97929"/>
    <w:rsid w:val="0E86745E"/>
    <w:rsid w:val="0EE007E8"/>
    <w:rsid w:val="0EE82616"/>
    <w:rsid w:val="0F5E6042"/>
    <w:rsid w:val="0F707EAE"/>
    <w:rsid w:val="0F952C28"/>
    <w:rsid w:val="0FA638D0"/>
    <w:rsid w:val="0FD43597"/>
    <w:rsid w:val="0FEC6BCB"/>
    <w:rsid w:val="0FF15885"/>
    <w:rsid w:val="105D74C7"/>
    <w:rsid w:val="10A12FE8"/>
    <w:rsid w:val="10FD7E68"/>
    <w:rsid w:val="11041023"/>
    <w:rsid w:val="113D38F1"/>
    <w:rsid w:val="121C260C"/>
    <w:rsid w:val="12A66F27"/>
    <w:rsid w:val="12C67C4E"/>
    <w:rsid w:val="13473913"/>
    <w:rsid w:val="13695D54"/>
    <w:rsid w:val="136D1608"/>
    <w:rsid w:val="136F47F2"/>
    <w:rsid w:val="1442760C"/>
    <w:rsid w:val="14DF4854"/>
    <w:rsid w:val="14E76E65"/>
    <w:rsid w:val="15277B3D"/>
    <w:rsid w:val="155928BA"/>
    <w:rsid w:val="15B900D5"/>
    <w:rsid w:val="161C07B7"/>
    <w:rsid w:val="169052DA"/>
    <w:rsid w:val="16CB2F83"/>
    <w:rsid w:val="16D87002"/>
    <w:rsid w:val="173059AA"/>
    <w:rsid w:val="179E5E79"/>
    <w:rsid w:val="17C57E8F"/>
    <w:rsid w:val="186B56B7"/>
    <w:rsid w:val="18E473A1"/>
    <w:rsid w:val="18EC6D45"/>
    <w:rsid w:val="1989323D"/>
    <w:rsid w:val="19C24451"/>
    <w:rsid w:val="1A4E5290"/>
    <w:rsid w:val="1A6D0C8B"/>
    <w:rsid w:val="1A907657"/>
    <w:rsid w:val="1AA16254"/>
    <w:rsid w:val="1AE206AC"/>
    <w:rsid w:val="1B554FAF"/>
    <w:rsid w:val="1B920372"/>
    <w:rsid w:val="1C552DE0"/>
    <w:rsid w:val="1C5B2381"/>
    <w:rsid w:val="1CEC5203"/>
    <w:rsid w:val="1D7F75D2"/>
    <w:rsid w:val="1D8F4263"/>
    <w:rsid w:val="1E047E92"/>
    <w:rsid w:val="1E0C793C"/>
    <w:rsid w:val="1E105E8F"/>
    <w:rsid w:val="1E991657"/>
    <w:rsid w:val="1EAD116E"/>
    <w:rsid w:val="1ED206A0"/>
    <w:rsid w:val="1F384C98"/>
    <w:rsid w:val="1F664E2A"/>
    <w:rsid w:val="20B214F5"/>
    <w:rsid w:val="20B83B8F"/>
    <w:rsid w:val="20FD60D7"/>
    <w:rsid w:val="214722C6"/>
    <w:rsid w:val="21504FB2"/>
    <w:rsid w:val="21A1645C"/>
    <w:rsid w:val="22291070"/>
    <w:rsid w:val="223258CD"/>
    <w:rsid w:val="22C7660E"/>
    <w:rsid w:val="2302255A"/>
    <w:rsid w:val="233223D1"/>
    <w:rsid w:val="235E43E6"/>
    <w:rsid w:val="23612F59"/>
    <w:rsid w:val="23796BA7"/>
    <w:rsid w:val="23A9597F"/>
    <w:rsid w:val="23D9206E"/>
    <w:rsid w:val="24BB5C18"/>
    <w:rsid w:val="24DA5304"/>
    <w:rsid w:val="255D589C"/>
    <w:rsid w:val="2618769F"/>
    <w:rsid w:val="2643564F"/>
    <w:rsid w:val="26D90E92"/>
    <w:rsid w:val="27377EA1"/>
    <w:rsid w:val="2746067F"/>
    <w:rsid w:val="28405D8F"/>
    <w:rsid w:val="28C26FBC"/>
    <w:rsid w:val="28FF1DA8"/>
    <w:rsid w:val="291135F5"/>
    <w:rsid w:val="295F0625"/>
    <w:rsid w:val="29D84B76"/>
    <w:rsid w:val="29E76B67"/>
    <w:rsid w:val="2A2C599F"/>
    <w:rsid w:val="2A973C48"/>
    <w:rsid w:val="2AA61ED3"/>
    <w:rsid w:val="2B8B0885"/>
    <w:rsid w:val="2B93734B"/>
    <w:rsid w:val="2BD15D21"/>
    <w:rsid w:val="2BE912BD"/>
    <w:rsid w:val="2C755F41"/>
    <w:rsid w:val="2C775033"/>
    <w:rsid w:val="2CF9108B"/>
    <w:rsid w:val="2D0732A2"/>
    <w:rsid w:val="2D120D1F"/>
    <w:rsid w:val="2D7E3C87"/>
    <w:rsid w:val="2D937732"/>
    <w:rsid w:val="2DB25727"/>
    <w:rsid w:val="2DBD655D"/>
    <w:rsid w:val="2DBF68A0"/>
    <w:rsid w:val="2DD502B1"/>
    <w:rsid w:val="2DED6716"/>
    <w:rsid w:val="2E032921"/>
    <w:rsid w:val="2E0E596E"/>
    <w:rsid w:val="2E110F39"/>
    <w:rsid w:val="2EA9088F"/>
    <w:rsid w:val="2FC15979"/>
    <w:rsid w:val="301F61D4"/>
    <w:rsid w:val="308524BB"/>
    <w:rsid w:val="30915A7F"/>
    <w:rsid w:val="30A95287"/>
    <w:rsid w:val="30DF2C8E"/>
    <w:rsid w:val="30F87468"/>
    <w:rsid w:val="3199389C"/>
    <w:rsid w:val="31BD307D"/>
    <w:rsid w:val="325767A5"/>
    <w:rsid w:val="32D13BDA"/>
    <w:rsid w:val="32FA693C"/>
    <w:rsid w:val="33355F17"/>
    <w:rsid w:val="33CB3404"/>
    <w:rsid w:val="3513017D"/>
    <w:rsid w:val="353A5AEE"/>
    <w:rsid w:val="360511C1"/>
    <w:rsid w:val="369B2F2B"/>
    <w:rsid w:val="36C76516"/>
    <w:rsid w:val="37416463"/>
    <w:rsid w:val="3751287A"/>
    <w:rsid w:val="379E29EC"/>
    <w:rsid w:val="37AB5678"/>
    <w:rsid w:val="3822004A"/>
    <w:rsid w:val="38854676"/>
    <w:rsid w:val="38AF5476"/>
    <w:rsid w:val="38DF70B8"/>
    <w:rsid w:val="39352EA1"/>
    <w:rsid w:val="393F0F12"/>
    <w:rsid w:val="395D0BF4"/>
    <w:rsid w:val="39A83CA4"/>
    <w:rsid w:val="39C41ADC"/>
    <w:rsid w:val="39C54A63"/>
    <w:rsid w:val="39FC21BB"/>
    <w:rsid w:val="3A1754D5"/>
    <w:rsid w:val="3A7D77A0"/>
    <w:rsid w:val="3AA47AD5"/>
    <w:rsid w:val="3AAF5897"/>
    <w:rsid w:val="3B7E311A"/>
    <w:rsid w:val="3BD766E2"/>
    <w:rsid w:val="3C037BBF"/>
    <w:rsid w:val="3C220374"/>
    <w:rsid w:val="3CF81FA4"/>
    <w:rsid w:val="3D0C1550"/>
    <w:rsid w:val="3D295820"/>
    <w:rsid w:val="3D5A3DC8"/>
    <w:rsid w:val="3D8976D5"/>
    <w:rsid w:val="3E0F588E"/>
    <w:rsid w:val="3E5208B0"/>
    <w:rsid w:val="3EF42A4B"/>
    <w:rsid w:val="3F0F2990"/>
    <w:rsid w:val="3F45474E"/>
    <w:rsid w:val="40430E17"/>
    <w:rsid w:val="406E5A9F"/>
    <w:rsid w:val="406E7B8B"/>
    <w:rsid w:val="41C22FD4"/>
    <w:rsid w:val="41E35778"/>
    <w:rsid w:val="42D950B7"/>
    <w:rsid w:val="436037BB"/>
    <w:rsid w:val="43947A22"/>
    <w:rsid w:val="43B840E5"/>
    <w:rsid w:val="44352E99"/>
    <w:rsid w:val="445826E4"/>
    <w:rsid w:val="447913A7"/>
    <w:rsid w:val="449832F3"/>
    <w:rsid w:val="44CD6516"/>
    <w:rsid w:val="450B1E4C"/>
    <w:rsid w:val="454011EB"/>
    <w:rsid w:val="457A48DC"/>
    <w:rsid w:val="45C57174"/>
    <w:rsid w:val="45D52834"/>
    <w:rsid w:val="45FE037A"/>
    <w:rsid w:val="48AC1250"/>
    <w:rsid w:val="48AF713A"/>
    <w:rsid w:val="496E4757"/>
    <w:rsid w:val="49ED7F9F"/>
    <w:rsid w:val="4A063A00"/>
    <w:rsid w:val="4A8C0F22"/>
    <w:rsid w:val="4A9326C8"/>
    <w:rsid w:val="4B0C247A"/>
    <w:rsid w:val="4B4B7714"/>
    <w:rsid w:val="4B4E7897"/>
    <w:rsid w:val="4BA833BF"/>
    <w:rsid w:val="4BAC7AEB"/>
    <w:rsid w:val="4BD00792"/>
    <w:rsid w:val="4C7C2C83"/>
    <w:rsid w:val="4C852A0C"/>
    <w:rsid w:val="4CAA5AA7"/>
    <w:rsid w:val="4CB2425D"/>
    <w:rsid w:val="4CDD1FE8"/>
    <w:rsid w:val="4D6270CE"/>
    <w:rsid w:val="4DA34B85"/>
    <w:rsid w:val="4DEE3CA1"/>
    <w:rsid w:val="4E2875CB"/>
    <w:rsid w:val="4E5626C3"/>
    <w:rsid w:val="4EAE0F11"/>
    <w:rsid w:val="4ECC7F56"/>
    <w:rsid w:val="4F0B6405"/>
    <w:rsid w:val="4F1E7C08"/>
    <w:rsid w:val="50632B3C"/>
    <w:rsid w:val="508C3766"/>
    <w:rsid w:val="50D5704E"/>
    <w:rsid w:val="50FF1F51"/>
    <w:rsid w:val="512027DB"/>
    <w:rsid w:val="512C739B"/>
    <w:rsid w:val="51772FC4"/>
    <w:rsid w:val="51A06D10"/>
    <w:rsid w:val="5277788F"/>
    <w:rsid w:val="530E3233"/>
    <w:rsid w:val="53B37937"/>
    <w:rsid w:val="53E47AF0"/>
    <w:rsid w:val="54152401"/>
    <w:rsid w:val="54961A63"/>
    <w:rsid w:val="54A97D77"/>
    <w:rsid w:val="55A27C63"/>
    <w:rsid w:val="56335942"/>
    <w:rsid w:val="569435F9"/>
    <w:rsid w:val="56BC3940"/>
    <w:rsid w:val="578C3E5D"/>
    <w:rsid w:val="57D62EBD"/>
    <w:rsid w:val="57E502DB"/>
    <w:rsid w:val="58584F66"/>
    <w:rsid w:val="58CC7966"/>
    <w:rsid w:val="58D81BED"/>
    <w:rsid w:val="58D96EF9"/>
    <w:rsid w:val="594628AC"/>
    <w:rsid w:val="598A4430"/>
    <w:rsid w:val="59910E77"/>
    <w:rsid w:val="5A65081C"/>
    <w:rsid w:val="5A73308E"/>
    <w:rsid w:val="5ABE0C8A"/>
    <w:rsid w:val="5B58738C"/>
    <w:rsid w:val="5B741EAE"/>
    <w:rsid w:val="5C2B04AE"/>
    <w:rsid w:val="5C666239"/>
    <w:rsid w:val="5C7232A0"/>
    <w:rsid w:val="5D4F4649"/>
    <w:rsid w:val="5E880D7F"/>
    <w:rsid w:val="5E9C2F2A"/>
    <w:rsid w:val="5FB46F10"/>
    <w:rsid w:val="600A4823"/>
    <w:rsid w:val="613C71BD"/>
    <w:rsid w:val="61442516"/>
    <w:rsid w:val="61BA27D8"/>
    <w:rsid w:val="61FE12C4"/>
    <w:rsid w:val="62952C2D"/>
    <w:rsid w:val="62F37D50"/>
    <w:rsid w:val="630540BC"/>
    <w:rsid w:val="631E7A1B"/>
    <w:rsid w:val="639D5D2C"/>
    <w:rsid w:val="63EC7552"/>
    <w:rsid w:val="6491140D"/>
    <w:rsid w:val="65460A60"/>
    <w:rsid w:val="65DC04C1"/>
    <w:rsid w:val="66200D3B"/>
    <w:rsid w:val="663C43E2"/>
    <w:rsid w:val="670C6F9F"/>
    <w:rsid w:val="67E67104"/>
    <w:rsid w:val="682D01BF"/>
    <w:rsid w:val="685F19E3"/>
    <w:rsid w:val="68C1134F"/>
    <w:rsid w:val="697D2657"/>
    <w:rsid w:val="699B74F7"/>
    <w:rsid w:val="69D81A4D"/>
    <w:rsid w:val="6A471FB6"/>
    <w:rsid w:val="6AC06E16"/>
    <w:rsid w:val="6B550E39"/>
    <w:rsid w:val="6C0A3F26"/>
    <w:rsid w:val="6C1D45C3"/>
    <w:rsid w:val="6CA4236F"/>
    <w:rsid w:val="6DD016BD"/>
    <w:rsid w:val="6DF84BAC"/>
    <w:rsid w:val="6E5378F4"/>
    <w:rsid w:val="6E661BB9"/>
    <w:rsid w:val="6E7855AD"/>
    <w:rsid w:val="6E917B1B"/>
    <w:rsid w:val="6E9835BF"/>
    <w:rsid w:val="6FF670D1"/>
    <w:rsid w:val="70971289"/>
    <w:rsid w:val="70DF5C52"/>
    <w:rsid w:val="71094BE2"/>
    <w:rsid w:val="71744751"/>
    <w:rsid w:val="71C034F3"/>
    <w:rsid w:val="725620A9"/>
    <w:rsid w:val="725A3947"/>
    <w:rsid w:val="72800D0F"/>
    <w:rsid w:val="72905A21"/>
    <w:rsid w:val="72C94629"/>
    <w:rsid w:val="72E47908"/>
    <w:rsid w:val="730E30E1"/>
    <w:rsid w:val="73663A5B"/>
    <w:rsid w:val="737D2E0A"/>
    <w:rsid w:val="745B6F20"/>
    <w:rsid w:val="753049E3"/>
    <w:rsid w:val="758C3782"/>
    <w:rsid w:val="75DF5F11"/>
    <w:rsid w:val="76A612DF"/>
    <w:rsid w:val="76AE6010"/>
    <w:rsid w:val="77212C85"/>
    <w:rsid w:val="777A7E82"/>
    <w:rsid w:val="778A27EE"/>
    <w:rsid w:val="782324C9"/>
    <w:rsid w:val="7846159A"/>
    <w:rsid w:val="786F2929"/>
    <w:rsid w:val="78847479"/>
    <w:rsid w:val="788E099A"/>
    <w:rsid w:val="78C9316E"/>
    <w:rsid w:val="78CE00ED"/>
    <w:rsid w:val="78DE0F24"/>
    <w:rsid w:val="796E5475"/>
    <w:rsid w:val="7A0B3E64"/>
    <w:rsid w:val="7A8A0AC1"/>
    <w:rsid w:val="7AF4245F"/>
    <w:rsid w:val="7AF81CD8"/>
    <w:rsid w:val="7BA03C98"/>
    <w:rsid w:val="7BA12DAD"/>
    <w:rsid w:val="7BAB5214"/>
    <w:rsid w:val="7BBD0AA3"/>
    <w:rsid w:val="7BEF1F0C"/>
    <w:rsid w:val="7C89589D"/>
    <w:rsid w:val="7C913608"/>
    <w:rsid w:val="7C9336AF"/>
    <w:rsid w:val="7DB95D76"/>
    <w:rsid w:val="7DDF11A4"/>
    <w:rsid w:val="7DE7349C"/>
    <w:rsid w:val="7E23576E"/>
    <w:rsid w:val="7E521976"/>
    <w:rsid w:val="7F23769E"/>
    <w:rsid w:val="7F5439B7"/>
    <w:rsid w:val="7FC04835"/>
    <w:rsid w:val="7FD061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en-US" w:eastAsia="en-US"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1"/>
    <w:pPr>
      <w:tabs>
        <w:tab w:val="left" w:pos="6002"/>
      </w:tabs>
      <w:spacing w:before="8"/>
      <w:ind w:right="378"/>
    </w:pPr>
    <w:rPr>
      <w:sz w:val="24"/>
      <w:szCs w:val="24"/>
    </w:rPr>
  </w:style>
  <w:style w:type="paragraph" w:styleId="3">
    <w:name w:val="footer"/>
    <w:basedOn w:val="1"/>
    <w:link w:val="13"/>
    <w:autoRedefine/>
    <w:qFormat/>
    <w:uiPriority w:val="0"/>
    <w:pPr>
      <w:tabs>
        <w:tab w:val="center" w:pos="4153"/>
        <w:tab w:val="right" w:pos="8306"/>
      </w:tabs>
      <w:snapToGrid w:val="0"/>
    </w:pPr>
    <w:rPr>
      <w:sz w:val="18"/>
      <w:szCs w:val="18"/>
    </w:rPr>
  </w:style>
  <w:style w:type="paragraph" w:styleId="4">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autoRedefine/>
    <w:qFormat/>
    <w:uiPriority w:val="0"/>
    <w:rPr>
      <w:b/>
    </w:rPr>
  </w:style>
  <w:style w:type="table" w:customStyle="1" w:styleId="9">
    <w:name w:val="Table Normal"/>
    <w:autoRedefine/>
    <w:semiHidden/>
    <w:unhideWhenUsed/>
    <w:qFormat/>
    <w:uiPriority w:val="2"/>
    <w:tblPr>
      <w:tblCellMar>
        <w:top w:w="0" w:type="dxa"/>
        <w:left w:w="0" w:type="dxa"/>
        <w:bottom w:w="0" w:type="dxa"/>
        <w:right w:w="0" w:type="dxa"/>
      </w:tblCellMar>
    </w:tblPr>
  </w:style>
  <w:style w:type="paragraph" w:styleId="10">
    <w:name w:val="List Paragraph"/>
    <w:basedOn w:val="1"/>
    <w:autoRedefine/>
    <w:qFormat/>
    <w:uiPriority w:val="1"/>
  </w:style>
  <w:style w:type="paragraph" w:customStyle="1" w:styleId="11">
    <w:name w:val="Table Paragraph"/>
    <w:basedOn w:val="1"/>
    <w:autoRedefine/>
    <w:qFormat/>
    <w:uiPriority w:val="1"/>
    <w:pPr>
      <w:ind w:left="100"/>
    </w:pPr>
  </w:style>
  <w:style w:type="character" w:customStyle="1" w:styleId="12">
    <w:name w:val="页眉 Char"/>
    <w:basedOn w:val="7"/>
    <w:link w:val="4"/>
    <w:autoRedefine/>
    <w:qFormat/>
    <w:uiPriority w:val="0"/>
    <w:rPr>
      <w:rFonts w:ascii="宋体" w:hAnsi="宋体" w:eastAsia="宋体" w:cs="宋体"/>
      <w:sz w:val="18"/>
      <w:szCs w:val="18"/>
      <w:lang w:eastAsia="en-US"/>
    </w:rPr>
  </w:style>
  <w:style w:type="character" w:customStyle="1" w:styleId="13">
    <w:name w:val="页脚 Char"/>
    <w:basedOn w:val="7"/>
    <w:link w:val="3"/>
    <w:autoRedefine/>
    <w:qFormat/>
    <w:uiPriority w:val="0"/>
    <w:rPr>
      <w:rFonts w:ascii="宋体" w:hAnsi="宋体" w:eastAsia="宋体" w:cs="宋体"/>
      <w:sz w:val="18"/>
      <w:szCs w:val="18"/>
      <w:lang w:eastAsia="en-US"/>
    </w:rPr>
  </w:style>
  <w:style w:type="paragraph" w:customStyle="1" w:styleId="14">
    <w:name w:val="005正文"/>
    <w:basedOn w:val="1"/>
    <w:autoRedefine/>
    <w:qFormat/>
    <w:uiPriority w:val="0"/>
    <w:pPr>
      <w:adjustRightInd w:val="0"/>
      <w:snapToGrid w:val="0"/>
      <w:spacing w:beforeLines="50" w:afterLines="50" w:line="360" w:lineRule="auto"/>
      <w:ind w:firstLine="200" w:firstLineChars="200"/>
      <w:jc w:val="both"/>
    </w:pPr>
    <w:rPr>
      <w:kern w:val="2"/>
    </w:rPr>
  </w:style>
  <w:style w:type="paragraph" w:customStyle="1" w:styleId="15">
    <w:name w:val="修订1"/>
    <w:autoRedefine/>
    <w:hidden/>
    <w:unhideWhenUsed/>
    <w:qFormat/>
    <w:uiPriority w:val="99"/>
    <w:rPr>
      <w:rFonts w:ascii="宋体" w:hAnsi="宋体" w:eastAsia="宋体" w:cs="宋体"/>
      <w:sz w:val="22"/>
      <w:szCs w:val="22"/>
      <w:lang w:val="en-US" w:eastAsia="en-US" w:bidi="ar-SA"/>
    </w:rPr>
  </w:style>
  <w:style w:type="paragraph" w:customStyle="1" w:styleId="16">
    <w:name w:val="修订2"/>
    <w:autoRedefine/>
    <w:hidden/>
    <w:unhideWhenUsed/>
    <w:qFormat/>
    <w:uiPriority w:val="99"/>
    <w:rPr>
      <w:rFonts w:ascii="宋体" w:hAnsi="宋体" w:eastAsia="宋体" w:cs="宋体"/>
      <w:sz w:val="22"/>
      <w:szCs w:val="22"/>
      <w:lang w:val="en-US" w:eastAsia="en-US" w:bidi="ar-SA"/>
    </w:rPr>
  </w:style>
  <w:style w:type="paragraph" w:customStyle="1" w:styleId="17">
    <w:name w:val="修订3"/>
    <w:hidden/>
    <w:unhideWhenUsed/>
    <w:qFormat/>
    <w:uiPriority w:val="99"/>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1457</Words>
  <Characters>1556</Characters>
  <Lines>10</Lines>
  <Paragraphs>2</Paragraphs>
  <TotalTime>51</TotalTime>
  <ScaleCrop>false</ScaleCrop>
  <LinksUpToDate>false</LinksUpToDate>
  <CharactersWithSpaces>1616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2021-06-16T13:10:00Z</dcterms:created>
  <dc:creator>周九</dc:creator>
  <cp:lastModifiedBy>周敏</cp:lastModifiedBy>
  <cp:lastPrinted>2025-05-29T07:54:00Z</cp:lastPrinted>
  <dcterms:modified xsi:type="dcterms:W3CDTF">2026-10-20T08:38:39Z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2021-06-11T00:00:00Z</vt:filetime>
  </property>
  <property fmtid="{D5CDD505-2E9C-101B-9397-08002B2CF9AE}" pid="3" name="Creator">
    <vt:lpwstr>Microsoft® Office Word 2007</vt:lpwstr>
  </property>
  <property fmtid="{D5CDD505-2E9C-101B-9397-08002B2CF9AE}" pid="4" name="LastSaved">
    <vt:filetime>2021-06-16T00:00:00Z</vt:filetime>
  </property>
  <property fmtid="{D5CDD505-2E9C-101B-9397-08002B2CF9AE}" pid="5" name="KSOProductBuildVer">
    <vt:lpwstr>2052-12.1.0.29161</vt:lpwstr>
  </property>
  <property fmtid="{D5CDD505-2E9C-101B-9397-08002B2CF9AE}" pid="6" name="ICV">
    <vt:lpwstr>4AD31FF65B41475F95CC4B5FB59E1E1A_13</vt:lpwstr>
  </property>
  <property fmtid="{D5CDD505-2E9C-101B-9397-08002B2CF9AE}" pid="7" name="KSOTemplateDocerSaveRecord">
    <vt:lpwstr>eyJoZGlkIjoiZGFmOGViMzE5ZjYzMmFmZTRmNTQwZDMzNzk2ODdhYmYiLCJ1c2VySWQiOiI0NTQ1NTkxNjYifQ==</vt:lpwstr>
  </property>
</Properties>
</file>