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1A34B"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证券代码：603101                                证券简称：汇嘉时代</w:t>
      </w:r>
      <w:r>
        <w:rPr>
          <w:rFonts w:ascii="宋体" w:hAnsi="宋体" w:eastAsia="宋体" w:cs="Times New Roman"/>
          <w:sz w:val="24"/>
          <w:szCs w:val="24"/>
        </w:rPr>
        <w:t xml:space="preserve"> </w:t>
      </w:r>
      <w:r>
        <w:rPr>
          <w:rFonts w:ascii="宋体" w:hAnsi="宋体" w:eastAsia="宋体" w:cs="Times New Roman"/>
          <w:sz w:val="24"/>
          <w:szCs w:val="24"/>
        </w:rPr>
        <w:tab/>
      </w:r>
      <w:r>
        <w:rPr>
          <w:rFonts w:hint="eastAsia" w:ascii="宋体" w:hAnsi="宋体" w:eastAsia="宋体" w:cs="Times New Roman"/>
          <w:sz w:val="24"/>
          <w:szCs w:val="24"/>
        </w:rPr>
        <w:t xml:space="preserve">         </w:t>
      </w:r>
    </w:p>
    <w:p w14:paraId="37FF5AED">
      <w:pPr>
        <w:ind w:firstLine="723"/>
        <w:jc w:val="center"/>
        <w:rPr>
          <w:rFonts w:ascii="黑体" w:hAnsi="黑体" w:eastAsia="黑体" w:cs="Arial Unicode MS"/>
          <w:b/>
          <w:kern w:val="0"/>
          <w:sz w:val="36"/>
          <w:szCs w:val="36"/>
        </w:rPr>
      </w:pPr>
      <w:r>
        <w:rPr>
          <w:rFonts w:hint="eastAsia" w:ascii="黑体" w:hAnsi="黑体" w:eastAsia="黑体" w:cs="Arial Unicode MS"/>
          <w:b/>
          <w:kern w:val="0"/>
          <w:sz w:val="36"/>
          <w:szCs w:val="36"/>
        </w:rPr>
        <w:t>新疆汇嘉时代百货股份有限公司</w:t>
      </w:r>
      <w:r>
        <w:rPr>
          <w:rFonts w:ascii="黑体" w:hAnsi="黑体" w:eastAsia="黑体" w:cs="Arial Unicode MS"/>
          <w:b/>
          <w:kern w:val="0"/>
          <w:sz w:val="36"/>
          <w:szCs w:val="36"/>
        </w:rPr>
        <w:tab/>
      </w:r>
    </w:p>
    <w:p w14:paraId="23797380">
      <w:pPr>
        <w:ind w:firstLine="723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黑体" w:hAnsi="黑体" w:eastAsia="黑体" w:cs="Arial Unicode MS"/>
          <w:b/>
          <w:kern w:val="0"/>
          <w:sz w:val="36"/>
          <w:szCs w:val="36"/>
        </w:rPr>
        <w:t>投资者关系活动记录表</w:t>
      </w:r>
      <w:r>
        <w:rPr>
          <w:rFonts w:ascii="宋体" w:hAnsi="宋体" w:eastAsia="宋体" w:cs="Times New Roman"/>
          <w:b/>
          <w:bCs/>
          <w:sz w:val="24"/>
          <w:szCs w:val="24"/>
        </w:rPr>
        <w:tab/>
      </w:r>
    </w:p>
    <w:p w14:paraId="052A33D3">
      <w:pPr>
        <w:spacing w:before="260" w:after="260" w:line="240" w:lineRule="exact"/>
        <w:ind w:firstLine="1680" w:firstLineChars="700"/>
        <w:jc w:val="right"/>
        <w:outlineLvl w:val="1"/>
        <w:rPr>
          <w:rFonts w:hint="eastAsia" w:ascii="宋体" w:hAnsi="宋体" w:eastAsia="宋体" w:cs="Times New Roman"/>
          <w:bCs/>
          <w:iCs/>
          <w:sz w:val="24"/>
          <w:szCs w:val="24"/>
          <w:lang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编号：2</w:t>
      </w:r>
      <w:r>
        <w:rPr>
          <w:rFonts w:ascii="宋体" w:hAnsi="宋体" w:eastAsia="宋体" w:cs="Times New Roman"/>
          <w:bCs/>
          <w:sz w:val="24"/>
          <w:szCs w:val="24"/>
        </w:rPr>
        <w:t>02</w:t>
      </w: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imes New Roman"/>
          <w:bCs/>
          <w:sz w:val="24"/>
          <w:szCs w:val="24"/>
        </w:rPr>
        <w:t>-00</w:t>
      </w: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3</w:t>
      </w:r>
    </w:p>
    <w:tbl>
      <w:tblPr>
        <w:tblStyle w:val="7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379"/>
      </w:tblGrid>
      <w:tr w14:paraId="1590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11" w:type="dxa"/>
            <w:shd w:val="clear" w:color="auto" w:fill="auto"/>
            <w:vAlign w:val="center"/>
          </w:tcPr>
          <w:p w14:paraId="6F81BC1E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379" w:type="dxa"/>
            <w:shd w:val="clear" w:color="auto" w:fill="auto"/>
          </w:tcPr>
          <w:p w14:paraId="4697F73A">
            <w:pPr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☑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分析师会议</w:t>
            </w:r>
          </w:p>
          <w:p w14:paraId="0F76663E">
            <w:pPr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业绩说明会</w:t>
            </w:r>
          </w:p>
          <w:p w14:paraId="0E6596A8">
            <w:pPr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bookmarkStart w:id="0" w:name="OLE_LINK25"/>
            <w:bookmarkStart w:id="1" w:name="OLE_LINK24"/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□</w:t>
            </w:r>
            <w:bookmarkEnd w:id="0"/>
            <w:bookmarkEnd w:id="1"/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新闻发布会          </w:t>
            </w:r>
            <w:bookmarkStart w:id="2" w:name="OLE_LINK1"/>
            <w:bookmarkStart w:id="3" w:name="OLE_LINK2"/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□</w:t>
            </w:r>
            <w:bookmarkEnd w:id="2"/>
            <w:bookmarkEnd w:id="3"/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路演活动</w:t>
            </w:r>
          </w:p>
          <w:p w14:paraId="00A9FE05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现场参观            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☑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电话会议</w:t>
            </w:r>
          </w:p>
          <w:p w14:paraId="12FAFD79">
            <w:pPr>
              <w:tabs>
                <w:tab w:val="center" w:pos="3199"/>
              </w:tabs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其他 （）</w:t>
            </w:r>
          </w:p>
        </w:tc>
      </w:tr>
      <w:tr w14:paraId="0D731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shd w:val="clear" w:color="auto" w:fill="auto"/>
            <w:vAlign w:val="center"/>
          </w:tcPr>
          <w:p w14:paraId="25B0DD53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F351FD3">
            <w:pPr>
              <w:tabs>
                <w:tab w:val="center" w:pos="2798"/>
              </w:tabs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国海证券、广发证券、东吴证券、国泰海通证券、中信证券、创金合信基金、Ninety One Asia Pte.Limited、富国基金、工银理财、华宝基金、嘉实基金、建信基金、南方基金、山西证券、山东神光咨询服务有限责任公司、西部证券、天弘基金、开源证券、上海途灵资产、弘毅远方基金、上海名禹资产、银河基金、国投证券、红思客资产、易方达基金、华夏久盈资产、长安基金、太平资产、申万菱信基金、华夏理财、国联基金、西部利得基金、圆信永丰基金、长信基金、嘉合基金、东方证券、平安基金、工银安盛人寿、鑫元基金、银华基金、上海鼎锋资产、前海开源基金、融通基金、非马投资、华安基金、深圳市榕树投资管理有限公司、泰信基金、国联安基金、江苏瑞华投资控股集团有限公司、汇添富基金、睿远基金、海通证券、上海国泰海通证券资产管理有限公司、东证融汇证券、海富通基金、诺安基金、长城基金、浙江浙商证券资产管理有限公司、浦银理财、景顺长城基金、中信银行、野村资管、中银基金、信达澳亚基金、国海富兰克林基金、农银汇理基金、工银瑞信基金、财通证券资产管理有限公司、招银理财有限责任公司、太平洋资产管理有限责任公司、创金合信基金、中信保诚基金、圆信永丰基金、中国国际金融股份有限公司资产管理部、东吴基金、深圳抱朴资产管理有限公司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等（排名不分先后）</w:t>
            </w:r>
          </w:p>
        </w:tc>
      </w:tr>
      <w:tr w14:paraId="344B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shd w:val="clear" w:color="auto" w:fill="auto"/>
            <w:vAlign w:val="center"/>
          </w:tcPr>
          <w:p w14:paraId="3E8BC721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28E1F22">
            <w:pPr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日</w:t>
            </w:r>
          </w:p>
        </w:tc>
      </w:tr>
      <w:tr w14:paraId="539C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shd w:val="clear" w:color="auto" w:fill="auto"/>
            <w:vAlign w:val="center"/>
          </w:tcPr>
          <w:p w14:paraId="20E643CA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BB15441">
            <w:pPr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线上</w:t>
            </w:r>
          </w:p>
        </w:tc>
      </w:tr>
      <w:tr w14:paraId="416E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shd w:val="clear" w:color="auto" w:fill="auto"/>
            <w:vAlign w:val="center"/>
          </w:tcPr>
          <w:p w14:paraId="77909A28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上市公司接待人员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057BD49">
            <w:pPr>
              <w:spacing w:line="360" w:lineRule="auto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董事会秘书 张佩</w:t>
            </w:r>
          </w:p>
        </w:tc>
      </w:tr>
      <w:tr w14:paraId="54C03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411" w:type="dxa"/>
            <w:shd w:val="clear" w:color="auto" w:fill="auto"/>
            <w:vAlign w:val="center"/>
          </w:tcPr>
          <w:p w14:paraId="04531C07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379" w:type="dxa"/>
            <w:shd w:val="clear" w:color="auto" w:fill="auto"/>
          </w:tcPr>
          <w:p w14:paraId="08D6CC9F">
            <w:pPr>
              <w:spacing w:line="360" w:lineRule="auto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  <w:lang w:val="en-US" w:eastAsia="zh-CN"/>
              </w:rPr>
              <w:t>公司2026年前三季度归属于母公司所有者的净利润同比增长70.08%，大幅高于营业收入4.95%的增速，请问业绩大幅增长的主要驱动因素是什么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 xml:space="preserve">？                                                                                                                                                                                          </w:t>
            </w:r>
          </w:p>
          <w:p w14:paraId="3161C235">
            <w:pPr>
              <w:spacing w:line="360" w:lineRule="auto"/>
              <w:ind w:firstLine="480" w:firstLineChars="200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答：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业绩增长主要系：一是公司持续落实降本增效举措，强化全流程费用管控，财务费用同比下降，在营收保持稳定的基础上进一步释放利润空间；二是超市业态调改红利持续释放，商品结构不断优化，供应链管理与品类运营能力增强，收入与毛利增幅表现突出。后续公司将继续推进精细化管理与门店调改，努力夯实盈利基础。</w:t>
            </w:r>
          </w:p>
          <w:p w14:paraId="495C2DDC">
            <w:pPr>
              <w:spacing w:line="360" w:lineRule="auto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  <w:lang w:val="en-US" w:eastAsia="zh-CN"/>
              </w:rPr>
              <w:t>超市业态调改及供应链建设方面，公司开展了哪些工作？后续有何安排？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</w:p>
          <w:p w14:paraId="718E013F">
            <w:pPr>
              <w:spacing w:line="360" w:lineRule="auto"/>
              <w:ind w:firstLine="480" w:firstLineChars="200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答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公司围绕超市业态持续开展调改，积极优化商品结构，加强供应链管理与品类运营能力建设，报告期超市业态收入与毛利增幅表现突出。后续公司将继续推进存量门店调改与商品结构优化，深化供应链精细化运营，巩固超市业态增长态势。</w:t>
            </w:r>
          </w:p>
          <w:p w14:paraId="769FB176">
            <w:pPr>
              <w:spacing w:line="360" w:lineRule="auto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  <w:lang w:val="en-US" w:eastAsia="zh-CN"/>
              </w:rPr>
              <w:t>针对百货业态业绩提升，公司有哪些应对措施？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</w:p>
          <w:p w14:paraId="566E0846">
            <w:pPr>
              <w:spacing w:line="360" w:lineRule="auto"/>
              <w:ind w:firstLine="480" w:firstLineChars="200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答：公司正结合区域消费需求变化，持续推进百货业态调改与经营策略优化，完善业态组合与品牌结构调整，迭代门店消费场景，并通过全域会员精细化运营增强顾客粘性，努力改善百货业态经营表现。</w:t>
            </w:r>
          </w:p>
          <w:p w14:paraId="77AF51F0">
            <w:pPr>
              <w:spacing w:line="360" w:lineRule="auto"/>
              <w:rPr>
                <w:rFonts w:ascii="宋体" w:hAnsi="宋体" w:eastAsia="宋体" w:cs="Times New Roman"/>
                <w:b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i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b/>
                <w:i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公司如何利用以旧换新政策拉动销售？</w:t>
            </w:r>
          </w:p>
          <w:p w14:paraId="542972E0">
            <w:pPr>
              <w:spacing w:line="360" w:lineRule="auto"/>
              <w:ind w:firstLine="480" w:firstLineChars="200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答：公司积极响应以旧换新政策，在家电、数码等品类推出专项活动，通过补贴、折价回收、以旧换新立减等方式，拉动销售增长。目前相关品类销售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业绩稳定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，后续将结合政策持续优化活动方案，扩大品类覆盖。</w:t>
            </w:r>
          </w:p>
          <w:p w14:paraId="11A99BB8">
            <w:pPr>
              <w:spacing w:line="360" w:lineRule="auto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Times New Roman"/>
                <w:b/>
                <w:iCs/>
                <w:sz w:val="24"/>
                <w:szCs w:val="24"/>
              </w:rPr>
              <w:t>进入第四季度，随着年末消费旺季到来，公司有哪些重点工作安排？</w:t>
            </w:r>
          </w:p>
          <w:p w14:paraId="6CC0F05D">
            <w:pPr>
              <w:spacing w:line="360" w:lineRule="auto"/>
              <w:ind w:firstLine="480" w:firstLineChars="200"/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Cs/>
                <w:sz w:val="24"/>
                <w:szCs w:val="24"/>
              </w:rPr>
              <w:t>答：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第四季度是传统零售消费旺季，公司将重点做好以下工作：一是全力抓好年末促销季销售，抢抓消费旺季机遇；二是持续深化供应链优化和费用管控，巩固盈利改善成果；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是稳步推进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托管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项目筹备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:lang w:val="en-US" w:eastAsia="zh-CN"/>
              </w:rPr>
              <w:t>开业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工作。</w:t>
            </w:r>
            <w:bookmarkStart w:id="4" w:name="_GoBack"/>
            <w:bookmarkEnd w:id="4"/>
          </w:p>
        </w:tc>
      </w:tr>
      <w:tr w14:paraId="525A7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11" w:type="dxa"/>
            <w:shd w:val="clear" w:color="auto" w:fill="auto"/>
            <w:vAlign w:val="center"/>
          </w:tcPr>
          <w:p w14:paraId="37D4399C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关于本次活动是否涉及应披露重大信息的说明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E3FA291">
            <w:pPr>
              <w:spacing w:line="360" w:lineRule="auto"/>
              <w:jc w:val="center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否</w:t>
            </w:r>
          </w:p>
        </w:tc>
      </w:tr>
      <w:tr w14:paraId="4614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2411" w:type="dxa"/>
            <w:shd w:val="clear" w:color="auto" w:fill="auto"/>
            <w:vAlign w:val="center"/>
          </w:tcPr>
          <w:p w14:paraId="68794C0C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iCs/>
                <w:sz w:val="24"/>
                <w:szCs w:val="24"/>
              </w:rPr>
              <w:t>活动过程中所使用的演示文稿、提供的文档等附件（如有，可作为附件）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FBFDC30">
            <w:pPr>
              <w:spacing w:line="360" w:lineRule="auto"/>
              <w:jc w:val="center"/>
              <w:rPr>
                <w:rFonts w:ascii="宋体" w:hAnsi="宋体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</w:rPr>
              <w:t>无</w:t>
            </w:r>
          </w:p>
        </w:tc>
      </w:tr>
    </w:tbl>
    <w:p w14:paraId="7B2FA99A">
      <w:pPr>
        <w:spacing w:line="360" w:lineRule="auto"/>
      </w:pPr>
    </w:p>
    <w:sectPr>
      <w:footerReference r:id="rId3" w:type="default"/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8750803"/>
    </w:sdtPr>
    <w:sdtContent>
      <w:p w14:paraId="1A8D4B23">
        <w:pPr>
          <w:pStyle w:val="4"/>
          <w:ind w:firstLine="36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0D01E94">
    <w:pPr>
      <w:pStyle w:val="4"/>
      <w:ind w:firstLine="361"/>
    </w:pPr>
  </w:p>
  <w:p w14:paraId="40C5393E"/>
  <w:p w14:paraId="78BC9015"/>
  <w:p w14:paraId="2209BCCC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jZWMxODQ2OGUzMmY3NTI5MDEyYmFkOTFlNGU3MTEifQ=="/>
  </w:docVars>
  <w:rsids>
    <w:rsidRoot w:val="00EE26CD"/>
    <w:rsid w:val="000021E9"/>
    <w:rsid w:val="0000466C"/>
    <w:rsid w:val="00007952"/>
    <w:rsid w:val="00014A9C"/>
    <w:rsid w:val="00014EDC"/>
    <w:rsid w:val="00014F2A"/>
    <w:rsid w:val="0001563D"/>
    <w:rsid w:val="00015F53"/>
    <w:rsid w:val="00017927"/>
    <w:rsid w:val="00021F69"/>
    <w:rsid w:val="00022050"/>
    <w:rsid w:val="00023F7B"/>
    <w:rsid w:val="000269F1"/>
    <w:rsid w:val="00026CD7"/>
    <w:rsid w:val="00026E2B"/>
    <w:rsid w:val="000270E5"/>
    <w:rsid w:val="00030CD6"/>
    <w:rsid w:val="000333DF"/>
    <w:rsid w:val="00037E4D"/>
    <w:rsid w:val="000411F8"/>
    <w:rsid w:val="00042C46"/>
    <w:rsid w:val="00043DAE"/>
    <w:rsid w:val="000444E5"/>
    <w:rsid w:val="000478ED"/>
    <w:rsid w:val="000528A8"/>
    <w:rsid w:val="0005452E"/>
    <w:rsid w:val="00055848"/>
    <w:rsid w:val="00063DB5"/>
    <w:rsid w:val="0006434F"/>
    <w:rsid w:val="000659B9"/>
    <w:rsid w:val="00070593"/>
    <w:rsid w:val="00070C3B"/>
    <w:rsid w:val="00071B11"/>
    <w:rsid w:val="0007377E"/>
    <w:rsid w:val="00081B36"/>
    <w:rsid w:val="000828F8"/>
    <w:rsid w:val="000836B7"/>
    <w:rsid w:val="00085673"/>
    <w:rsid w:val="00086C90"/>
    <w:rsid w:val="00093216"/>
    <w:rsid w:val="000956B2"/>
    <w:rsid w:val="000A5B43"/>
    <w:rsid w:val="000A65EF"/>
    <w:rsid w:val="000B6FFD"/>
    <w:rsid w:val="000B7480"/>
    <w:rsid w:val="000C2F52"/>
    <w:rsid w:val="000C3E34"/>
    <w:rsid w:val="000C3F45"/>
    <w:rsid w:val="000C6082"/>
    <w:rsid w:val="000C7780"/>
    <w:rsid w:val="000E1A96"/>
    <w:rsid w:val="000F6BEB"/>
    <w:rsid w:val="000F7B50"/>
    <w:rsid w:val="0010077E"/>
    <w:rsid w:val="00100EA0"/>
    <w:rsid w:val="00103A1A"/>
    <w:rsid w:val="00103C4E"/>
    <w:rsid w:val="00111EF4"/>
    <w:rsid w:val="00113C72"/>
    <w:rsid w:val="00114CEA"/>
    <w:rsid w:val="0011603F"/>
    <w:rsid w:val="001221B8"/>
    <w:rsid w:val="001251D8"/>
    <w:rsid w:val="00126672"/>
    <w:rsid w:val="001304EB"/>
    <w:rsid w:val="00132BB2"/>
    <w:rsid w:val="001334C1"/>
    <w:rsid w:val="00136BC5"/>
    <w:rsid w:val="00143A57"/>
    <w:rsid w:val="00150952"/>
    <w:rsid w:val="00151B55"/>
    <w:rsid w:val="001521E5"/>
    <w:rsid w:val="00153B96"/>
    <w:rsid w:val="001565C4"/>
    <w:rsid w:val="0016178A"/>
    <w:rsid w:val="001621FF"/>
    <w:rsid w:val="00166A19"/>
    <w:rsid w:val="001672FF"/>
    <w:rsid w:val="00180048"/>
    <w:rsid w:val="001819EF"/>
    <w:rsid w:val="00186DBB"/>
    <w:rsid w:val="00194A24"/>
    <w:rsid w:val="001965A6"/>
    <w:rsid w:val="001A0B87"/>
    <w:rsid w:val="001A125C"/>
    <w:rsid w:val="001B00D8"/>
    <w:rsid w:val="001B011E"/>
    <w:rsid w:val="001B508F"/>
    <w:rsid w:val="001B7B58"/>
    <w:rsid w:val="001C3CA4"/>
    <w:rsid w:val="001C6609"/>
    <w:rsid w:val="001C7C07"/>
    <w:rsid w:val="001D0DED"/>
    <w:rsid w:val="001D337E"/>
    <w:rsid w:val="001D48EC"/>
    <w:rsid w:val="001D5222"/>
    <w:rsid w:val="001D71B1"/>
    <w:rsid w:val="001D7A5D"/>
    <w:rsid w:val="001E2BC5"/>
    <w:rsid w:val="001E2D3E"/>
    <w:rsid w:val="001E5E64"/>
    <w:rsid w:val="001E6CC5"/>
    <w:rsid w:val="001E7F7C"/>
    <w:rsid w:val="001F2572"/>
    <w:rsid w:val="001F2CFF"/>
    <w:rsid w:val="001F44D9"/>
    <w:rsid w:val="001F5B62"/>
    <w:rsid w:val="002100E9"/>
    <w:rsid w:val="002118DC"/>
    <w:rsid w:val="00212A97"/>
    <w:rsid w:val="00214C8F"/>
    <w:rsid w:val="00216400"/>
    <w:rsid w:val="00220D31"/>
    <w:rsid w:val="002213F3"/>
    <w:rsid w:val="002278FB"/>
    <w:rsid w:val="00232813"/>
    <w:rsid w:val="00234237"/>
    <w:rsid w:val="00234D03"/>
    <w:rsid w:val="00243334"/>
    <w:rsid w:val="00250815"/>
    <w:rsid w:val="00251EF8"/>
    <w:rsid w:val="002525E9"/>
    <w:rsid w:val="00252605"/>
    <w:rsid w:val="0025271B"/>
    <w:rsid w:val="00255B4A"/>
    <w:rsid w:val="00256250"/>
    <w:rsid w:val="00256FD4"/>
    <w:rsid w:val="002608FE"/>
    <w:rsid w:val="00260E7E"/>
    <w:rsid w:val="002650F9"/>
    <w:rsid w:val="00267056"/>
    <w:rsid w:val="002739C7"/>
    <w:rsid w:val="00273BE7"/>
    <w:rsid w:val="00273D9E"/>
    <w:rsid w:val="002774CD"/>
    <w:rsid w:val="0028148B"/>
    <w:rsid w:val="002861C2"/>
    <w:rsid w:val="00286F7B"/>
    <w:rsid w:val="0029285E"/>
    <w:rsid w:val="00293FBB"/>
    <w:rsid w:val="00295236"/>
    <w:rsid w:val="002A15B6"/>
    <w:rsid w:val="002B0AD4"/>
    <w:rsid w:val="002B75F5"/>
    <w:rsid w:val="002C0BC8"/>
    <w:rsid w:val="002C1C3B"/>
    <w:rsid w:val="002C23DD"/>
    <w:rsid w:val="002C3AD1"/>
    <w:rsid w:val="002D004A"/>
    <w:rsid w:val="002D15D1"/>
    <w:rsid w:val="002D3753"/>
    <w:rsid w:val="002E10FD"/>
    <w:rsid w:val="002E4BBC"/>
    <w:rsid w:val="002F1B04"/>
    <w:rsid w:val="002F23EA"/>
    <w:rsid w:val="002F2C50"/>
    <w:rsid w:val="002F4C46"/>
    <w:rsid w:val="002F6186"/>
    <w:rsid w:val="002F6EAD"/>
    <w:rsid w:val="002F6F62"/>
    <w:rsid w:val="0030401A"/>
    <w:rsid w:val="00306DC1"/>
    <w:rsid w:val="00307607"/>
    <w:rsid w:val="00307EC1"/>
    <w:rsid w:val="0031032E"/>
    <w:rsid w:val="00310B67"/>
    <w:rsid w:val="00310FAC"/>
    <w:rsid w:val="003131C3"/>
    <w:rsid w:val="0031371B"/>
    <w:rsid w:val="00320D9D"/>
    <w:rsid w:val="00320EA7"/>
    <w:rsid w:val="00324327"/>
    <w:rsid w:val="00327CE4"/>
    <w:rsid w:val="00336191"/>
    <w:rsid w:val="00340A0E"/>
    <w:rsid w:val="003410AF"/>
    <w:rsid w:val="003413FD"/>
    <w:rsid w:val="003508D5"/>
    <w:rsid w:val="003524BC"/>
    <w:rsid w:val="00352EEC"/>
    <w:rsid w:val="00352F1C"/>
    <w:rsid w:val="0035572A"/>
    <w:rsid w:val="00362CD0"/>
    <w:rsid w:val="00363384"/>
    <w:rsid w:val="0037038A"/>
    <w:rsid w:val="003722F1"/>
    <w:rsid w:val="0037245D"/>
    <w:rsid w:val="00373A3F"/>
    <w:rsid w:val="00376EB2"/>
    <w:rsid w:val="0038034C"/>
    <w:rsid w:val="00383477"/>
    <w:rsid w:val="003841A1"/>
    <w:rsid w:val="00386F86"/>
    <w:rsid w:val="00391C55"/>
    <w:rsid w:val="00397642"/>
    <w:rsid w:val="003A046B"/>
    <w:rsid w:val="003A262C"/>
    <w:rsid w:val="003A2EB2"/>
    <w:rsid w:val="003A57B5"/>
    <w:rsid w:val="003A7A2F"/>
    <w:rsid w:val="003B044B"/>
    <w:rsid w:val="003B13A4"/>
    <w:rsid w:val="003B3B7A"/>
    <w:rsid w:val="003B3B8E"/>
    <w:rsid w:val="003C0892"/>
    <w:rsid w:val="003C194F"/>
    <w:rsid w:val="003C6053"/>
    <w:rsid w:val="003C68DA"/>
    <w:rsid w:val="003D29CA"/>
    <w:rsid w:val="003D2A88"/>
    <w:rsid w:val="003D2F73"/>
    <w:rsid w:val="003D40E0"/>
    <w:rsid w:val="003E30EB"/>
    <w:rsid w:val="003E59C0"/>
    <w:rsid w:val="003E68B0"/>
    <w:rsid w:val="003F2A5A"/>
    <w:rsid w:val="003F37E1"/>
    <w:rsid w:val="003F4F89"/>
    <w:rsid w:val="003F6D0B"/>
    <w:rsid w:val="004007D4"/>
    <w:rsid w:val="00400B90"/>
    <w:rsid w:val="0040142B"/>
    <w:rsid w:val="00404723"/>
    <w:rsid w:val="004106EC"/>
    <w:rsid w:val="00410E62"/>
    <w:rsid w:val="00411262"/>
    <w:rsid w:val="00415FC4"/>
    <w:rsid w:val="00420071"/>
    <w:rsid w:val="0042182D"/>
    <w:rsid w:val="00424FF4"/>
    <w:rsid w:val="00425BB1"/>
    <w:rsid w:val="00432964"/>
    <w:rsid w:val="00433835"/>
    <w:rsid w:val="004471C0"/>
    <w:rsid w:val="004504E6"/>
    <w:rsid w:val="0046123F"/>
    <w:rsid w:val="004657B5"/>
    <w:rsid w:val="00467B9C"/>
    <w:rsid w:val="00470346"/>
    <w:rsid w:val="00472F77"/>
    <w:rsid w:val="00473012"/>
    <w:rsid w:val="00473F91"/>
    <w:rsid w:val="00482D5D"/>
    <w:rsid w:val="004859A7"/>
    <w:rsid w:val="004944B0"/>
    <w:rsid w:val="00495655"/>
    <w:rsid w:val="00495B2D"/>
    <w:rsid w:val="00497BC4"/>
    <w:rsid w:val="004A115A"/>
    <w:rsid w:val="004A5431"/>
    <w:rsid w:val="004A58CB"/>
    <w:rsid w:val="004A70D5"/>
    <w:rsid w:val="004B098E"/>
    <w:rsid w:val="004B3A2B"/>
    <w:rsid w:val="004B3AB4"/>
    <w:rsid w:val="004B3FFE"/>
    <w:rsid w:val="004B500C"/>
    <w:rsid w:val="004B7315"/>
    <w:rsid w:val="004C2002"/>
    <w:rsid w:val="004C3E41"/>
    <w:rsid w:val="004C6574"/>
    <w:rsid w:val="004C6956"/>
    <w:rsid w:val="004D4156"/>
    <w:rsid w:val="004D614E"/>
    <w:rsid w:val="004E25DD"/>
    <w:rsid w:val="004E4CBB"/>
    <w:rsid w:val="004E5686"/>
    <w:rsid w:val="004E72E0"/>
    <w:rsid w:val="004F09C8"/>
    <w:rsid w:val="004F3490"/>
    <w:rsid w:val="004F5C3F"/>
    <w:rsid w:val="00504DF9"/>
    <w:rsid w:val="00507071"/>
    <w:rsid w:val="00510286"/>
    <w:rsid w:val="00510B0E"/>
    <w:rsid w:val="00524D04"/>
    <w:rsid w:val="005269E6"/>
    <w:rsid w:val="00534D66"/>
    <w:rsid w:val="005352B8"/>
    <w:rsid w:val="0054404C"/>
    <w:rsid w:val="00545D30"/>
    <w:rsid w:val="00547633"/>
    <w:rsid w:val="0054792C"/>
    <w:rsid w:val="00553573"/>
    <w:rsid w:val="00572A6D"/>
    <w:rsid w:val="00582D78"/>
    <w:rsid w:val="00584526"/>
    <w:rsid w:val="00584951"/>
    <w:rsid w:val="00584D8F"/>
    <w:rsid w:val="005858E1"/>
    <w:rsid w:val="00587DAB"/>
    <w:rsid w:val="00590DC4"/>
    <w:rsid w:val="005917EA"/>
    <w:rsid w:val="00592FC1"/>
    <w:rsid w:val="0059505D"/>
    <w:rsid w:val="005953E9"/>
    <w:rsid w:val="00595ED4"/>
    <w:rsid w:val="00596E21"/>
    <w:rsid w:val="005974EB"/>
    <w:rsid w:val="005A0CBE"/>
    <w:rsid w:val="005A17E4"/>
    <w:rsid w:val="005A3CFE"/>
    <w:rsid w:val="005A4D77"/>
    <w:rsid w:val="005A4EE5"/>
    <w:rsid w:val="005B17EF"/>
    <w:rsid w:val="005B3D04"/>
    <w:rsid w:val="005B4E6B"/>
    <w:rsid w:val="005B628F"/>
    <w:rsid w:val="005B6E08"/>
    <w:rsid w:val="005C19C5"/>
    <w:rsid w:val="005C451F"/>
    <w:rsid w:val="005C6678"/>
    <w:rsid w:val="005D087C"/>
    <w:rsid w:val="005D20DD"/>
    <w:rsid w:val="005D38F2"/>
    <w:rsid w:val="005E0962"/>
    <w:rsid w:val="005E4F20"/>
    <w:rsid w:val="005E5F7A"/>
    <w:rsid w:val="005E602E"/>
    <w:rsid w:val="005F1DF9"/>
    <w:rsid w:val="005F23CF"/>
    <w:rsid w:val="005F2C62"/>
    <w:rsid w:val="005F3897"/>
    <w:rsid w:val="005F7318"/>
    <w:rsid w:val="00600A4B"/>
    <w:rsid w:val="006016A0"/>
    <w:rsid w:val="0060425A"/>
    <w:rsid w:val="00605119"/>
    <w:rsid w:val="00606A42"/>
    <w:rsid w:val="00623855"/>
    <w:rsid w:val="00626FB3"/>
    <w:rsid w:val="00630BBA"/>
    <w:rsid w:val="0063129A"/>
    <w:rsid w:val="00631AD4"/>
    <w:rsid w:val="006323B5"/>
    <w:rsid w:val="00634F2F"/>
    <w:rsid w:val="00635972"/>
    <w:rsid w:val="00642382"/>
    <w:rsid w:val="006427A0"/>
    <w:rsid w:val="00643F90"/>
    <w:rsid w:val="0064637F"/>
    <w:rsid w:val="00647640"/>
    <w:rsid w:val="00653A71"/>
    <w:rsid w:val="00654B0C"/>
    <w:rsid w:val="00655835"/>
    <w:rsid w:val="00656BDC"/>
    <w:rsid w:val="00667FB5"/>
    <w:rsid w:val="00672080"/>
    <w:rsid w:val="006721C7"/>
    <w:rsid w:val="00672C00"/>
    <w:rsid w:val="00675D16"/>
    <w:rsid w:val="00676C83"/>
    <w:rsid w:val="00680B65"/>
    <w:rsid w:val="00684E1F"/>
    <w:rsid w:val="00686E4C"/>
    <w:rsid w:val="00692E2E"/>
    <w:rsid w:val="00695148"/>
    <w:rsid w:val="0069619A"/>
    <w:rsid w:val="006A2E11"/>
    <w:rsid w:val="006A3184"/>
    <w:rsid w:val="006B1AD3"/>
    <w:rsid w:val="006B20D7"/>
    <w:rsid w:val="006B2B0C"/>
    <w:rsid w:val="006B3525"/>
    <w:rsid w:val="006C7501"/>
    <w:rsid w:val="006D3BB8"/>
    <w:rsid w:val="006E0524"/>
    <w:rsid w:val="006E27B0"/>
    <w:rsid w:val="006E2DE4"/>
    <w:rsid w:val="006E3B82"/>
    <w:rsid w:val="006E7372"/>
    <w:rsid w:val="006F07A1"/>
    <w:rsid w:val="006F32A2"/>
    <w:rsid w:val="006F438E"/>
    <w:rsid w:val="006F711C"/>
    <w:rsid w:val="0070173B"/>
    <w:rsid w:val="00701E34"/>
    <w:rsid w:val="00704ABD"/>
    <w:rsid w:val="00706C89"/>
    <w:rsid w:val="007109C9"/>
    <w:rsid w:val="007118F2"/>
    <w:rsid w:val="00713A75"/>
    <w:rsid w:val="00726CD1"/>
    <w:rsid w:val="00727209"/>
    <w:rsid w:val="00733488"/>
    <w:rsid w:val="00735F4D"/>
    <w:rsid w:val="00735FD1"/>
    <w:rsid w:val="00736F04"/>
    <w:rsid w:val="00737386"/>
    <w:rsid w:val="007427DD"/>
    <w:rsid w:val="00746249"/>
    <w:rsid w:val="00746762"/>
    <w:rsid w:val="00751592"/>
    <w:rsid w:val="00756A97"/>
    <w:rsid w:val="00757362"/>
    <w:rsid w:val="0076183F"/>
    <w:rsid w:val="00763BC1"/>
    <w:rsid w:val="007649B9"/>
    <w:rsid w:val="007663C4"/>
    <w:rsid w:val="00766D6F"/>
    <w:rsid w:val="00767063"/>
    <w:rsid w:val="00770B3F"/>
    <w:rsid w:val="00771A91"/>
    <w:rsid w:val="00773213"/>
    <w:rsid w:val="00783742"/>
    <w:rsid w:val="00783FD9"/>
    <w:rsid w:val="00785284"/>
    <w:rsid w:val="007858E3"/>
    <w:rsid w:val="0079199F"/>
    <w:rsid w:val="0079430A"/>
    <w:rsid w:val="00794C8B"/>
    <w:rsid w:val="00795940"/>
    <w:rsid w:val="007A3FB9"/>
    <w:rsid w:val="007A4905"/>
    <w:rsid w:val="007B0742"/>
    <w:rsid w:val="007B1088"/>
    <w:rsid w:val="007B196F"/>
    <w:rsid w:val="007B1DAD"/>
    <w:rsid w:val="007B259C"/>
    <w:rsid w:val="007B2FB6"/>
    <w:rsid w:val="007B436A"/>
    <w:rsid w:val="007B6B6B"/>
    <w:rsid w:val="007C208D"/>
    <w:rsid w:val="007C39F3"/>
    <w:rsid w:val="007C7447"/>
    <w:rsid w:val="007C7D09"/>
    <w:rsid w:val="007D4A82"/>
    <w:rsid w:val="007E1F58"/>
    <w:rsid w:val="007F2176"/>
    <w:rsid w:val="007F4A0F"/>
    <w:rsid w:val="007F4E96"/>
    <w:rsid w:val="0080588F"/>
    <w:rsid w:val="00805DB9"/>
    <w:rsid w:val="00805EAD"/>
    <w:rsid w:val="00806573"/>
    <w:rsid w:val="00814484"/>
    <w:rsid w:val="00814E1F"/>
    <w:rsid w:val="00815940"/>
    <w:rsid w:val="008160A1"/>
    <w:rsid w:val="00816CED"/>
    <w:rsid w:val="00821685"/>
    <w:rsid w:val="00827570"/>
    <w:rsid w:val="00827C6C"/>
    <w:rsid w:val="00836E8C"/>
    <w:rsid w:val="008453D5"/>
    <w:rsid w:val="008551BA"/>
    <w:rsid w:val="008552F7"/>
    <w:rsid w:val="00857E84"/>
    <w:rsid w:val="00870F10"/>
    <w:rsid w:val="00873293"/>
    <w:rsid w:val="00875E95"/>
    <w:rsid w:val="0088376F"/>
    <w:rsid w:val="008914C8"/>
    <w:rsid w:val="00894406"/>
    <w:rsid w:val="008949BD"/>
    <w:rsid w:val="00895AE3"/>
    <w:rsid w:val="008A120E"/>
    <w:rsid w:val="008A4345"/>
    <w:rsid w:val="008B39D8"/>
    <w:rsid w:val="008B4886"/>
    <w:rsid w:val="008B5EE1"/>
    <w:rsid w:val="008C04C9"/>
    <w:rsid w:val="008C4D32"/>
    <w:rsid w:val="008C6B72"/>
    <w:rsid w:val="008C6F8D"/>
    <w:rsid w:val="008C7588"/>
    <w:rsid w:val="008D2B96"/>
    <w:rsid w:val="008D3726"/>
    <w:rsid w:val="008D37FC"/>
    <w:rsid w:val="008D464A"/>
    <w:rsid w:val="008E10E7"/>
    <w:rsid w:val="008E2311"/>
    <w:rsid w:val="008E245B"/>
    <w:rsid w:val="008E2C4E"/>
    <w:rsid w:val="008F34B4"/>
    <w:rsid w:val="008F5F3A"/>
    <w:rsid w:val="00900BAF"/>
    <w:rsid w:val="00900C81"/>
    <w:rsid w:val="00900FE7"/>
    <w:rsid w:val="00905BC0"/>
    <w:rsid w:val="009108F5"/>
    <w:rsid w:val="0091400E"/>
    <w:rsid w:val="009157EF"/>
    <w:rsid w:val="009224F5"/>
    <w:rsid w:val="00923CEE"/>
    <w:rsid w:val="00924412"/>
    <w:rsid w:val="009253C0"/>
    <w:rsid w:val="0092574C"/>
    <w:rsid w:val="009260E3"/>
    <w:rsid w:val="009316AD"/>
    <w:rsid w:val="0093660E"/>
    <w:rsid w:val="00941808"/>
    <w:rsid w:val="00942951"/>
    <w:rsid w:val="009438FC"/>
    <w:rsid w:val="009457DF"/>
    <w:rsid w:val="0095035C"/>
    <w:rsid w:val="00950E7D"/>
    <w:rsid w:val="00953F32"/>
    <w:rsid w:val="009553B1"/>
    <w:rsid w:val="0096018C"/>
    <w:rsid w:val="00962E94"/>
    <w:rsid w:val="0096391C"/>
    <w:rsid w:val="00966C22"/>
    <w:rsid w:val="009678BF"/>
    <w:rsid w:val="00973FBC"/>
    <w:rsid w:val="009776A7"/>
    <w:rsid w:val="00980694"/>
    <w:rsid w:val="00980B7E"/>
    <w:rsid w:val="00982F57"/>
    <w:rsid w:val="009842A5"/>
    <w:rsid w:val="00985FA5"/>
    <w:rsid w:val="009868C0"/>
    <w:rsid w:val="00987F11"/>
    <w:rsid w:val="00991961"/>
    <w:rsid w:val="00991DE7"/>
    <w:rsid w:val="00996483"/>
    <w:rsid w:val="009B29E8"/>
    <w:rsid w:val="009B7B59"/>
    <w:rsid w:val="009C06A4"/>
    <w:rsid w:val="009C63B1"/>
    <w:rsid w:val="009C63C9"/>
    <w:rsid w:val="009D2C55"/>
    <w:rsid w:val="009D6E26"/>
    <w:rsid w:val="009D7312"/>
    <w:rsid w:val="009E0B46"/>
    <w:rsid w:val="009E13F9"/>
    <w:rsid w:val="009E3D68"/>
    <w:rsid w:val="009E5179"/>
    <w:rsid w:val="009E5798"/>
    <w:rsid w:val="009F5543"/>
    <w:rsid w:val="009F6889"/>
    <w:rsid w:val="00A03AA1"/>
    <w:rsid w:val="00A04996"/>
    <w:rsid w:val="00A05042"/>
    <w:rsid w:val="00A10F5B"/>
    <w:rsid w:val="00A11340"/>
    <w:rsid w:val="00A124C2"/>
    <w:rsid w:val="00A16F6F"/>
    <w:rsid w:val="00A24382"/>
    <w:rsid w:val="00A27F87"/>
    <w:rsid w:val="00A314FD"/>
    <w:rsid w:val="00A31B20"/>
    <w:rsid w:val="00A32ACD"/>
    <w:rsid w:val="00A32B73"/>
    <w:rsid w:val="00A32ED1"/>
    <w:rsid w:val="00A37775"/>
    <w:rsid w:val="00A40825"/>
    <w:rsid w:val="00A41A06"/>
    <w:rsid w:val="00A5056D"/>
    <w:rsid w:val="00A51469"/>
    <w:rsid w:val="00A56101"/>
    <w:rsid w:val="00A57863"/>
    <w:rsid w:val="00A611EC"/>
    <w:rsid w:val="00A62896"/>
    <w:rsid w:val="00A6487E"/>
    <w:rsid w:val="00A65039"/>
    <w:rsid w:val="00A70EC0"/>
    <w:rsid w:val="00A71BFD"/>
    <w:rsid w:val="00A71D54"/>
    <w:rsid w:val="00A76F0C"/>
    <w:rsid w:val="00A878CB"/>
    <w:rsid w:val="00A96CF3"/>
    <w:rsid w:val="00A97143"/>
    <w:rsid w:val="00A97D76"/>
    <w:rsid w:val="00AA5E76"/>
    <w:rsid w:val="00AB03BB"/>
    <w:rsid w:val="00AB3D2F"/>
    <w:rsid w:val="00AB45D6"/>
    <w:rsid w:val="00AB5257"/>
    <w:rsid w:val="00AB6212"/>
    <w:rsid w:val="00AB6D74"/>
    <w:rsid w:val="00AC1857"/>
    <w:rsid w:val="00AD237A"/>
    <w:rsid w:val="00AD445E"/>
    <w:rsid w:val="00AD4B08"/>
    <w:rsid w:val="00AD68D8"/>
    <w:rsid w:val="00AE00B6"/>
    <w:rsid w:val="00AE3EE3"/>
    <w:rsid w:val="00AF0FA4"/>
    <w:rsid w:val="00AF6E94"/>
    <w:rsid w:val="00AF6EE4"/>
    <w:rsid w:val="00B06A02"/>
    <w:rsid w:val="00B06C5A"/>
    <w:rsid w:val="00B07508"/>
    <w:rsid w:val="00B07E3B"/>
    <w:rsid w:val="00B12278"/>
    <w:rsid w:val="00B14CD4"/>
    <w:rsid w:val="00B275F2"/>
    <w:rsid w:val="00B276E0"/>
    <w:rsid w:val="00B27B10"/>
    <w:rsid w:val="00B27C19"/>
    <w:rsid w:val="00B33E0B"/>
    <w:rsid w:val="00B36A53"/>
    <w:rsid w:val="00B4205C"/>
    <w:rsid w:val="00B4298C"/>
    <w:rsid w:val="00B446BA"/>
    <w:rsid w:val="00B47853"/>
    <w:rsid w:val="00B5430E"/>
    <w:rsid w:val="00B57667"/>
    <w:rsid w:val="00B577E9"/>
    <w:rsid w:val="00B615F1"/>
    <w:rsid w:val="00B61BCB"/>
    <w:rsid w:val="00B64222"/>
    <w:rsid w:val="00B66B46"/>
    <w:rsid w:val="00B67446"/>
    <w:rsid w:val="00B67838"/>
    <w:rsid w:val="00B70645"/>
    <w:rsid w:val="00B73515"/>
    <w:rsid w:val="00B73AED"/>
    <w:rsid w:val="00B855F5"/>
    <w:rsid w:val="00B8596B"/>
    <w:rsid w:val="00B87C18"/>
    <w:rsid w:val="00B90456"/>
    <w:rsid w:val="00B922C8"/>
    <w:rsid w:val="00B948F2"/>
    <w:rsid w:val="00B95F5D"/>
    <w:rsid w:val="00BA04DA"/>
    <w:rsid w:val="00BA43B9"/>
    <w:rsid w:val="00BB20B3"/>
    <w:rsid w:val="00BB3A62"/>
    <w:rsid w:val="00BB5955"/>
    <w:rsid w:val="00BB7C84"/>
    <w:rsid w:val="00BC2275"/>
    <w:rsid w:val="00BD0148"/>
    <w:rsid w:val="00BD0D69"/>
    <w:rsid w:val="00BD1844"/>
    <w:rsid w:val="00BE0789"/>
    <w:rsid w:val="00BE20BB"/>
    <w:rsid w:val="00BE277C"/>
    <w:rsid w:val="00BE54C4"/>
    <w:rsid w:val="00BE5ADD"/>
    <w:rsid w:val="00BE5D9C"/>
    <w:rsid w:val="00BF1133"/>
    <w:rsid w:val="00BF1578"/>
    <w:rsid w:val="00BF2C1D"/>
    <w:rsid w:val="00C001F3"/>
    <w:rsid w:val="00C01D22"/>
    <w:rsid w:val="00C02F0C"/>
    <w:rsid w:val="00C06A1D"/>
    <w:rsid w:val="00C104B8"/>
    <w:rsid w:val="00C131FC"/>
    <w:rsid w:val="00C13C42"/>
    <w:rsid w:val="00C1636B"/>
    <w:rsid w:val="00C207C2"/>
    <w:rsid w:val="00C22A99"/>
    <w:rsid w:val="00C24D2B"/>
    <w:rsid w:val="00C26ED1"/>
    <w:rsid w:val="00C32714"/>
    <w:rsid w:val="00C32E02"/>
    <w:rsid w:val="00C33B0B"/>
    <w:rsid w:val="00C33FE3"/>
    <w:rsid w:val="00C36D05"/>
    <w:rsid w:val="00C37AAB"/>
    <w:rsid w:val="00C40B1A"/>
    <w:rsid w:val="00C42788"/>
    <w:rsid w:val="00C46340"/>
    <w:rsid w:val="00C47614"/>
    <w:rsid w:val="00C506F8"/>
    <w:rsid w:val="00C5254A"/>
    <w:rsid w:val="00C52F40"/>
    <w:rsid w:val="00C531CC"/>
    <w:rsid w:val="00C54AAE"/>
    <w:rsid w:val="00C55E93"/>
    <w:rsid w:val="00C56171"/>
    <w:rsid w:val="00C56500"/>
    <w:rsid w:val="00C62189"/>
    <w:rsid w:val="00C70DF2"/>
    <w:rsid w:val="00C7174C"/>
    <w:rsid w:val="00C718BF"/>
    <w:rsid w:val="00C7210F"/>
    <w:rsid w:val="00C860DF"/>
    <w:rsid w:val="00C91519"/>
    <w:rsid w:val="00C9168C"/>
    <w:rsid w:val="00C91FD9"/>
    <w:rsid w:val="00C93888"/>
    <w:rsid w:val="00C951AA"/>
    <w:rsid w:val="00CA1877"/>
    <w:rsid w:val="00CA1C74"/>
    <w:rsid w:val="00CB661D"/>
    <w:rsid w:val="00CC092E"/>
    <w:rsid w:val="00CC0BF2"/>
    <w:rsid w:val="00CC3AFF"/>
    <w:rsid w:val="00CC40FD"/>
    <w:rsid w:val="00CC4FD6"/>
    <w:rsid w:val="00CC6538"/>
    <w:rsid w:val="00CC78CC"/>
    <w:rsid w:val="00CD419D"/>
    <w:rsid w:val="00CD5CAD"/>
    <w:rsid w:val="00CD5F00"/>
    <w:rsid w:val="00CD65D6"/>
    <w:rsid w:val="00CD66E0"/>
    <w:rsid w:val="00CE1C4D"/>
    <w:rsid w:val="00CE551D"/>
    <w:rsid w:val="00CE6D72"/>
    <w:rsid w:val="00CE72E8"/>
    <w:rsid w:val="00CE78BC"/>
    <w:rsid w:val="00CE7DE0"/>
    <w:rsid w:val="00CF08C2"/>
    <w:rsid w:val="00CF0C13"/>
    <w:rsid w:val="00CF2F63"/>
    <w:rsid w:val="00CF6F6C"/>
    <w:rsid w:val="00D07190"/>
    <w:rsid w:val="00D100A7"/>
    <w:rsid w:val="00D10EDF"/>
    <w:rsid w:val="00D12BD7"/>
    <w:rsid w:val="00D13CFA"/>
    <w:rsid w:val="00D170E1"/>
    <w:rsid w:val="00D208A4"/>
    <w:rsid w:val="00D25155"/>
    <w:rsid w:val="00D327C1"/>
    <w:rsid w:val="00D37CB6"/>
    <w:rsid w:val="00D40268"/>
    <w:rsid w:val="00D40C13"/>
    <w:rsid w:val="00D41B6B"/>
    <w:rsid w:val="00D41E36"/>
    <w:rsid w:val="00D44A10"/>
    <w:rsid w:val="00D55B0C"/>
    <w:rsid w:val="00D5622E"/>
    <w:rsid w:val="00D6392B"/>
    <w:rsid w:val="00D7427C"/>
    <w:rsid w:val="00D764CE"/>
    <w:rsid w:val="00D76F2A"/>
    <w:rsid w:val="00D849ED"/>
    <w:rsid w:val="00D84DF8"/>
    <w:rsid w:val="00D8547D"/>
    <w:rsid w:val="00D8580E"/>
    <w:rsid w:val="00D85A16"/>
    <w:rsid w:val="00D862DE"/>
    <w:rsid w:val="00D87772"/>
    <w:rsid w:val="00D934DB"/>
    <w:rsid w:val="00D93D53"/>
    <w:rsid w:val="00D96FB9"/>
    <w:rsid w:val="00DA3342"/>
    <w:rsid w:val="00DA4962"/>
    <w:rsid w:val="00DA5894"/>
    <w:rsid w:val="00DA5961"/>
    <w:rsid w:val="00DB1D3C"/>
    <w:rsid w:val="00DC75E7"/>
    <w:rsid w:val="00DD2242"/>
    <w:rsid w:val="00DD22A7"/>
    <w:rsid w:val="00DD27C7"/>
    <w:rsid w:val="00DE31A5"/>
    <w:rsid w:val="00DE567A"/>
    <w:rsid w:val="00DE7225"/>
    <w:rsid w:val="00DE7F6D"/>
    <w:rsid w:val="00E003CA"/>
    <w:rsid w:val="00E0172D"/>
    <w:rsid w:val="00E02382"/>
    <w:rsid w:val="00E038BB"/>
    <w:rsid w:val="00E043AE"/>
    <w:rsid w:val="00E05F59"/>
    <w:rsid w:val="00E070CB"/>
    <w:rsid w:val="00E07C47"/>
    <w:rsid w:val="00E1038F"/>
    <w:rsid w:val="00E103E9"/>
    <w:rsid w:val="00E21301"/>
    <w:rsid w:val="00E23DE5"/>
    <w:rsid w:val="00E24E41"/>
    <w:rsid w:val="00E32A31"/>
    <w:rsid w:val="00E34094"/>
    <w:rsid w:val="00E40D89"/>
    <w:rsid w:val="00E43728"/>
    <w:rsid w:val="00E53347"/>
    <w:rsid w:val="00E53783"/>
    <w:rsid w:val="00E5616F"/>
    <w:rsid w:val="00E61A61"/>
    <w:rsid w:val="00E61CEB"/>
    <w:rsid w:val="00E64488"/>
    <w:rsid w:val="00E65D8D"/>
    <w:rsid w:val="00E66878"/>
    <w:rsid w:val="00E668C5"/>
    <w:rsid w:val="00E67433"/>
    <w:rsid w:val="00E740A2"/>
    <w:rsid w:val="00E803AB"/>
    <w:rsid w:val="00E80EFF"/>
    <w:rsid w:val="00E93DA5"/>
    <w:rsid w:val="00EA3651"/>
    <w:rsid w:val="00EA6288"/>
    <w:rsid w:val="00EB0042"/>
    <w:rsid w:val="00EB149C"/>
    <w:rsid w:val="00EB5BAD"/>
    <w:rsid w:val="00EC10E4"/>
    <w:rsid w:val="00EC1ED4"/>
    <w:rsid w:val="00EC28FD"/>
    <w:rsid w:val="00EC7B50"/>
    <w:rsid w:val="00ED24EB"/>
    <w:rsid w:val="00ED3AB2"/>
    <w:rsid w:val="00ED53EA"/>
    <w:rsid w:val="00ED5CCF"/>
    <w:rsid w:val="00ED79EA"/>
    <w:rsid w:val="00EE0004"/>
    <w:rsid w:val="00EE02A6"/>
    <w:rsid w:val="00EE1683"/>
    <w:rsid w:val="00EE16DD"/>
    <w:rsid w:val="00EE1923"/>
    <w:rsid w:val="00EE26CD"/>
    <w:rsid w:val="00EE2BC1"/>
    <w:rsid w:val="00EE7C85"/>
    <w:rsid w:val="00EF10A2"/>
    <w:rsid w:val="00EF366C"/>
    <w:rsid w:val="00EF3A20"/>
    <w:rsid w:val="00EF4863"/>
    <w:rsid w:val="00EF4EC2"/>
    <w:rsid w:val="00F0425D"/>
    <w:rsid w:val="00F044CF"/>
    <w:rsid w:val="00F06B8F"/>
    <w:rsid w:val="00F07F37"/>
    <w:rsid w:val="00F1256C"/>
    <w:rsid w:val="00F142F3"/>
    <w:rsid w:val="00F21F94"/>
    <w:rsid w:val="00F24AFC"/>
    <w:rsid w:val="00F32FC6"/>
    <w:rsid w:val="00F33307"/>
    <w:rsid w:val="00F355E5"/>
    <w:rsid w:val="00F37BD3"/>
    <w:rsid w:val="00F42E00"/>
    <w:rsid w:val="00F43487"/>
    <w:rsid w:val="00F44F0E"/>
    <w:rsid w:val="00F46B40"/>
    <w:rsid w:val="00F50F83"/>
    <w:rsid w:val="00F51380"/>
    <w:rsid w:val="00F5385A"/>
    <w:rsid w:val="00F60682"/>
    <w:rsid w:val="00F6394E"/>
    <w:rsid w:val="00F66E15"/>
    <w:rsid w:val="00F70527"/>
    <w:rsid w:val="00F743F0"/>
    <w:rsid w:val="00F744EC"/>
    <w:rsid w:val="00F74675"/>
    <w:rsid w:val="00F76634"/>
    <w:rsid w:val="00F866D2"/>
    <w:rsid w:val="00F870FA"/>
    <w:rsid w:val="00F87C66"/>
    <w:rsid w:val="00F93AD8"/>
    <w:rsid w:val="00F9738B"/>
    <w:rsid w:val="00FA495F"/>
    <w:rsid w:val="00FA5092"/>
    <w:rsid w:val="00FA56AE"/>
    <w:rsid w:val="00FB28D9"/>
    <w:rsid w:val="00FB28F5"/>
    <w:rsid w:val="00FB46B7"/>
    <w:rsid w:val="00FB4A0F"/>
    <w:rsid w:val="00FB7824"/>
    <w:rsid w:val="00FC12C0"/>
    <w:rsid w:val="00FC19DF"/>
    <w:rsid w:val="00FC1EFB"/>
    <w:rsid w:val="00FC2937"/>
    <w:rsid w:val="00FC55FE"/>
    <w:rsid w:val="00FD225E"/>
    <w:rsid w:val="00FE33A1"/>
    <w:rsid w:val="00FE3D21"/>
    <w:rsid w:val="00FE6D51"/>
    <w:rsid w:val="00FE6ED9"/>
    <w:rsid w:val="00FE7DFC"/>
    <w:rsid w:val="00FF2445"/>
    <w:rsid w:val="00FF291F"/>
    <w:rsid w:val="00FF4F78"/>
    <w:rsid w:val="0227311A"/>
    <w:rsid w:val="0774518A"/>
    <w:rsid w:val="0BAD736F"/>
    <w:rsid w:val="0C0D2A8D"/>
    <w:rsid w:val="0C3870DE"/>
    <w:rsid w:val="0D387F7A"/>
    <w:rsid w:val="0DC12176"/>
    <w:rsid w:val="0E7E0250"/>
    <w:rsid w:val="0ECC5F60"/>
    <w:rsid w:val="11FC55B2"/>
    <w:rsid w:val="12F2153A"/>
    <w:rsid w:val="13861324"/>
    <w:rsid w:val="14A67628"/>
    <w:rsid w:val="15152076"/>
    <w:rsid w:val="154F67B8"/>
    <w:rsid w:val="16D451C7"/>
    <w:rsid w:val="17264A8E"/>
    <w:rsid w:val="17DB5D5C"/>
    <w:rsid w:val="189E6E29"/>
    <w:rsid w:val="18E6684C"/>
    <w:rsid w:val="1B064130"/>
    <w:rsid w:val="1CC0714B"/>
    <w:rsid w:val="1E7068A1"/>
    <w:rsid w:val="23FA48D6"/>
    <w:rsid w:val="268A1ED3"/>
    <w:rsid w:val="276460F3"/>
    <w:rsid w:val="2DE62261"/>
    <w:rsid w:val="2EB0392B"/>
    <w:rsid w:val="2F064DB0"/>
    <w:rsid w:val="32242D99"/>
    <w:rsid w:val="33E518D0"/>
    <w:rsid w:val="34650269"/>
    <w:rsid w:val="3958729A"/>
    <w:rsid w:val="3AD13648"/>
    <w:rsid w:val="3CB3760B"/>
    <w:rsid w:val="3E8144DC"/>
    <w:rsid w:val="410C33E2"/>
    <w:rsid w:val="422D7C91"/>
    <w:rsid w:val="444C06CA"/>
    <w:rsid w:val="448866B1"/>
    <w:rsid w:val="467F0394"/>
    <w:rsid w:val="4A525E27"/>
    <w:rsid w:val="4CF7225E"/>
    <w:rsid w:val="4E1671BC"/>
    <w:rsid w:val="4EEE1BA7"/>
    <w:rsid w:val="589C0A24"/>
    <w:rsid w:val="58CD3249"/>
    <w:rsid w:val="5AF231DD"/>
    <w:rsid w:val="5E151E13"/>
    <w:rsid w:val="5ED864A3"/>
    <w:rsid w:val="620135F5"/>
    <w:rsid w:val="62B41E29"/>
    <w:rsid w:val="65064492"/>
    <w:rsid w:val="685428D3"/>
    <w:rsid w:val="6BCF6E80"/>
    <w:rsid w:val="72731A54"/>
    <w:rsid w:val="74701DC5"/>
    <w:rsid w:val="762211C3"/>
    <w:rsid w:val="76FA74A7"/>
    <w:rsid w:val="77571C26"/>
    <w:rsid w:val="7A1E34AC"/>
    <w:rsid w:val="7BFA300D"/>
    <w:rsid w:val="7CF5423C"/>
    <w:rsid w:val="7D901FB5"/>
    <w:rsid w:val="7D9832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autoRedefine/>
    <w:semiHidden/>
    <w:unhideWhenUsed/>
    <w:qFormat/>
    <w:uiPriority w:val="99"/>
    <w:rPr>
      <w:b/>
      <w:bCs/>
    </w:rPr>
  </w:style>
  <w:style w:type="table" w:styleId="8">
    <w:name w:val="Table Grid"/>
    <w:basedOn w:val="7"/>
    <w:autoRedefine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autoRedefine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autoRedefine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4">
    <w:name w:val="批注文字 Char"/>
    <w:basedOn w:val="9"/>
    <w:link w:val="2"/>
    <w:autoRedefine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Char"/>
    <w:basedOn w:val="14"/>
    <w:link w:val="6"/>
    <w:autoRedefine/>
    <w:semiHidden/>
    <w:qFormat/>
    <w:uiPriority w:val="99"/>
    <w:rPr>
      <w:b/>
      <w:bCs/>
      <w:kern w:val="2"/>
      <w:sz w:val="21"/>
      <w:szCs w:val="22"/>
    </w:rPr>
  </w:style>
  <w:style w:type="character" w:customStyle="1" w:styleId="16">
    <w:name w:val="批注框文本 Char"/>
    <w:basedOn w:val="9"/>
    <w:link w:val="3"/>
    <w:autoRedefine/>
    <w:semiHidden/>
    <w:qFormat/>
    <w:uiPriority w:val="99"/>
    <w:rPr>
      <w:kern w:val="2"/>
      <w:sz w:val="18"/>
      <w:szCs w:val="18"/>
    </w:rPr>
  </w:style>
  <w:style w:type="paragraph" w:customStyle="1" w:styleId="17">
    <w:name w:val="_Style 6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8">
    <w:name w:val="text-only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8A7BC-32DD-445C-B665-736A71C390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1241</Words>
  <Characters>1298</Characters>
  <Lines>15</Lines>
  <Paragraphs>4</Paragraphs>
  <TotalTime>164</TotalTime>
  <ScaleCrop>false</ScaleCrop>
  <LinksUpToDate>false</LinksUpToDate>
  <CharactersWithSpaces>1946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2020-08-17T08:25:00Z</dcterms:created>
  <dc:creator>Li Xiang</dc:creator>
  <cp:lastModifiedBy>恋木</cp:lastModifiedBy>
  <dcterms:modified xsi:type="dcterms:W3CDTF">2026-10-26T07:10:03Z</dcterms:modified>
  <cp:revision>318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77C1E4A06FC347CEA5C75856282C62C5_13</vt:lpwstr>
  </property>
  <property fmtid="{D5CDD505-2E9C-101B-9397-08002B2CF9AE}" pid="4" name="KSOTemplateDocerSaveRecord">
    <vt:lpwstr>eyJoZGlkIjoiZDgxZTllYWE0YzRhY2UyZmY5YzhkOWEwZTg2MWVlMjQiLCJ1c2VySWQiOiIxMDA4MzU1NTI1In0=</vt:lpwstr>
  </property>
</Properties>
</file>