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1D7CFD" w14:textId="77777777" w:rsidR="00F51EC2" w:rsidRDefault="00DB512A">
      <w:pPr>
        <w:spacing w:beforeLines="50" w:before="156" w:afterLines="50" w:after="156" w:line="400" w:lineRule="exact"/>
        <w:ind w:firstLineChars="200" w:firstLine="480"/>
        <w:rPr>
          <w:rFonts w:ascii="宋体" w:hAnsi="宋体"/>
          <w:bCs/>
          <w:iCs/>
          <w:color w:val="000000"/>
          <w:sz w:val="24"/>
        </w:rPr>
      </w:pPr>
      <w:r>
        <w:rPr>
          <w:rFonts w:ascii="宋体" w:hAnsi="宋体" w:hint="eastAsia"/>
          <w:bCs/>
          <w:iCs/>
          <w:color w:val="000000"/>
          <w:sz w:val="24"/>
        </w:rPr>
        <w:t>证券代码：维力医疗</w:t>
      </w:r>
      <w:r>
        <w:rPr>
          <w:rFonts w:ascii="宋体" w:hAnsi="宋体" w:hint="eastAsia"/>
          <w:bCs/>
          <w:iCs/>
          <w:color w:val="000000"/>
          <w:sz w:val="24"/>
        </w:rPr>
        <w:t xml:space="preserve">                           </w:t>
      </w:r>
      <w:r>
        <w:rPr>
          <w:rFonts w:ascii="宋体" w:hAnsi="宋体" w:hint="eastAsia"/>
          <w:bCs/>
          <w:iCs/>
          <w:color w:val="000000"/>
          <w:sz w:val="24"/>
        </w:rPr>
        <w:t>证券简称：</w:t>
      </w:r>
      <w:r>
        <w:rPr>
          <w:rFonts w:ascii="宋体" w:hAnsi="宋体" w:hint="eastAsia"/>
          <w:bCs/>
          <w:iCs/>
          <w:color w:val="000000"/>
          <w:sz w:val="24"/>
        </w:rPr>
        <w:t>603309</w:t>
      </w:r>
    </w:p>
    <w:p w14:paraId="5B30EF3A" w14:textId="77777777" w:rsidR="00F51EC2" w:rsidRDefault="00DB512A">
      <w:pPr>
        <w:spacing w:beforeLines="50" w:before="156" w:afterLines="50" w:after="156" w:line="400" w:lineRule="exact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  <w:r>
        <w:rPr>
          <w:rFonts w:ascii="宋体" w:hAnsi="宋体" w:hint="eastAsia"/>
          <w:b/>
          <w:bCs/>
          <w:iCs/>
          <w:color w:val="000000"/>
          <w:sz w:val="32"/>
          <w:szCs w:val="32"/>
        </w:rPr>
        <w:t>广州维力医疗器械股份有限公司接待调研记录表</w:t>
      </w:r>
    </w:p>
    <w:p w14:paraId="63F44A6F" w14:textId="77777777" w:rsidR="00F51EC2" w:rsidRDefault="00DB512A">
      <w:pPr>
        <w:spacing w:line="400" w:lineRule="exact"/>
        <w:rPr>
          <w:rFonts w:ascii="宋体" w:hAnsi="宋体"/>
          <w:bCs/>
          <w:iCs/>
          <w:color w:val="000000"/>
          <w:sz w:val="24"/>
        </w:rPr>
      </w:pPr>
      <w:r>
        <w:rPr>
          <w:rFonts w:ascii="宋体" w:hAnsi="宋体" w:hint="eastAsia"/>
          <w:bCs/>
          <w:iCs/>
          <w:color w:val="000000"/>
          <w:sz w:val="24"/>
        </w:rPr>
        <w:t xml:space="preserve">                                                         </w:t>
      </w:r>
      <w:r>
        <w:rPr>
          <w:rFonts w:ascii="宋体" w:hAnsi="宋体" w:hint="eastAsia"/>
          <w:bCs/>
          <w:iCs/>
          <w:color w:val="000000"/>
          <w:sz w:val="24"/>
        </w:rPr>
        <w:t>编号：</w:t>
      </w:r>
      <w:r>
        <w:rPr>
          <w:rFonts w:ascii="宋体" w:hAnsi="宋体" w:hint="eastAsia"/>
          <w:bCs/>
          <w:iCs/>
          <w:color w:val="000000"/>
          <w:sz w:val="24"/>
        </w:rPr>
        <w:t>20</w:t>
      </w:r>
      <w:r>
        <w:rPr>
          <w:rFonts w:ascii="宋体" w:hAnsi="宋体"/>
          <w:bCs/>
          <w:iCs/>
          <w:color w:val="000000"/>
          <w:sz w:val="24"/>
        </w:rPr>
        <w:t>2</w:t>
      </w:r>
      <w:r>
        <w:rPr>
          <w:rFonts w:ascii="宋体" w:hAnsi="宋体" w:hint="eastAsia"/>
          <w:bCs/>
          <w:iCs/>
          <w:color w:val="000000"/>
          <w:sz w:val="24"/>
        </w:rPr>
        <w:t>600</w:t>
      </w:r>
      <w:r>
        <w:rPr>
          <w:rFonts w:ascii="宋体" w:hAnsi="宋体"/>
          <w:bCs/>
          <w:iCs/>
          <w:color w:val="000000"/>
          <w:sz w:val="24"/>
        </w:rPr>
        <w:t>5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908"/>
        <w:gridCol w:w="6614"/>
      </w:tblGrid>
      <w:tr w:rsidR="00F51EC2" w14:paraId="51F6B682" w14:textId="77777777">
        <w:trPr>
          <w:jc w:val="center"/>
        </w:trPr>
        <w:tc>
          <w:tcPr>
            <w:tcW w:w="1908" w:type="dxa"/>
            <w:vAlign w:val="center"/>
          </w:tcPr>
          <w:p w14:paraId="6C72C7D7" w14:textId="77777777" w:rsidR="00F51EC2" w:rsidRDefault="00DB512A">
            <w:pPr>
              <w:spacing w:line="360" w:lineRule="auto"/>
              <w:jc w:val="center"/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调研形式</w:t>
            </w:r>
          </w:p>
        </w:tc>
        <w:tc>
          <w:tcPr>
            <w:tcW w:w="6614" w:type="dxa"/>
          </w:tcPr>
          <w:p w14:paraId="38A29DF9" w14:textId="77777777" w:rsidR="00F51EC2" w:rsidRDefault="00DB512A">
            <w:pPr>
              <w:spacing w:line="360" w:lineRule="auto"/>
              <w:jc w:val="left"/>
              <w:rPr>
                <w:rFonts w:asciiTheme="minorEastAsia" w:eastAsiaTheme="minorEastAsia" w:hAnsi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kern w:val="0"/>
                <w:sz w:val="24"/>
              </w:rPr>
              <w:t>□特定对象调研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kern w:val="0"/>
                <w:sz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color w:val="000000" w:themeColor="text1"/>
                <w:kern w:val="0"/>
                <w:sz w:val="24"/>
              </w:rPr>
              <w:t xml:space="preserve">          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kern w:val="0"/>
                <w:sz w:val="24"/>
              </w:rPr>
              <w:t>□分析师会议</w:t>
            </w:r>
          </w:p>
          <w:p w14:paraId="5495EDCC" w14:textId="77777777" w:rsidR="00F51EC2" w:rsidRDefault="00DB512A">
            <w:pPr>
              <w:spacing w:line="360" w:lineRule="auto"/>
              <w:jc w:val="left"/>
              <w:rPr>
                <w:rFonts w:asciiTheme="minorEastAsia" w:eastAsiaTheme="minorEastAsia" w:hAnsi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kern w:val="0"/>
                <w:sz w:val="24"/>
              </w:rPr>
              <w:t>□媒体采访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kern w:val="0"/>
                <w:sz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color w:val="000000" w:themeColor="text1"/>
                <w:kern w:val="0"/>
                <w:sz w:val="24"/>
              </w:rPr>
              <w:t xml:space="preserve">            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kern w:val="0"/>
                <w:sz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color w:val="000000" w:themeColor="text1"/>
                <w:kern w:val="0"/>
                <w:sz w:val="24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kern w:val="0"/>
                <w:sz w:val="24"/>
              </w:rPr>
              <w:t>√业绩说明会（电话会议）</w:t>
            </w:r>
          </w:p>
          <w:p w14:paraId="214D62FC" w14:textId="77777777" w:rsidR="00F51EC2" w:rsidRDefault="00DB512A">
            <w:pPr>
              <w:spacing w:line="360" w:lineRule="auto"/>
              <w:jc w:val="left"/>
              <w:rPr>
                <w:rFonts w:asciiTheme="minorEastAsia" w:eastAsiaTheme="minorEastAsia" w:hAnsiTheme="minorEastAsia"/>
                <w:color w:val="000000" w:themeColor="text1"/>
                <w:kern w:val="0"/>
                <w:sz w:val="24"/>
              </w:rPr>
            </w:pPr>
            <w:bookmarkStart w:id="0" w:name="OLE_LINK3"/>
            <w:bookmarkStart w:id="1" w:name="OLE_LINK4"/>
            <w:r>
              <w:rPr>
                <w:rFonts w:asciiTheme="minorEastAsia" w:eastAsiaTheme="minorEastAsia" w:hAnsiTheme="minorEastAsia" w:hint="eastAsia"/>
                <w:color w:val="000000" w:themeColor="text1"/>
                <w:kern w:val="0"/>
                <w:sz w:val="24"/>
              </w:rPr>
              <w:t>□</w:t>
            </w:r>
            <w:bookmarkEnd w:id="0"/>
            <w:bookmarkEnd w:id="1"/>
            <w:r>
              <w:rPr>
                <w:rFonts w:asciiTheme="minorEastAsia" w:eastAsiaTheme="minorEastAsia" w:hAnsiTheme="minorEastAsia" w:hint="eastAsia"/>
                <w:color w:val="000000" w:themeColor="text1"/>
                <w:kern w:val="0"/>
                <w:sz w:val="24"/>
              </w:rPr>
              <w:t>新闻发布会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kern w:val="0"/>
                <w:sz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color w:val="000000" w:themeColor="text1"/>
                <w:kern w:val="0"/>
                <w:sz w:val="24"/>
              </w:rPr>
              <w:t xml:space="preserve">          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kern w:val="0"/>
                <w:sz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color w:val="000000" w:themeColor="text1"/>
                <w:kern w:val="0"/>
                <w:sz w:val="24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kern w:val="0"/>
                <w:sz w:val="24"/>
              </w:rPr>
              <w:t>□路演活动</w:t>
            </w:r>
          </w:p>
          <w:p w14:paraId="33D02665" w14:textId="77777777" w:rsidR="00F51EC2" w:rsidRDefault="00DB512A">
            <w:pPr>
              <w:spacing w:line="360" w:lineRule="auto"/>
              <w:jc w:val="left"/>
              <w:rPr>
                <w:rFonts w:asciiTheme="minorEastAsia" w:eastAsiaTheme="minorEastAsia" w:hAnsi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kern w:val="0"/>
                <w:sz w:val="24"/>
              </w:rPr>
              <w:t>□现场参观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kern w:val="0"/>
                <w:sz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color w:val="000000" w:themeColor="text1"/>
                <w:kern w:val="0"/>
                <w:sz w:val="24"/>
              </w:rPr>
              <w:t xml:space="preserve">            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kern w:val="0"/>
                <w:sz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color w:val="000000" w:themeColor="text1"/>
                <w:kern w:val="0"/>
                <w:sz w:val="24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kern w:val="0"/>
                <w:sz w:val="24"/>
              </w:rPr>
              <w:t>□其他</w:t>
            </w:r>
          </w:p>
        </w:tc>
      </w:tr>
      <w:tr w:rsidR="00F51EC2" w14:paraId="4F093BAC" w14:textId="77777777">
        <w:trPr>
          <w:jc w:val="center"/>
        </w:trPr>
        <w:tc>
          <w:tcPr>
            <w:tcW w:w="1908" w:type="dxa"/>
            <w:vAlign w:val="center"/>
          </w:tcPr>
          <w:p w14:paraId="042791C6" w14:textId="77777777" w:rsidR="00F51EC2" w:rsidRDefault="00DB512A">
            <w:pPr>
              <w:spacing w:line="360" w:lineRule="auto"/>
              <w:jc w:val="center"/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参与单位名称及人员姓名</w:t>
            </w:r>
          </w:p>
        </w:tc>
        <w:tc>
          <w:tcPr>
            <w:tcW w:w="6614" w:type="dxa"/>
          </w:tcPr>
          <w:p w14:paraId="13BB1847" w14:textId="77777777" w:rsidR="00F51EC2" w:rsidRDefault="00DB512A">
            <w:pPr>
              <w:pStyle w:val="3"/>
              <w:widowControl/>
              <w:shd w:val="clear" w:color="auto" w:fill="FFFFFF"/>
              <w:spacing w:after="20" w:line="360" w:lineRule="auto"/>
              <w:outlineLvl w:val="2"/>
              <w:rPr>
                <w:rFonts w:hint="default"/>
                <w:b w:val="0"/>
                <w:color w:val="000000"/>
                <w:sz w:val="24"/>
                <w:szCs w:val="22"/>
              </w:rPr>
            </w:pPr>
            <w:r>
              <w:rPr>
                <w:b w:val="0"/>
                <w:color w:val="000000"/>
                <w:sz w:val="24"/>
                <w:szCs w:val="22"/>
              </w:rPr>
              <w:t>山东神光、国投证券资产管理有限公司、海南翎展私募基金管理有限公司、招银理财有限责任公司、天津易鑫安资产管理有限公司、方物基金、国联证券资管、建信基金管理有限责任公司、上海宽投资产管理有限公司、海富通基金管理有限公司、瑞达基金管理有限公司、光大证券股份有限公司自营、广发证券资产管理（广东）、北京磐泽资产管理有限公司、巨杉（上海）资产管理有限公司、兴业证券股份有限公司上海证券自营分公司、浙商证券股份有限公司</w:t>
            </w:r>
            <w:r>
              <w:rPr>
                <w:b w:val="0"/>
                <w:color w:val="000000"/>
                <w:sz w:val="24"/>
                <w:szCs w:val="22"/>
              </w:rPr>
              <w:t>FICC</w:t>
            </w:r>
            <w:r>
              <w:rPr>
                <w:b w:val="0"/>
                <w:color w:val="000000"/>
                <w:sz w:val="24"/>
                <w:szCs w:val="22"/>
              </w:rPr>
              <w:t>事业部、太平资产管理有限公司、上海鑫垣私募基金管理有限公司、汇丰晋信基金、</w:t>
            </w:r>
            <w:r>
              <w:rPr>
                <w:b w:val="0"/>
                <w:color w:val="000000"/>
                <w:sz w:val="24"/>
                <w:szCs w:val="22"/>
              </w:rPr>
              <w:t>国联基金管理有限公司、上海冲积资产管理中心（有限合伙）、摩根士丹利基金管理（中国）有限公司、西部研发、嘉实基金管理有限责任公司、北京明希资本管理有限公司、兴业基金管理有限公司、华安证券、申万菱信基金管理有限公司、平安理财有限责任公司、建信理财有限责任公司、谦璞投资、中银国际证券股份有限公司、红思客资产管理</w:t>
            </w:r>
            <w:r>
              <w:rPr>
                <w:b w:val="0"/>
                <w:color w:val="000000"/>
                <w:sz w:val="24"/>
                <w:szCs w:val="22"/>
              </w:rPr>
              <w:t>(</w:t>
            </w:r>
            <w:r>
              <w:rPr>
                <w:b w:val="0"/>
                <w:color w:val="000000"/>
                <w:sz w:val="24"/>
                <w:szCs w:val="22"/>
              </w:rPr>
              <w:t>北京</w:t>
            </w:r>
            <w:r>
              <w:rPr>
                <w:b w:val="0"/>
                <w:color w:val="000000"/>
                <w:sz w:val="24"/>
                <w:szCs w:val="22"/>
              </w:rPr>
              <w:t>)</w:t>
            </w:r>
            <w:r>
              <w:rPr>
                <w:b w:val="0"/>
                <w:color w:val="000000"/>
                <w:sz w:val="24"/>
                <w:szCs w:val="22"/>
              </w:rPr>
              <w:t>有限责任公司、华夏基金管理有限公司、</w:t>
            </w:r>
            <w:r>
              <w:rPr>
                <w:b w:val="0"/>
                <w:color w:val="000000"/>
                <w:sz w:val="24"/>
                <w:szCs w:val="22"/>
              </w:rPr>
              <w:t>IDG Capital</w:t>
            </w:r>
            <w:r>
              <w:rPr>
                <w:b w:val="0"/>
                <w:color w:val="000000"/>
                <w:sz w:val="24"/>
                <w:szCs w:val="22"/>
              </w:rPr>
              <w:t>、</w:t>
            </w:r>
            <w:r>
              <w:rPr>
                <w:b w:val="0"/>
                <w:color w:val="000000"/>
                <w:sz w:val="24"/>
                <w:szCs w:val="22"/>
              </w:rPr>
              <w:t>HBM Partners Hong Kong Limited</w:t>
            </w:r>
            <w:r>
              <w:rPr>
                <w:b w:val="0"/>
                <w:color w:val="000000"/>
                <w:sz w:val="24"/>
                <w:szCs w:val="22"/>
              </w:rPr>
              <w:t>、上海明河投资管理有限公司、深圳前海乐赢投资管理有限公司、西部证券、诺安基金管</w:t>
            </w:r>
            <w:r>
              <w:rPr>
                <w:b w:val="0"/>
                <w:color w:val="000000"/>
                <w:sz w:val="24"/>
                <w:szCs w:val="22"/>
              </w:rPr>
              <w:t>理有限公司、中国人寿养老保险股份有限公司、睿远基金管理有限公司、富国基金管理有限公司、创金合信管理有限公司、中信银行理财有限责任公司、东方证券自营部、前海开源基金管理有限公司、中银基金管理有限公司、信达澳亚基金管理有限公司、农银汇理基金管</w:t>
            </w:r>
            <w:r>
              <w:rPr>
                <w:b w:val="0"/>
                <w:color w:val="000000"/>
                <w:sz w:val="24"/>
                <w:szCs w:val="22"/>
              </w:rPr>
              <w:lastRenderedPageBreak/>
              <w:t>理有限公司、国海富兰克林基金、兴银基金管理有限责任公司、太平洋资产管理有限责任公司、安联保险资产管理有限公司、弘毅远方基金管理有限公司、野村东方国际证券有限公司、嘉合基金管理有限公司、</w:t>
            </w:r>
            <w:r>
              <w:rPr>
                <w:b w:val="0"/>
                <w:color w:val="000000"/>
                <w:sz w:val="24"/>
                <w:szCs w:val="22"/>
              </w:rPr>
              <w:t>Brilliance</w:t>
            </w:r>
            <w:r>
              <w:rPr>
                <w:b w:val="0"/>
                <w:color w:val="000000"/>
                <w:sz w:val="24"/>
                <w:szCs w:val="22"/>
              </w:rPr>
              <w:t>、华创证券研究所、湖南万泰华瑞投资管理有限责任公司、光大证券资产管理有</w:t>
            </w:r>
            <w:r>
              <w:rPr>
                <w:b w:val="0"/>
                <w:color w:val="000000"/>
                <w:sz w:val="24"/>
                <w:szCs w:val="22"/>
              </w:rPr>
              <w:t>限公司、平安基金管理有限公司、国泰海通证券股份有限公司、上海非马投资管理有限公司、天风证券（自营）、太平洋保险资产管理有限责任公司、工银安盛资产管理有限公司、鹏华基金管理有限公司、湘财基金管理有限公司、中信保诚基金管理有限公司、汇添富基金管理股份有限公司、国泰君安证券股份资产管理有限公司、南方基金管理股份有限公司、西部证券股份有限公司（自营）、深圳市榕树投资管理有限公司、华宝基金管理有限公司、国联安基金管理有限公司、圆信永丰基金管理有限公司、融通基金管理有限公司、招商证券资产管理有限公司、富安达基金管理公司</w:t>
            </w:r>
            <w:r>
              <w:rPr>
                <w:b w:val="0"/>
                <w:color w:val="000000"/>
                <w:sz w:val="24"/>
                <w:szCs w:val="22"/>
              </w:rPr>
              <w:t>、浦银理财有限责任公司、光大保德信基金管理有限公司、开源证券（自营）、银河基金管理有限公司、长城基金管理有限公司、华安基金管理有限公司、淡水泉（北京）投资管理有限公司、德邦基金管理有限公司、华鑫证券有限责任公司、西南医药、青榕资产管理有限公司、中信期货有限公司、长信基金管理有限公司、开源证券、中泰证券、申万宏源、华泰证券、国信、中邮医药、方正医药、平安、财金投资、太平洋医药</w:t>
            </w:r>
          </w:p>
        </w:tc>
      </w:tr>
      <w:tr w:rsidR="00F51EC2" w14:paraId="6EF75AE8" w14:textId="77777777">
        <w:trPr>
          <w:jc w:val="center"/>
        </w:trPr>
        <w:tc>
          <w:tcPr>
            <w:tcW w:w="1908" w:type="dxa"/>
            <w:vAlign w:val="center"/>
          </w:tcPr>
          <w:p w14:paraId="363D1C7E" w14:textId="77777777" w:rsidR="00F51EC2" w:rsidRDefault="00DB512A">
            <w:pPr>
              <w:spacing w:line="360" w:lineRule="auto"/>
              <w:jc w:val="center"/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lastRenderedPageBreak/>
              <w:t>时间</w:t>
            </w:r>
          </w:p>
        </w:tc>
        <w:tc>
          <w:tcPr>
            <w:tcW w:w="6614" w:type="dxa"/>
            <w:vAlign w:val="center"/>
          </w:tcPr>
          <w:p w14:paraId="7BD69537" w14:textId="77777777" w:rsidR="00F51EC2" w:rsidRDefault="00DB512A">
            <w:pPr>
              <w:spacing w:line="360" w:lineRule="auto"/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20</w:t>
            </w:r>
            <w:r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  <w:t>2</w:t>
            </w: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6</w:t>
            </w: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年</w:t>
            </w:r>
            <w:r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  <w:t>10</w:t>
            </w: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月</w:t>
            </w:r>
            <w:r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  <w:t>27</w:t>
            </w: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日上午</w:t>
            </w:r>
            <w:r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  <w:t>10</w:t>
            </w: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：</w:t>
            </w:r>
            <w:r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  <w:t>0</w:t>
            </w: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0-</w:t>
            </w:r>
            <w:r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  <w:t>11</w:t>
            </w: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：</w:t>
            </w:r>
            <w:r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  <w:t>00</w:t>
            </w:r>
          </w:p>
        </w:tc>
      </w:tr>
      <w:tr w:rsidR="00F51EC2" w14:paraId="2AD7B3CE" w14:textId="77777777">
        <w:trPr>
          <w:jc w:val="center"/>
        </w:trPr>
        <w:tc>
          <w:tcPr>
            <w:tcW w:w="1908" w:type="dxa"/>
            <w:vAlign w:val="center"/>
          </w:tcPr>
          <w:p w14:paraId="6F2BCB89" w14:textId="77777777" w:rsidR="00F51EC2" w:rsidRDefault="00DB512A">
            <w:pPr>
              <w:spacing w:line="360" w:lineRule="auto"/>
              <w:jc w:val="center"/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6614" w:type="dxa"/>
            <w:vAlign w:val="center"/>
          </w:tcPr>
          <w:p w14:paraId="6B41AE6E" w14:textId="77777777" w:rsidR="00F51EC2" w:rsidRDefault="00DB512A">
            <w:pPr>
              <w:spacing w:line="360" w:lineRule="auto"/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电话会议</w:t>
            </w:r>
          </w:p>
        </w:tc>
      </w:tr>
      <w:tr w:rsidR="00F51EC2" w14:paraId="5C5F8144" w14:textId="77777777">
        <w:trPr>
          <w:jc w:val="center"/>
        </w:trPr>
        <w:tc>
          <w:tcPr>
            <w:tcW w:w="1908" w:type="dxa"/>
            <w:vAlign w:val="center"/>
          </w:tcPr>
          <w:p w14:paraId="6F89DF6D" w14:textId="77777777" w:rsidR="00F51EC2" w:rsidRDefault="00DB512A">
            <w:pPr>
              <w:spacing w:line="360" w:lineRule="auto"/>
              <w:jc w:val="center"/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上市公司接待人员姓名及职务</w:t>
            </w:r>
          </w:p>
        </w:tc>
        <w:tc>
          <w:tcPr>
            <w:tcW w:w="6614" w:type="dxa"/>
          </w:tcPr>
          <w:p w14:paraId="22AD80E1" w14:textId="77777777" w:rsidR="00F51EC2" w:rsidRDefault="00DB512A">
            <w:pPr>
              <w:spacing w:line="360" w:lineRule="auto"/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副总经理、董事会秘书：陈斌</w:t>
            </w:r>
          </w:p>
          <w:p w14:paraId="5414FF84" w14:textId="77777777" w:rsidR="00F51EC2" w:rsidRDefault="00DB512A">
            <w:pPr>
              <w:spacing w:line="360" w:lineRule="auto"/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财务总监：祝一敏</w:t>
            </w:r>
          </w:p>
          <w:p w14:paraId="7553155D" w14:textId="77777777" w:rsidR="00F51EC2" w:rsidRDefault="00DB512A">
            <w:pPr>
              <w:spacing w:line="360" w:lineRule="auto"/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证券事务代表：吴利芳</w:t>
            </w:r>
          </w:p>
        </w:tc>
      </w:tr>
      <w:tr w:rsidR="00F51EC2" w14:paraId="771E084D" w14:textId="77777777">
        <w:trPr>
          <w:trHeight w:val="558"/>
          <w:jc w:val="center"/>
        </w:trPr>
        <w:tc>
          <w:tcPr>
            <w:tcW w:w="1908" w:type="dxa"/>
            <w:vAlign w:val="center"/>
          </w:tcPr>
          <w:p w14:paraId="666BCA5D" w14:textId="77777777" w:rsidR="00F51EC2" w:rsidRDefault="00DB512A">
            <w:pPr>
              <w:spacing w:line="360" w:lineRule="auto"/>
              <w:ind w:firstLineChars="100" w:firstLine="240"/>
              <w:jc w:val="center"/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调研内容</w:t>
            </w:r>
          </w:p>
        </w:tc>
        <w:tc>
          <w:tcPr>
            <w:tcW w:w="6614" w:type="dxa"/>
          </w:tcPr>
          <w:p w14:paraId="10A65D89" w14:textId="77777777" w:rsidR="00F51EC2" w:rsidRDefault="00DB512A">
            <w:pPr>
              <w:spacing w:line="360" w:lineRule="auto"/>
              <w:ind w:firstLineChars="200" w:firstLine="482"/>
              <w:jc w:val="left"/>
              <w:rPr>
                <w:rFonts w:asciiTheme="minorEastAsia" w:eastAsiaTheme="minorEastAsia" w:hAnsiTheme="minorEastAsia"/>
                <w:b/>
                <w:iCs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iCs/>
                <w:color w:val="000000"/>
                <w:kern w:val="0"/>
                <w:sz w:val="24"/>
              </w:rPr>
              <w:t>一、介绍公司</w:t>
            </w:r>
            <w:r>
              <w:rPr>
                <w:rFonts w:asciiTheme="minorEastAsia" w:eastAsiaTheme="minorEastAsia" w:hAnsiTheme="minorEastAsia" w:hint="eastAsia"/>
                <w:b/>
                <w:iCs/>
                <w:color w:val="000000"/>
                <w:kern w:val="0"/>
                <w:sz w:val="24"/>
              </w:rPr>
              <w:t>202</w:t>
            </w:r>
            <w:r>
              <w:rPr>
                <w:rFonts w:asciiTheme="minorEastAsia" w:eastAsiaTheme="minorEastAsia" w:hAnsiTheme="minorEastAsia"/>
                <w:b/>
                <w:iCs/>
                <w:color w:val="000000"/>
                <w:kern w:val="0"/>
                <w:sz w:val="24"/>
              </w:rPr>
              <w:t>6</w:t>
            </w:r>
            <w:r>
              <w:rPr>
                <w:rFonts w:asciiTheme="minorEastAsia" w:eastAsiaTheme="minorEastAsia" w:hAnsiTheme="minorEastAsia" w:hint="eastAsia"/>
                <w:b/>
                <w:iCs/>
                <w:color w:val="000000"/>
                <w:kern w:val="0"/>
                <w:sz w:val="24"/>
              </w:rPr>
              <w:t>年前三季度主要经营情况</w:t>
            </w:r>
          </w:p>
          <w:p w14:paraId="595DEAD4" w14:textId="5105FDAB" w:rsidR="00F51EC2" w:rsidRDefault="00DB512A">
            <w:pPr>
              <w:spacing w:line="360" w:lineRule="auto"/>
              <w:ind w:firstLineChars="200" w:firstLine="480"/>
              <w:jc w:val="left"/>
              <w:rPr>
                <w:rFonts w:asciiTheme="minorEastAsia" w:eastAsiaTheme="minorEastAsia" w:hAnsiTheme="minorEastAsia"/>
                <w:iCs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2026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年前三季度，公司主营业务保持平稳运行，营业收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lastRenderedPageBreak/>
              <w:t>入实现稳健增长；受全国第六批耗材集采执行影响，综合毛利率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小幅下滑，同时外币汇率波动叠加阶段性经营成本上升等因素，使公司利润端增速</w:t>
            </w:r>
            <w:r w:rsidR="006E03F1"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出现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阶段性放缓。</w:t>
            </w:r>
          </w:p>
          <w:p w14:paraId="3ECB72AF" w14:textId="1C500A77" w:rsidR="00F51EC2" w:rsidRDefault="00DB512A">
            <w:pPr>
              <w:spacing w:line="360" w:lineRule="auto"/>
              <w:ind w:firstLineChars="200" w:firstLine="480"/>
              <w:jc w:val="left"/>
              <w:rPr>
                <w:rFonts w:asciiTheme="minorEastAsia" w:eastAsiaTheme="minorEastAsia" w:hAnsiTheme="minorEastAsia"/>
                <w:iCs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2</w:t>
            </w:r>
            <w:r>
              <w:rPr>
                <w:rFonts w:asciiTheme="minorEastAsia" w:eastAsiaTheme="minorEastAsia" w:hAnsiTheme="minorEastAsia"/>
                <w:iCs/>
                <w:color w:val="000000"/>
                <w:kern w:val="0"/>
                <w:sz w:val="24"/>
              </w:rPr>
              <w:t>026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年前三季度，公司实现营业收入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12.18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亿元，同比增长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2.22%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，</w:t>
            </w:r>
            <w:r w:rsidR="006E03F1" w:rsidRPr="006E03F1"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其中主营业务内销收入同比增长10.64%，外销收入同比下滑5.65%。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实现归属于母公司股东的净利润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1.48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亿元，同比下降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22.61%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，实现归属于母公司股东的扣除非经常性损益的净利润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1</w:t>
            </w:r>
            <w:r>
              <w:rPr>
                <w:rFonts w:asciiTheme="minorEastAsia" w:eastAsiaTheme="minorEastAsia" w:hAnsiTheme="minorEastAsia"/>
                <w:iCs/>
                <w:color w:val="000000"/>
                <w:kern w:val="0"/>
                <w:sz w:val="24"/>
              </w:rPr>
              <w:t>.43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亿元，同比下降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2</w:t>
            </w:r>
            <w:r>
              <w:rPr>
                <w:rFonts w:asciiTheme="minorEastAsia" w:eastAsiaTheme="minorEastAsia" w:hAnsiTheme="minorEastAsia"/>
                <w:iCs/>
                <w:color w:val="000000"/>
                <w:kern w:val="0"/>
                <w:sz w:val="24"/>
              </w:rPr>
              <w:t>2.60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%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。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2</w:t>
            </w:r>
            <w:r>
              <w:rPr>
                <w:rFonts w:asciiTheme="minorEastAsia" w:eastAsiaTheme="minorEastAsia" w:hAnsiTheme="minorEastAsia"/>
                <w:iCs/>
                <w:color w:val="000000"/>
                <w:kern w:val="0"/>
                <w:sz w:val="24"/>
              </w:rPr>
              <w:t>026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年第三季度，公司实现营业收入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4</w:t>
            </w:r>
            <w:r>
              <w:rPr>
                <w:rFonts w:asciiTheme="minorEastAsia" w:eastAsiaTheme="minorEastAsia" w:hAnsiTheme="minorEastAsia"/>
                <w:iCs/>
                <w:color w:val="000000"/>
                <w:kern w:val="0"/>
                <w:sz w:val="24"/>
              </w:rPr>
              <w:t>.49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亿元，同比增长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0</w:t>
            </w:r>
            <w:r>
              <w:rPr>
                <w:rFonts w:asciiTheme="minorEastAsia" w:eastAsiaTheme="minorEastAsia" w:hAnsiTheme="minorEastAsia"/>
                <w:iCs/>
                <w:color w:val="000000"/>
                <w:kern w:val="0"/>
                <w:sz w:val="24"/>
              </w:rPr>
              <w:t>.62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%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，实现归属于母公司股东的净利润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0</w:t>
            </w:r>
            <w:r>
              <w:rPr>
                <w:rFonts w:asciiTheme="minorEastAsia" w:eastAsiaTheme="minorEastAsia" w:hAnsiTheme="minorEastAsia"/>
                <w:iCs/>
                <w:color w:val="000000"/>
                <w:kern w:val="0"/>
                <w:sz w:val="24"/>
              </w:rPr>
              <w:t>.46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亿元，同比下降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3</w:t>
            </w:r>
            <w:r>
              <w:rPr>
                <w:rFonts w:asciiTheme="minorEastAsia" w:eastAsiaTheme="minorEastAsia" w:hAnsiTheme="minorEastAsia"/>
                <w:iCs/>
                <w:color w:val="000000"/>
                <w:kern w:val="0"/>
                <w:sz w:val="24"/>
              </w:rPr>
              <w:t>4.36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%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，实现归属于母公司股东的扣除非经常性损益的净利润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0</w:t>
            </w:r>
            <w:r>
              <w:rPr>
                <w:rFonts w:asciiTheme="minorEastAsia" w:eastAsiaTheme="minorEastAsia" w:hAnsiTheme="minorEastAsia"/>
                <w:iCs/>
                <w:color w:val="000000"/>
                <w:kern w:val="0"/>
                <w:sz w:val="24"/>
              </w:rPr>
              <w:t>.45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亿元，同比下降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3</w:t>
            </w:r>
            <w:r>
              <w:rPr>
                <w:rFonts w:asciiTheme="minorEastAsia" w:eastAsiaTheme="minorEastAsia" w:hAnsiTheme="minorEastAsia"/>
                <w:iCs/>
                <w:color w:val="000000"/>
                <w:kern w:val="0"/>
                <w:sz w:val="24"/>
              </w:rPr>
              <w:t>3.03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%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。</w:t>
            </w:r>
          </w:p>
          <w:p w14:paraId="7DB57022" w14:textId="77777777" w:rsidR="00F51EC2" w:rsidRDefault="00F51EC2">
            <w:pPr>
              <w:spacing w:line="360" w:lineRule="auto"/>
              <w:ind w:firstLineChars="200" w:firstLine="480"/>
              <w:jc w:val="left"/>
              <w:rPr>
                <w:rFonts w:asciiTheme="minorEastAsia" w:eastAsiaTheme="minorEastAsia" w:hAnsiTheme="minorEastAsia"/>
                <w:iCs/>
                <w:color w:val="000000"/>
                <w:kern w:val="0"/>
                <w:sz w:val="24"/>
              </w:rPr>
            </w:pPr>
          </w:p>
          <w:p w14:paraId="685C1AED" w14:textId="77777777" w:rsidR="00F51EC2" w:rsidRDefault="00DB512A">
            <w:pPr>
              <w:spacing w:line="360" w:lineRule="auto"/>
              <w:ind w:firstLineChars="200" w:firstLine="482"/>
              <w:jc w:val="left"/>
              <w:rPr>
                <w:rFonts w:asciiTheme="minorEastAsia" w:eastAsiaTheme="minorEastAsia" w:hAnsiTheme="minorEastAsia"/>
                <w:b/>
                <w:iCs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iCs/>
                <w:color w:val="000000"/>
                <w:kern w:val="0"/>
                <w:sz w:val="24"/>
              </w:rPr>
              <w:t>二、投资者关心的问题及回复如下：</w:t>
            </w:r>
          </w:p>
          <w:p w14:paraId="2F6E3F7E" w14:textId="4204B416" w:rsidR="00F51EC2" w:rsidRDefault="00DB512A">
            <w:pPr>
              <w:spacing w:line="360" w:lineRule="auto"/>
              <w:ind w:firstLineChars="200" w:firstLine="482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/>
                <w:b/>
                <w:sz w:val="24"/>
              </w:rPr>
              <w:t>1</w:t>
            </w:r>
            <w:r>
              <w:rPr>
                <w:rFonts w:ascii="宋体" w:hAnsi="宋体" w:cs="宋体" w:hint="eastAsia"/>
                <w:b/>
                <w:sz w:val="24"/>
              </w:rPr>
              <w:t>、</w:t>
            </w:r>
            <w:r>
              <w:rPr>
                <w:rFonts w:ascii="宋体" w:hAnsi="宋体" w:cs="宋体" w:hint="eastAsia"/>
                <w:b/>
                <w:sz w:val="24"/>
              </w:rPr>
              <w:t>2026</w:t>
            </w:r>
            <w:r>
              <w:rPr>
                <w:rFonts w:ascii="宋体" w:hAnsi="宋体" w:cs="宋体" w:hint="eastAsia"/>
                <w:b/>
                <w:sz w:val="24"/>
              </w:rPr>
              <w:t>年前三季度外销收入下滑的主要原因是什么？</w:t>
            </w:r>
          </w:p>
          <w:p w14:paraId="19EC4D14" w14:textId="77777777" w:rsidR="00F51EC2" w:rsidRDefault="00DB512A">
            <w:pPr>
              <w:spacing w:line="360" w:lineRule="auto"/>
              <w:ind w:firstLineChars="200" w:firstLine="480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答：</w:t>
            </w:r>
            <w:r>
              <w:rPr>
                <w:rFonts w:ascii="宋体" w:hAnsi="宋体" w:cs="宋体" w:hint="eastAsia"/>
                <w:bCs/>
                <w:sz w:val="24"/>
              </w:rPr>
              <w:t>2026</w:t>
            </w:r>
            <w:r>
              <w:rPr>
                <w:rFonts w:ascii="宋体" w:hAnsi="宋体" w:cs="宋体" w:hint="eastAsia"/>
                <w:bCs/>
                <w:sz w:val="24"/>
              </w:rPr>
              <w:t>年前三季度外销收入下滑主要受产能、物流、海外工厂投产节奏及大客户项目进度等多重因素影响：</w:t>
            </w:r>
          </w:p>
          <w:p w14:paraId="1955AAD8" w14:textId="77777777" w:rsidR="00F51EC2" w:rsidRDefault="00DB512A">
            <w:pPr>
              <w:spacing w:line="360" w:lineRule="auto"/>
              <w:ind w:firstLineChars="200" w:firstLine="480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（</w:t>
            </w:r>
            <w:r>
              <w:rPr>
                <w:rFonts w:ascii="宋体" w:hAnsi="宋体" w:cs="宋体" w:hint="eastAsia"/>
                <w:bCs/>
                <w:sz w:val="24"/>
              </w:rPr>
              <w:t>1</w:t>
            </w:r>
            <w:r>
              <w:rPr>
                <w:rFonts w:ascii="宋体" w:hAnsi="宋体" w:cs="宋体" w:hint="eastAsia"/>
                <w:bCs/>
                <w:sz w:val="24"/>
              </w:rPr>
              <w:t>）国内集采集中供货挤占产能：国内泌尿外科产品集采进入集中供货阶段，公司生产资源优先保障集采订单，导致部分外销订单排产和交付节奏有所延后，影响当期收入确认。</w:t>
            </w:r>
          </w:p>
          <w:p w14:paraId="0687EB40" w14:textId="77777777" w:rsidR="00F51EC2" w:rsidRDefault="00DB512A">
            <w:pPr>
              <w:spacing w:line="360" w:lineRule="auto"/>
              <w:ind w:firstLineChars="200" w:firstLine="480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（</w:t>
            </w:r>
            <w:r>
              <w:rPr>
                <w:rFonts w:ascii="宋体" w:hAnsi="宋体" w:cs="宋体" w:hint="eastAsia"/>
                <w:bCs/>
                <w:sz w:val="24"/>
              </w:rPr>
              <w:t>2</w:t>
            </w:r>
            <w:r>
              <w:rPr>
                <w:rFonts w:ascii="宋体" w:hAnsi="宋体" w:cs="宋体" w:hint="eastAsia"/>
                <w:bCs/>
                <w:sz w:val="24"/>
              </w:rPr>
              <w:t>）海外物流及地缘因素制约出货：受海外地缘冲突影响，部分航线运力紧张、物流成本上升，部分产品虽已完成生产，但尚未及时发运，因而未能确认收入。</w:t>
            </w:r>
          </w:p>
          <w:p w14:paraId="2758B45E" w14:textId="45AE3EB6" w:rsidR="00F51EC2" w:rsidRDefault="00DB512A">
            <w:pPr>
              <w:spacing w:line="360" w:lineRule="auto"/>
              <w:ind w:firstLineChars="200" w:firstLine="480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（</w:t>
            </w:r>
            <w:r>
              <w:rPr>
                <w:rFonts w:ascii="宋体" w:hAnsi="宋体" w:cs="宋体" w:hint="eastAsia"/>
                <w:bCs/>
                <w:sz w:val="24"/>
              </w:rPr>
              <w:t>3</w:t>
            </w:r>
            <w:r>
              <w:rPr>
                <w:rFonts w:ascii="宋体" w:hAnsi="宋体" w:cs="宋体" w:hint="eastAsia"/>
                <w:bCs/>
                <w:sz w:val="24"/>
              </w:rPr>
              <w:t>）印尼工厂出货节奏延后：印尼工厂原计划于</w:t>
            </w:r>
            <w:r>
              <w:rPr>
                <w:rFonts w:ascii="宋体" w:hAnsi="宋体" w:cs="宋体" w:hint="eastAsia"/>
                <w:bCs/>
                <w:sz w:val="24"/>
              </w:rPr>
              <w:t>2026</w:t>
            </w:r>
            <w:r>
              <w:rPr>
                <w:rFonts w:ascii="宋体" w:hAnsi="宋体" w:cs="宋体" w:hint="eastAsia"/>
                <w:bCs/>
                <w:sz w:val="24"/>
              </w:rPr>
              <w:t>年</w:t>
            </w:r>
            <w:r>
              <w:rPr>
                <w:rFonts w:ascii="宋体" w:hAnsi="宋体" w:cs="宋体" w:hint="eastAsia"/>
                <w:bCs/>
                <w:sz w:val="24"/>
              </w:rPr>
              <w:t>4-5</w:t>
            </w:r>
            <w:r>
              <w:rPr>
                <w:rFonts w:ascii="宋体" w:hAnsi="宋体" w:cs="宋体" w:hint="eastAsia"/>
                <w:bCs/>
                <w:sz w:val="24"/>
              </w:rPr>
              <w:t>月投产并出货，实际出货时间延后约三个月，</w:t>
            </w:r>
            <w:r>
              <w:rPr>
                <w:rFonts w:ascii="宋体" w:hAnsi="宋体" w:cs="宋体" w:hint="eastAsia"/>
                <w:bCs/>
                <w:sz w:val="24"/>
              </w:rPr>
              <w:t>目前仍处于产能爬坡阶段，对前三季度外销收入贡献有限。</w:t>
            </w:r>
          </w:p>
          <w:p w14:paraId="1DCEB41F" w14:textId="45A43297" w:rsidR="00F51EC2" w:rsidRDefault="00DB512A">
            <w:pPr>
              <w:spacing w:line="360" w:lineRule="auto"/>
              <w:ind w:firstLineChars="200" w:firstLine="480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（</w:t>
            </w:r>
            <w:r>
              <w:rPr>
                <w:rFonts w:ascii="宋体" w:hAnsi="宋体" w:cs="宋体" w:hint="eastAsia"/>
                <w:bCs/>
                <w:sz w:val="24"/>
              </w:rPr>
              <w:t>4</w:t>
            </w:r>
            <w:r>
              <w:rPr>
                <w:rFonts w:ascii="宋体" w:hAnsi="宋体" w:cs="宋体" w:hint="eastAsia"/>
                <w:bCs/>
                <w:sz w:val="24"/>
              </w:rPr>
              <w:t>）部分大客户项目进度不及</w:t>
            </w:r>
            <w:r>
              <w:rPr>
                <w:rFonts w:ascii="宋体" w:hAnsi="宋体" w:cs="宋体" w:hint="eastAsia"/>
                <w:bCs/>
                <w:sz w:val="24"/>
              </w:rPr>
              <w:t>预期：</w:t>
            </w:r>
            <w:r w:rsidR="006E03F1">
              <w:rPr>
                <w:rFonts w:ascii="宋体" w:hAnsi="宋体" w:cs="宋体" w:hint="eastAsia"/>
                <w:bCs/>
                <w:sz w:val="24"/>
              </w:rPr>
              <w:t>部分</w:t>
            </w:r>
            <w:r>
              <w:rPr>
                <w:rFonts w:ascii="宋体" w:hAnsi="宋体" w:cs="宋体" w:hint="eastAsia"/>
                <w:bCs/>
                <w:sz w:val="24"/>
              </w:rPr>
              <w:t>大客户</w:t>
            </w:r>
            <w:r w:rsidR="006E03F1">
              <w:rPr>
                <w:rFonts w:ascii="宋体" w:hAnsi="宋体" w:cs="宋体" w:hint="eastAsia"/>
                <w:bCs/>
                <w:sz w:val="24"/>
              </w:rPr>
              <w:t>定制化</w:t>
            </w:r>
            <w:r>
              <w:rPr>
                <w:rFonts w:ascii="宋体" w:hAnsi="宋体" w:cs="宋体" w:hint="eastAsia"/>
                <w:bCs/>
                <w:sz w:val="24"/>
              </w:rPr>
              <w:t>项目落地</w:t>
            </w:r>
            <w:r>
              <w:rPr>
                <w:rFonts w:ascii="宋体" w:hAnsi="宋体" w:cs="宋体" w:hint="eastAsia"/>
                <w:bCs/>
                <w:sz w:val="24"/>
              </w:rPr>
              <w:t>速度慢于预期，导致订单释放和收入确认相应延后。</w:t>
            </w:r>
          </w:p>
          <w:p w14:paraId="4FC322E8" w14:textId="2E49EA24" w:rsidR="00F51EC2" w:rsidRDefault="00DB512A">
            <w:pPr>
              <w:spacing w:line="360" w:lineRule="auto"/>
              <w:ind w:firstLineChars="200" w:firstLine="482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2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、国内泌尿外科集采供应导致的产能挤兑情况何时缓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lastRenderedPageBreak/>
              <w:t>解？</w:t>
            </w:r>
          </w:p>
          <w:p w14:paraId="77EA2131" w14:textId="56B8DB46" w:rsidR="00F51EC2" w:rsidRDefault="00DB512A">
            <w:pPr>
              <w:spacing w:line="360" w:lineRule="auto"/>
              <w:ind w:firstLineChars="200" w:firstLine="480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答：目前受国内泌尿外科集采保供影响，产能紧张情况仍在持续，四季度部分产品供应压力预计仍将延续。公司预计整体产能在</w:t>
            </w:r>
            <w:r>
              <w:rPr>
                <w:rFonts w:ascii="宋体" w:hAnsi="宋体" w:cs="宋体" w:hint="eastAsia"/>
                <w:bCs/>
                <w:sz w:val="24"/>
              </w:rPr>
              <w:t>2</w:t>
            </w:r>
            <w:r>
              <w:rPr>
                <w:rFonts w:ascii="宋体" w:hAnsi="宋体" w:cs="宋体"/>
                <w:bCs/>
                <w:sz w:val="24"/>
              </w:rPr>
              <w:t>026</w:t>
            </w:r>
            <w:r>
              <w:rPr>
                <w:rFonts w:ascii="宋体" w:hAnsi="宋体" w:cs="宋体" w:hint="eastAsia"/>
                <w:bCs/>
                <w:sz w:val="24"/>
              </w:rPr>
              <w:t>年</w:t>
            </w:r>
            <w:r w:rsidR="006E03F1">
              <w:rPr>
                <w:rFonts w:ascii="宋体" w:hAnsi="宋体" w:cs="宋体" w:hint="eastAsia"/>
                <w:bCs/>
                <w:sz w:val="24"/>
              </w:rPr>
              <w:t>年底前</w:t>
            </w:r>
            <w:r>
              <w:rPr>
                <w:rFonts w:ascii="宋体" w:hAnsi="宋体" w:cs="宋体" w:hint="eastAsia"/>
                <w:bCs/>
                <w:sz w:val="24"/>
              </w:rPr>
              <w:t>有望恢复至相对正常水平</w:t>
            </w:r>
            <w:r w:rsidR="006E03F1">
              <w:rPr>
                <w:rFonts w:ascii="宋体" w:hAnsi="宋体" w:cs="宋体" w:hint="eastAsia"/>
                <w:bCs/>
                <w:sz w:val="24"/>
              </w:rPr>
              <w:t>。</w:t>
            </w:r>
          </w:p>
          <w:p w14:paraId="445FB73A" w14:textId="77777777" w:rsidR="00F51EC2" w:rsidRDefault="00DB512A">
            <w:pPr>
              <w:spacing w:line="360" w:lineRule="auto"/>
              <w:ind w:firstLineChars="200" w:firstLine="482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3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、肇庆工厂目前的建设情况和设备导入是否符合预期？</w:t>
            </w:r>
          </w:p>
          <w:p w14:paraId="4E8114EB" w14:textId="77777777" w:rsidR="00F51EC2" w:rsidRDefault="00DB512A">
            <w:pPr>
              <w:spacing w:line="360" w:lineRule="auto"/>
              <w:ind w:firstLineChars="200" w:firstLine="480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答：肇庆工厂建设进度较此前预期有所延后。公司原计划于</w:t>
            </w:r>
            <w:r>
              <w:rPr>
                <w:rFonts w:ascii="宋体" w:hAnsi="宋体" w:cs="宋体" w:hint="eastAsia"/>
                <w:bCs/>
                <w:sz w:val="24"/>
              </w:rPr>
              <w:t>2027</w:t>
            </w:r>
            <w:r>
              <w:rPr>
                <w:rFonts w:ascii="宋体" w:hAnsi="宋体" w:cs="宋体" w:hint="eastAsia"/>
                <w:bCs/>
                <w:sz w:val="24"/>
              </w:rPr>
              <w:t>年下半年逐步释放肇庆工厂产能，</w:t>
            </w:r>
            <w:r>
              <w:rPr>
                <w:rFonts w:ascii="宋体" w:hAnsi="宋体" w:cs="宋体" w:hint="eastAsia"/>
                <w:bCs/>
                <w:sz w:val="24"/>
              </w:rPr>
              <w:t>但因</w:t>
            </w:r>
            <w:r>
              <w:rPr>
                <w:rFonts w:ascii="宋体" w:hAnsi="宋体" w:cs="宋体" w:hint="eastAsia"/>
                <w:bCs/>
                <w:sz w:val="24"/>
              </w:rPr>
              <w:t>资源优先保障印尼工厂建设，肇庆项目自</w:t>
            </w:r>
            <w:r>
              <w:rPr>
                <w:rFonts w:ascii="宋体" w:hAnsi="宋体" w:cs="宋体" w:hint="eastAsia"/>
                <w:bCs/>
                <w:sz w:val="24"/>
              </w:rPr>
              <w:t>2026</w:t>
            </w:r>
            <w:r>
              <w:rPr>
                <w:rFonts w:ascii="宋体" w:hAnsi="宋体" w:cs="宋体" w:hint="eastAsia"/>
                <w:bCs/>
                <w:sz w:val="24"/>
              </w:rPr>
              <w:t>年</w:t>
            </w:r>
            <w:r>
              <w:rPr>
                <w:rFonts w:ascii="宋体" w:hAnsi="宋体" w:cs="宋体" w:hint="eastAsia"/>
                <w:bCs/>
                <w:sz w:val="24"/>
              </w:rPr>
              <w:t>9</w:t>
            </w:r>
            <w:r>
              <w:rPr>
                <w:rFonts w:ascii="宋体" w:hAnsi="宋体" w:cs="宋体" w:hint="eastAsia"/>
                <w:bCs/>
                <w:sz w:val="24"/>
              </w:rPr>
              <w:t>月后才逐步</w:t>
            </w:r>
            <w:r>
              <w:rPr>
                <w:rFonts w:ascii="宋体" w:hAnsi="宋体" w:cs="宋体" w:hint="eastAsia"/>
                <w:bCs/>
                <w:sz w:val="24"/>
              </w:rPr>
              <w:t>加大建设力度。</w:t>
            </w:r>
          </w:p>
          <w:p w14:paraId="04FD41A0" w14:textId="77777777" w:rsidR="00F51EC2" w:rsidRDefault="00DB512A">
            <w:pPr>
              <w:spacing w:line="360" w:lineRule="auto"/>
              <w:ind w:firstLineChars="200" w:firstLine="480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目前预计肇庆工厂将于</w:t>
            </w:r>
            <w:r>
              <w:rPr>
                <w:rFonts w:ascii="宋体" w:hAnsi="宋体" w:cs="宋体" w:hint="eastAsia"/>
                <w:bCs/>
                <w:sz w:val="24"/>
              </w:rPr>
              <w:t>2028</w:t>
            </w:r>
            <w:r>
              <w:rPr>
                <w:rFonts w:ascii="宋体" w:hAnsi="宋体" w:cs="宋体" w:hint="eastAsia"/>
                <w:bCs/>
                <w:sz w:val="24"/>
              </w:rPr>
              <w:t>年一季度</w:t>
            </w:r>
            <w:bookmarkStart w:id="2" w:name="_GoBack"/>
            <w:bookmarkEnd w:id="2"/>
            <w:r>
              <w:rPr>
                <w:rFonts w:ascii="宋体" w:hAnsi="宋体" w:cs="宋体" w:hint="eastAsia"/>
                <w:bCs/>
                <w:sz w:val="24"/>
              </w:rPr>
              <w:t>正式投产。</w:t>
            </w:r>
            <w:r>
              <w:rPr>
                <w:rFonts w:ascii="宋体" w:hAnsi="宋体" w:cs="宋体" w:hint="eastAsia"/>
                <w:bCs/>
                <w:sz w:val="24"/>
              </w:rPr>
              <w:t>2027</w:t>
            </w:r>
            <w:r>
              <w:rPr>
                <w:rFonts w:ascii="宋体" w:hAnsi="宋体" w:cs="宋体" w:hint="eastAsia"/>
                <w:bCs/>
                <w:sz w:val="24"/>
              </w:rPr>
              <w:t>年</w:t>
            </w:r>
            <w:r>
              <w:rPr>
                <w:rFonts w:ascii="宋体" w:hAnsi="宋体" w:cs="宋体" w:hint="eastAsia"/>
                <w:bCs/>
                <w:sz w:val="24"/>
              </w:rPr>
              <w:t>将</w:t>
            </w:r>
            <w:r>
              <w:rPr>
                <w:rFonts w:ascii="宋体" w:hAnsi="宋体" w:cs="宋体" w:hint="eastAsia"/>
                <w:bCs/>
                <w:sz w:val="24"/>
              </w:rPr>
              <w:t>主要推进基建落地、装修、验证及设备导入等工作，整体项目进度较原计划延后约一年。后续公司将结合产能需求、项目进展及业务规划，统筹推进肇庆工厂建设。</w:t>
            </w:r>
          </w:p>
          <w:p w14:paraId="3635B4C7" w14:textId="77777777" w:rsidR="00F51EC2" w:rsidRDefault="00DB512A">
            <w:pPr>
              <w:spacing w:line="360" w:lineRule="auto"/>
              <w:ind w:firstLineChars="200" w:firstLine="482"/>
              <w:rPr>
                <w:rFonts w:asciiTheme="minorEastAsia" w:eastAsiaTheme="minorEastAsia" w:hAnsiTheme="minorEastAsia"/>
                <w:b/>
                <w:iCs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/>
                <w:b/>
                <w:iCs/>
                <w:color w:val="000000"/>
                <w:kern w:val="0"/>
                <w:sz w:val="24"/>
              </w:rPr>
              <w:t>4</w:t>
            </w:r>
            <w:r>
              <w:rPr>
                <w:rFonts w:asciiTheme="minorEastAsia" w:eastAsiaTheme="minorEastAsia" w:hAnsiTheme="minorEastAsia" w:hint="eastAsia"/>
                <w:b/>
                <w:iCs/>
                <w:color w:val="000000"/>
                <w:kern w:val="0"/>
                <w:sz w:val="24"/>
              </w:rPr>
              <w:t>、</w:t>
            </w:r>
            <w:r>
              <w:rPr>
                <w:rFonts w:asciiTheme="minorEastAsia" w:eastAsiaTheme="minorEastAsia" w:hAnsiTheme="minorEastAsia" w:hint="eastAsia"/>
                <w:b/>
                <w:iCs/>
                <w:color w:val="000000"/>
                <w:kern w:val="0"/>
                <w:sz w:val="24"/>
              </w:rPr>
              <w:t>2026</w:t>
            </w:r>
            <w:r>
              <w:rPr>
                <w:rFonts w:asciiTheme="minorEastAsia" w:eastAsiaTheme="minorEastAsia" w:hAnsiTheme="minorEastAsia" w:hint="eastAsia"/>
                <w:b/>
                <w:iCs/>
                <w:color w:val="000000"/>
                <w:kern w:val="0"/>
                <w:sz w:val="24"/>
              </w:rPr>
              <w:t>年以来海外收入中自主品牌和</w:t>
            </w:r>
            <w:r>
              <w:rPr>
                <w:rFonts w:asciiTheme="minorEastAsia" w:eastAsiaTheme="minorEastAsia" w:hAnsiTheme="minorEastAsia" w:hint="eastAsia"/>
                <w:b/>
                <w:iCs/>
                <w:color w:val="000000"/>
                <w:kern w:val="0"/>
                <w:sz w:val="24"/>
              </w:rPr>
              <w:t>OEM</w:t>
            </w:r>
            <w:r>
              <w:rPr>
                <w:rFonts w:asciiTheme="minorEastAsia" w:eastAsiaTheme="minorEastAsia" w:hAnsiTheme="minorEastAsia" w:hint="eastAsia"/>
                <w:b/>
                <w:iCs/>
                <w:color w:val="000000"/>
                <w:kern w:val="0"/>
                <w:sz w:val="24"/>
              </w:rPr>
              <w:t>业务的结构有无变化？未来海外发展重点是扩大</w:t>
            </w:r>
            <w:r>
              <w:rPr>
                <w:rFonts w:asciiTheme="minorEastAsia" w:eastAsiaTheme="minorEastAsia" w:hAnsiTheme="minorEastAsia" w:hint="eastAsia"/>
                <w:b/>
                <w:iCs/>
                <w:color w:val="000000"/>
                <w:kern w:val="0"/>
                <w:sz w:val="24"/>
              </w:rPr>
              <w:t>OEM</w:t>
            </w:r>
            <w:r>
              <w:rPr>
                <w:rFonts w:asciiTheme="minorEastAsia" w:eastAsiaTheme="minorEastAsia" w:hAnsiTheme="minorEastAsia" w:hint="eastAsia"/>
                <w:b/>
                <w:iCs/>
                <w:color w:val="000000"/>
                <w:kern w:val="0"/>
                <w:sz w:val="24"/>
              </w:rPr>
              <w:t>份额还是推动自主品牌渗透？</w:t>
            </w:r>
          </w:p>
          <w:p w14:paraId="689784FA" w14:textId="77777777" w:rsidR="00F51EC2" w:rsidRDefault="00DB512A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答：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2026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年以来，公司海外收入中自主品牌与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OEM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业务的整体结构保持相对稳定，未发生重大变化。</w:t>
            </w:r>
          </w:p>
          <w:p w14:paraId="17D54E07" w14:textId="77777777" w:rsidR="00F51EC2" w:rsidRDefault="00DB512A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iCs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从区域市场看，海外不同国家和地区通常已有较为成熟的本地品牌，公司在这些市场更多结合当地客户需求开展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OEM/ODM</w:t>
            </w: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代工合作，优先通过进入国际大客户供应链，夯实海外市场基础。</w:t>
            </w:r>
          </w:p>
          <w:p w14:paraId="5339C0A3" w14:textId="77777777" w:rsidR="00F51EC2" w:rsidRDefault="00DB512A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iCs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iCs/>
                <w:color w:val="000000"/>
                <w:kern w:val="0"/>
                <w:sz w:val="24"/>
              </w:rPr>
              <w:t>未来，海外发展将坚持“先供应链、后品牌”的路径：现阶段继续以服务全球大客户、提升供应链合作深度为重点；中长期则依托创新产品和高附加值产品，在重点市场逐步提升自主品牌渗透率，增强“维力”品牌的海外影响力。</w:t>
            </w:r>
          </w:p>
        </w:tc>
      </w:tr>
      <w:tr w:rsidR="00F51EC2" w14:paraId="69604F04" w14:textId="77777777">
        <w:trPr>
          <w:jc w:val="center"/>
        </w:trPr>
        <w:tc>
          <w:tcPr>
            <w:tcW w:w="1908" w:type="dxa"/>
            <w:vAlign w:val="center"/>
          </w:tcPr>
          <w:p w14:paraId="424CE5B7" w14:textId="77777777" w:rsidR="00F51EC2" w:rsidRDefault="00DB512A">
            <w:pPr>
              <w:spacing w:line="360" w:lineRule="auto"/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lastRenderedPageBreak/>
              <w:t>附件清单（如有）</w:t>
            </w:r>
          </w:p>
        </w:tc>
        <w:tc>
          <w:tcPr>
            <w:tcW w:w="6614" w:type="dxa"/>
          </w:tcPr>
          <w:p w14:paraId="0F9B5315" w14:textId="77777777" w:rsidR="00F51EC2" w:rsidRDefault="00DB512A">
            <w:pPr>
              <w:spacing w:line="360" w:lineRule="auto"/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无</w:t>
            </w:r>
          </w:p>
        </w:tc>
      </w:tr>
    </w:tbl>
    <w:p w14:paraId="31219A68" w14:textId="77777777" w:rsidR="00F51EC2" w:rsidRDefault="00F51EC2"/>
    <w:sectPr w:rsidR="00F51E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1NzJmY2JkNGY4ZmI2MTQwMGFiM2RhNGIwMjY0ZGUifQ=="/>
    <w:docVar w:name="KSO_WPS_MARK_KEY" w:val="45241752-2424-4571-9534-7b2b7e66cbac"/>
  </w:docVars>
  <w:rsids>
    <w:rsidRoot w:val="00C266CB"/>
    <w:rsid w:val="000020BB"/>
    <w:rsid w:val="000032FC"/>
    <w:rsid w:val="00012472"/>
    <w:rsid w:val="000148C6"/>
    <w:rsid w:val="00015973"/>
    <w:rsid w:val="00030E94"/>
    <w:rsid w:val="00035DAA"/>
    <w:rsid w:val="00037EC6"/>
    <w:rsid w:val="00042C88"/>
    <w:rsid w:val="00045B78"/>
    <w:rsid w:val="00046799"/>
    <w:rsid w:val="000515CC"/>
    <w:rsid w:val="00055A10"/>
    <w:rsid w:val="00055A4F"/>
    <w:rsid w:val="00056C9B"/>
    <w:rsid w:val="000627D1"/>
    <w:rsid w:val="0006340A"/>
    <w:rsid w:val="00063E83"/>
    <w:rsid w:val="000640D4"/>
    <w:rsid w:val="0006566C"/>
    <w:rsid w:val="00070583"/>
    <w:rsid w:val="00070C11"/>
    <w:rsid w:val="00074F39"/>
    <w:rsid w:val="00080BD9"/>
    <w:rsid w:val="00082957"/>
    <w:rsid w:val="0009159E"/>
    <w:rsid w:val="00092156"/>
    <w:rsid w:val="00092390"/>
    <w:rsid w:val="0009260A"/>
    <w:rsid w:val="00093087"/>
    <w:rsid w:val="00094390"/>
    <w:rsid w:val="000952D9"/>
    <w:rsid w:val="000A08C7"/>
    <w:rsid w:val="000A09AF"/>
    <w:rsid w:val="000A24D5"/>
    <w:rsid w:val="000A45B4"/>
    <w:rsid w:val="000A55FF"/>
    <w:rsid w:val="000B4815"/>
    <w:rsid w:val="000B48B3"/>
    <w:rsid w:val="000B5FFA"/>
    <w:rsid w:val="000B7BA2"/>
    <w:rsid w:val="000B7EA7"/>
    <w:rsid w:val="000C0466"/>
    <w:rsid w:val="000C133E"/>
    <w:rsid w:val="000C58E2"/>
    <w:rsid w:val="000D3245"/>
    <w:rsid w:val="000D37B1"/>
    <w:rsid w:val="000E0A7E"/>
    <w:rsid w:val="000E0DA6"/>
    <w:rsid w:val="000E0EE6"/>
    <w:rsid w:val="000E6C21"/>
    <w:rsid w:val="000E6FDA"/>
    <w:rsid w:val="000F172C"/>
    <w:rsid w:val="000F3CF1"/>
    <w:rsid w:val="000F5FB3"/>
    <w:rsid w:val="000F6B2D"/>
    <w:rsid w:val="00100C75"/>
    <w:rsid w:val="00102263"/>
    <w:rsid w:val="00114B6E"/>
    <w:rsid w:val="00121E65"/>
    <w:rsid w:val="001237A1"/>
    <w:rsid w:val="001261E0"/>
    <w:rsid w:val="001270C8"/>
    <w:rsid w:val="0012752A"/>
    <w:rsid w:val="00132145"/>
    <w:rsid w:val="00133A7B"/>
    <w:rsid w:val="00133C00"/>
    <w:rsid w:val="00134C22"/>
    <w:rsid w:val="00135D4C"/>
    <w:rsid w:val="001378B7"/>
    <w:rsid w:val="00140C29"/>
    <w:rsid w:val="00141797"/>
    <w:rsid w:val="00144F2A"/>
    <w:rsid w:val="00145A2F"/>
    <w:rsid w:val="001509F4"/>
    <w:rsid w:val="001529DB"/>
    <w:rsid w:val="00155749"/>
    <w:rsid w:val="00155843"/>
    <w:rsid w:val="00157EE5"/>
    <w:rsid w:val="00160B33"/>
    <w:rsid w:val="00161C1D"/>
    <w:rsid w:val="0016586D"/>
    <w:rsid w:val="00165D8A"/>
    <w:rsid w:val="00166605"/>
    <w:rsid w:val="0017161F"/>
    <w:rsid w:val="00172091"/>
    <w:rsid w:val="00184C27"/>
    <w:rsid w:val="00193893"/>
    <w:rsid w:val="001943B5"/>
    <w:rsid w:val="0019786D"/>
    <w:rsid w:val="001A49A5"/>
    <w:rsid w:val="001A7CEB"/>
    <w:rsid w:val="001B3A61"/>
    <w:rsid w:val="001B3CDF"/>
    <w:rsid w:val="001B6B67"/>
    <w:rsid w:val="001C252D"/>
    <w:rsid w:val="001C33CC"/>
    <w:rsid w:val="001C4CC8"/>
    <w:rsid w:val="001C783C"/>
    <w:rsid w:val="001D5096"/>
    <w:rsid w:val="001D5973"/>
    <w:rsid w:val="001E15B0"/>
    <w:rsid w:val="001E2890"/>
    <w:rsid w:val="001F1799"/>
    <w:rsid w:val="001F73E6"/>
    <w:rsid w:val="0020569C"/>
    <w:rsid w:val="00207E12"/>
    <w:rsid w:val="00214550"/>
    <w:rsid w:val="00216C21"/>
    <w:rsid w:val="002241BD"/>
    <w:rsid w:val="0022591A"/>
    <w:rsid w:val="0022677D"/>
    <w:rsid w:val="002375DF"/>
    <w:rsid w:val="002403F2"/>
    <w:rsid w:val="00245274"/>
    <w:rsid w:val="00247163"/>
    <w:rsid w:val="00255D48"/>
    <w:rsid w:val="002624D6"/>
    <w:rsid w:val="0026295C"/>
    <w:rsid w:val="002639FE"/>
    <w:rsid w:val="00264331"/>
    <w:rsid w:val="00264FDB"/>
    <w:rsid w:val="00266C81"/>
    <w:rsid w:val="00267DE5"/>
    <w:rsid w:val="00270676"/>
    <w:rsid w:val="002719BC"/>
    <w:rsid w:val="00271E44"/>
    <w:rsid w:val="00273F2C"/>
    <w:rsid w:val="0027527A"/>
    <w:rsid w:val="00276A36"/>
    <w:rsid w:val="002857B7"/>
    <w:rsid w:val="00287A6E"/>
    <w:rsid w:val="00291103"/>
    <w:rsid w:val="002969C3"/>
    <w:rsid w:val="002A150C"/>
    <w:rsid w:val="002A2289"/>
    <w:rsid w:val="002B0A63"/>
    <w:rsid w:val="002B2CD7"/>
    <w:rsid w:val="002B4DEC"/>
    <w:rsid w:val="002B6AAA"/>
    <w:rsid w:val="002B6DA9"/>
    <w:rsid w:val="002C1EE7"/>
    <w:rsid w:val="002C2483"/>
    <w:rsid w:val="002C3F7C"/>
    <w:rsid w:val="002C6A77"/>
    <w:rsid w:val="002D6A4B"/>
    <w:rsid w:val="002E02A5"/>
    <w:rsid w:val="002E7326"/>
    <w:rsid w:val="002F13F1"/>
    <w:rsid w:val="002F200A"/>
    <w:rsid w:val="002F2C34"/>
    <w:rsid w:val="002F3326"/>
    <w:rsid w:val="002F6D25"/>
    <w:rsid w:val="00300BDC"/>
    <w:rsid w:val="00304617"/>
    <w:rsid w:val="00304B76"/>
    <w:rsid w:val="003077FF"/>
    <w:rsid w:val="0031421E"/>
    <w:rsid w:val="0031693D"/>
    <w:rsid w:val="00321A33"/>
    <w:rsid w:val="00327FF5"/>
    <w:rsid w:val="00332FC0"/>
    <w:rsid w:val="0033329F"/>
    <w:rsid w:val="00333A49"/>
    <w:rsid w:val="00335DBD"/>
    <w:rsid w:val="00343C84"/>
    <w:rsid w:val="00343E0F"/>
    <w:rsid w:val="00345FFD"/>
    <w:rsid w:val="00346B17"/>
    <w:rsid w:val="00346BAB"/>
    <w:rsid w:val="00347208"/>
    <w:rsid w:val="00347FAA"/>
    <w:rsid w:val="00353A63"/>
    <w:rsid w:val="003551C9"/>
    <w:rsid w:val="0035592E"/>
    <w:rsid w:val="003559F3"/>
    <w:rsid w:val="00355F1C"/>
    <w:rsid w:val="0036337B"/>
    <w:rsid w:val="00364DB4"/>
    <w:rsid w:val="003676B4"/>
    <w:rsid w:val="00373CDA"/>
    <w:rsid w:val="00374A67"/>
    <w:rsid w:val="003760E2"/>
    <w:rsid w:val="00376AA0"/>
    <w:rsid w:val="00376E47"/>
    <w:rsid w:val="0038676B"/>
    <w:rsid w:val="00387F27"/>
    <w:rsid w:val="0039285C"/>
    <w:rsid w:val="003934F7"/>
    <w:rsid w:val="003953D0"/>
    <w:rsid w:val="003961CF"/>
    <w:rsid w:val="003965CF"/>
    <w:rsid w:val="003A24F8"/>
    <w:rsid w:val="003A66CA"/>
    <w:rsid w:val="003B077C"/>
    <w:rsid w:val="003B73CD"/>
    <w:rsid w:val="003B7E86"/>
    <w:rsid w:val="003C0DAD"/>
    <w:rsid w:val="003C5722"/>
    <w:rsid w:val="003D26FE"/>
    <w:rsid w:val="003D27BA"/>
    <w:rsid w:val="003D47FD"/>
    <w:rsid w:val="003D5E41"/>
    <w:rsid w:val="003D665F"/>
    <w:rsid w:val="003E0588"/>
    <w:rsid w:val="003E0956"/>
    <w:rsid w:val="003E10D4"/>
    <w:rsid w:val="003E18AD"/>
    <w:rsid w:val="003E3B1C"/>
    <w:rsid w:val="003E75CD"/>
    <w:rsid w:val="00400F40"/>
    <w:rsid w:val="00402117"/>
    <w:rsid w:val="00403431"/>
    <w:rsid w:val="00406247"/>
    <w:rsid w:val="00406B9D"/>
    <w:rsid w:val="00407846"/>
    <w:rsid w:val="00411610"/>
    <w:rsid w:val="00411C58"/>
    <w:rsid w:val="00413915"/>
    <w:rsid w:val="00413DA4"/>
    <w:rsid w:val="00415E62"/>
    <w:rsid w:val="0041674D"/>
    <w:rsid w:val="00416AF7"/>
    <w:rsid w:val="00417105"/>
    <w:rsid w:val="004201C8"/>
    <w:rsid w:val="00420A55"/>
    <w:rsid w:val="00423CD5"/>
    <w:rsid w:val="004303AF"/>
    <w:rsid w:val="004311A7"/>
    <w:rsid w:val="00432577"/>
    <w:rsid w:val="00432CB4"/>
    <w:rsid w:val="00432F23"/>
    <w:rsid w:val="004337A0"/>
    <w:rsid w:val="00441105"/>
    <w:rsid w:val="00441D2F"/>
    <w:rsid w:val="00441EAC"/>
    <w:rsid w:val="00445877"/>
    <w:rsid w:val="00446C7F"/>
    <w:rsid w:val="00450F9C"/>
    <w:rsid w:val="00456818"/>
    <w:rsid w:val="00457003"/>
    <w:rsid w:val="00473655"/>
    <w:rsid w:val="00476A35"/>
    <w:rsid w:val="004775FF"/>
    <w:rsid w:val="00477D31"/>
    <w:rsid w:val="00484066"/>
    <w:rsid w:val="00485F26"/>
    <w:rsid w:val="00486683"/>
    <w:rsid w:val="00490377"/>
    <w:rsid w:val="0049250D"/>
    <w:rsid w:val="004928D7"/>
    <w:rsid w:val="00492C58"/>
    <w:rsid w:val="004954F6"/>
    <w:rsid w:val="004A1991"/>
    <w:rsid w:val="004A2335"/>
    <w:rsid w:val="004A3C6E"/>
    <w:rsid w:val="004A4982"/>
    <w:rsid w:val="004A7A7F"/>
    <w:rsid w:val="004B0A73"/>
    <w:rsid w:val="004B0E8D"/>
    <w:rsid w:val="004B19AA"/>
    <w:rsid w:val="004B37ED"/>
    <w:rsid w:val="004B4110"/>
    <w:rsid w:val="004B490A"/>
    <w:rsid w:val="004B5462"/>
    <w:rsid w:val="004C3474"/>
    <w:rsid w:val="004C6C2F"/>
    <w:rsid w:val="004D0AAB"/>
    <w:rsid w:val="004D361E"/>
    <w:rsid w:val="004D48A7"/>
    <w:rsid w:val="004D4AB7"/>
    <w:rsid w:val="004D5566"/>
    <w:rsid w:val="004D727C"/>
    <w:rsid w:val="004E2785"/>
    <w:rsid w:val="004F0B0C"/>
    <w:rsid w:val="004F3AFA"/>
    <w:rsid w:val="004F5B23"/>
    <w:rsid w:val="005005F7"/>
    <w:rsid w:val="0050170A"/>
    <w:rsid w:val="00502753"/>
    <w:rsid w:val="00502B21"/>
    <w:rsid w:val="00502D7E"/>
    <w:rsid w:val="00505608"/>
    <w:rsid w:val="00516C9C"/>
    <w:rsid w:val="00520DEE"/>
    <w:rsid w:val="005214EA"/>
    <w:rsid w:val="00527129"/>
    <w:rsid w:val="00530C58"/>
    <w:rsid w:val="005317D3"/>
    <w:rsid w:val="00533041"/>
    <w:rsid w:val="005361B1"/>
    <w:rsid w:val="00543AE5"/>
    <w:rsid w:val="00544293"/>
    <w:rsid w:val="005462D7"/>
    <w:rsid w:val="00547933"/>
    <w:rsid w:val="00555A45"/>
    <w:rsid w:val="00563629"/>
    <w:rsid w:val="00570DCB"/>
    <w:rsid w:val="00575888"/>
    <w:rsid w:val="0058093B"/>
    <w:rsid w:val="00587177"/>
    <w:rsid w:val="00594118"/>
    <w:rsid w:val="0059643C"/>
    <w:rsid w:val="005967D9"/>
    <w:rsid w:val="00596D3D"/>
    <w:rsid w:val="005A302A"/>
    <w:rsid w:val="005A5C15"/>
    <w:rsid w:val="005A6C57"/>
    <w:rsid w:val="005A7ACD"/>
    <w:rsid w:val="005B16DF"/>
    <w:rsid w:val="005B1CE9"/>
    <w:rsid w:val="005B2003"/>
    <w:rsid w:val="005B267B"/>
    <w:rsid w:val="005B3E29"/>
    <w:rsid w:val="005B4C05"/>
    <w:rsid w:val="005B5A15"/>
    <w:rsid w:val="005B7624"/>
    <w:rsid w:val="005C0256"/>
    <w:rsid w:val="005C2DA9"/>
    <w:rsid w:val="005C5312"/>
    <w:rsid w:val="005C739F"/>
    <w:rsid w:val="005D3882"/>
    <w:rsid w:val="005D491F"/>
    <w:rsid w:val="005E2EB9"/>
    <w:rsid w:val="005E7CB3"/>
    <w:rsid w:val="005F0CD8"/>
    <w:rsid w:val="005F170D"/>
    <w:rsid w:val="005F1749"/>
    <w:rsid w:val="005F27A5"/>
    <w:rsid w:val="005F42A3"/>
    <w:rsid w:val="005F4F6B"/>
    <w:rsid w:val="005F7C0C"/>
    <w:rsid w:val="006004F5"/>
    <w:rsid w:val="0060277E"/>
    <w:rsid w:val="006038BF"/>
    <w:rsid w:val="00606BCE"/>
    <w:rsid w:val="006108C1"/>
    <w:rsid w:val="00611B0D"/>
    <w:rsid w:val="00612485"/>
    <w:rsid w:val="00613797"/>
    <w:rsid w:val="00616D0E"/>
    <w:rsid w:val="006229DD"/>
    <w:rsid w:val="00625617"/>
    <w:rsid w:val="00630F25"/>
    <w:rsid w:val="00632EAB"/>
    <w:rsid w:val="00633E53"/>
    <w:rsid w:val="006341D3"/>
    <w:rsid w:val="006353AA"/>
    <w:rsid w:val="00635D50"/>
    <w:rsid w:val="006362F3"/>
    <w:rsid w:val="00640ED9"/>
    <w:rsid w:val="00643674"/>
    <w:rsid w:val="00643FC7"/>
    <w:rsid w:val="006441F4"/>
    <w:rsid w:val="00646801"/>
    <w:rsid w:val="00647C1B"/>
    <w:rsid w:val="00650F31"/>
    <w:rsid w:val="00653BAD"/>
    <w:rsid w:val="00654D72"/>
    <w:rsid w:val="0065772F"/>
    <w:rsid w:val="00660AEC"/>
    <w:rsid w:val="006624BF"/>
    <w:rsid w:val="00662F63"/>
    <w:rsid w:val="00664477"/>
    <w:rsid w:val="0066583D"/>
    <w:rsid w:val="00676DB7"/>
    <w:rsid w:val="00677190"/>
    <w:rsid w:val="006775B0"/>
    <w:rsid w:val="00677E2C"/>
    <w:rsid w:val="00680236"/>
    <w:rsid w:val="006817D1"/>
    <w:rsid w:val="00682432"/>
    <w:rsid w:val="0068290A"/>
    <w:rsid w:val="00682B13"/>
    <w:rsid w:val="0068479F"/>
    <w:rsid w:val="006918FB"/>
    <w:rsid w:val="00692B1F"/>
    <w:rsid w:val="006943A2"/>
    <w:rsid w:val="00694BC1"/>
    <w:rsid w:val="00695603"/>
    <w:rsid w:val="00695CD7"/>
    <w:rsid w:val="006A2FA4"/>
    <w:rsid w:val="006A3C68"/>
    <w:rsid w:val="006A43F6"/>
    <w:rsid w:val="006A5FC3"/>
    <w:rsid w:val="006A782D"/>
    <w:rsid w:val="006B063A"/>
    <w:rsid w:val="006B0F68"/>
    <w:rsid w:val="006B5582"/>
    <w:rsid w:val="006B5D8D"/>
    <w:rsid w:val="006B7117"/>
    <w:rsid w:val="006B7D0E"/>
    <w:rsid w:val="006C0C89"/>
    <w:rsid w:val="006C213A"/>
    <w:rsid w:val="006C4D84"/>
    <w:rsid w:val="006C4EF6"/>
    <w:rsid w:val="006C596B"/>
    <w:rsid w:val="006C5A04"/>
    <w:rsid w:val="006D0C65"/>
    <w:rsid w:val="006D0C69"/>
    <w:rsid w:val="006D0DB6"/>
    <w:rsid w:val="006D273E"/>
    <w:rsid w:val="006D421D"/>
    <w:rsid w:val="006D5A6F"/>
    <w:rsid w:val="006E0312"/>
    <w:rsid w:val="006E03F1"/>
    <w:rsid w:val="006E0C3E"/>
    <w:rsid w:val="006E1372"/>
    <w:rsid w:val="006E1386"/>
    <w:rsid w:val="006E15F1"/>
    <w:rsid w:val="006E5923"/>
    <w:rsid w:val="006E67EA"/>
    <w:rsid w:val="006E75D8"/>
    <w:rsid w:val="006F29E6"/>
    <w:rsid w:val="006F6430"/>
    <w:rsid w:val="007016E1"/>
    <w:rsid w:val="00701AE2"/>
    <w:rsid w:val="007033B0"/>
    <w:rsid w:val="00705FE9"/>
    <w:rsid w:val="00707995"/>
    <w:rsid w:val="00711DDE"/>
    <w:rsid w:val="00712EF0"/>
    <w:rsid w:val="00715944"/>
    <w:rsid w:val="00720A06"/>
    <w:rsid w:val="00722DC4"/>
    <w:rsid w:val="0072437C"/>
    <w:rsid w:val="007244C1"/>
    <w:rsid w:val="00730ED4"/>
    <w:rsid w:val="00732A6B"/>
    <w:rsid w:val="0074245D"/>
    <w:rsid w:val="007440DE"/>
    <w:rsid w:val="00744519"/>
    <w:rsid w:val="007467AE"/>
    <w:rsid w:val="00752C15"/>
    <w:rsid w:val="0075333F"/>
    <w:rsid w:val="0075362D"/>
    <w:rsid w:val="00754175"/>
    <w:rsid w:val="007572BA"/>
    <w:rsid w:val="007606DC"/>
    <w:rsid w:val="00760BA9"/>
    <w:rsid w:val="00765E10"/>
    <w:rsid w:val="0077364B"/>
    <w:rsid w:val="00775C6D"/>
    <w:rsid w:val="00776A85"/>
    <w:rsid w:val="00785995"/>
    <w:rsid w:val="00786624"/>
    <w:rsid w:val="00787DD1"/>
    <w:rsid w:val="0079188C"/>
    <w:rsid w:val="0079295A"/>
    <w:rsid w:val="00793CB1"/>
    <w:rsid w:val="00794A41"/>
    <w:rsid w:val="00795609"/>
    <w:rsid w:val="007A0CDB"/>
    <w:rsid w:val="007A0EC1"/>
    <w:rsid w:val="007A2325"/>
    <w:rsid w:val="007A2F07"/>
    <w:rsid w:val="007A4708"/>
    <w:rsid w:val="007A4F35"/>
    <w:rsid w:val="007A7CF9"/>
    <w:rsid w:val="007B0F78"/>
    <w:rsid w:val="007B1C20"/>
    <w:rsid w:val="007B386F"/>
    <w:rsid w:val="007B4D06"/>
    <w:rsid w:val="007B5ED1"/>
    <w:rsid w:val="007C0298"/>
    <w:rsid w:val="007C7617"/>
    <w:rsid w:val="007D0A0E"/>
    <w:rsid w:val="007D2C3A"/>
    <w:rsid w:val="007D4481"/>
    <w:rsid w:val="007D5F2D"/>
    <w:rsid w:val="007D65DA"/>
    <w:rsid w:val="007E086B"/>
    <w:rsid w:val="007E1268"/>
    <w:rsid w:val="007E188B"/>
    <w:rsid w:val="007E1A62"/>
    <w:rsid w:val="007E3068"/>
    <w:rsid w:val="007E3C0C"/>
    <w:rsid w:val="007E41F3"/>
    <w:rsid w:val="007E659D"/>
    <w:rsid w:val="007E7723"/>
    <w:rsid w:val="007F429A"/>
    <w:rsid w:val="007F66E7"/>
    <w:rsid w:val="00801635"/>
    <w:rsid w:val="008024ED"/>
    <w:rsid w:val="00804A70"/>
    <w:rsid w:val="00807AFC"/>
    <w:rsid w:val="008116E6"/>
    <w:rsid w:val="00816ADC"/>
    <w:rsid w:val="00817736"/>
    <w:rsid w:val="00822244"/>
    <w:rsid w:val="008238CC"/>
    <w:rsid w:val="0082549C"/>
    <w:rsid w:val="00832702"/>
    <w:rsid w:val="008341AC"/>
    <w:rsid w:val="00836608"/>
    <w:rsid w:val="008371F8"/>
    <w:rsid w:val="008409C6"/>
    <w:rsid w:val="008413BD"/>
    <w:rsid w:val="00847247"/>
    <w:rsid w:val="008515D4"/>
    <w:rsid w:val="00851853"/>
    <w:rsid w:val="00852E04"/>
    <w:rsid w:val="00855794"/>
    <w:rsid w:val="00857063"/>
    <w:rsid w:val="00857D00"/>
    <w:rsid w:val="00862DF2"/>
    <w:rsid w:val="0086703A"/>
    <w:rsid w:val="00870F92"/>
    <w:rsid w:val="0087311E"/>
    <w:rsid w:val="008765D5"/>
    <w:rsid w:val="008832B9"/>
    <w:rsid w:val="008843B4"/>
    <w:rsid w:val="00887C48"/>
    <w:rsid w:val="00891F8D"/>
    <w:rsid w:val="00892892"/>
    <w:rsid w:val="00893563"/>
    <w:rsid w:val="00894868"/>
    <w:rsid w:val="008972EC"/>
    <w:rsid w:val="008A2923"/>
    <w:rsid w:val="008A7E11"/>
    <w:rsid w:val="008B5836"/>
    <w:rsid w:val="008C1041"/>
    <w:rsid w:val="008C1BED"/>
    <w:rsid w:val="008C1E9C"/>
    <w:rsid w:val="008C65BC"/>
    <w:rsid w:val="008C7FA0"/>
    <w:rsid w:val="008D1739"/>
    <w:rsid w:val="008D204D"/>
    <w:rsid w:val="008D55E6"/>
    <w:rsid w:val="008D59CC"/>
    <w:rsid w:val="008D743A"/>
    <w:rsid w:val="008E12D8"/>
    <w:rsid w:val="008E22B5"/>
    <w:rsid w:val="008E45C7"/>
    <w:rsid w:val="008E5395"/>
    <w:rsid w:val="008F1191"/>
    <w:rsid w:val="00903FA4"/>
    <w:rsid w:val="0090595D"/>
    <w:rsid w:val="00910A6B"/>
    <w:rsid w:val="00922237"/>
    <w:rsid w:val="00922CE0"/>
    <w:rsid w:val="00927007"/>
    <w:rsid w:val="009326FE"/>
    <w:rsid w:val="00933248"/>
    <w:rsid w:val="0093558A"/>
    <w:rsid w:val="009401BD"/>
    <w:rsid w:val="00943F03"/>
    <w:rsid w:val="00945F59"/>
    <w:rsid w:val="00946088"/>
    <w:rsid w:val="009462E0"/>
    <w:rsid w:val="00950F27"/>
    <w:rsid w:val="009550E0"/>
    <w:rsid w:val="0095776B"/>
    <w:rsid w:val="00957FE1"/>
    <w:rsid w:val="009647AE"/>
    <w:rsid w:val="00964944"/>
    <w:rsid w:val="009658CB"/>
    <w:rsid w:val="00965F57"/>
    <w:rsid w:val="00974B0C"/>
    <w:rsid w:val="00975632"/>
    <w:rsid w:val="00976D9E"/>
    <w:rsid w:val="009770EE"/>
    <w:rsid w:val="009776B6"/>
    <w:rsid w:val="00977E93"/>
    <w:rsid w:val="009811E0"/>
    <w:rsid w:val="009857A0"/>
    <w:rsid w:val="0099244B"/>
    <w:rsid w:val="00992575"/>
    <w:rsid w:val="00993A25"/>
    <w:rsid w:val="009968C6"/>
    <w:rsid w:val="009A187F"/>
    <w:rsid w:val="009A6AAA"/>
    <w:rsid w:val="009A6ADF"/>
    <w:rsid w:val="009B4D07"/>
    <w:rsid w:val="009B535A"/>
    <w:rsid w:val="009B5997"/>
    <w:rsid w:val="009C2B86"/>
    <w:rsid w:val="009C3667"/>
    <w:rsid w:val="009C3BCF"/>
    <w:rsid w:val="009D127A"/>
    <w:rsid w:val="009D1BCF"/>
    <w:rsid w:val="009D4EE9"/>
    <w:rsid w:val="009D5A1B"/>
    <w:rsid w:val="009D651D"/>
    <w:rsid w:val="009D6C92"/>
    <w:rsid w:val="009E0AF1"/>
    <w:rsid w:val="009E7F3B"/>
    <w:rsid w:val="009F4961"/>
    <w:rsid w:val="009F636E"/>
    <w:rsid w:val="009F7A36"/>
    <w:rsid w:val="00A0074C"/>
    <w:rsid w:val="00A03B30"/>
    <w:rsid w:val="00A0416A"/>
    <w:rsid w:val="00A04740"/>
    <w:rsid w:val="00A073BD"/>
    <w:rsid w:val="00A11229"/>
    <w:rsid w:val="00A1142F"/>
    <w:rsid w:val="00A117F0"/>
    <w:rsid w:val="00A12AD3"/>
    <w:rsid w:val="00A22986"/>
    <w:rsid w:val="00A265D5"/>
    <w:rsid w:val="00A32DC1"/>
    <w:rsid w:val="00A35C43"/>
    <w:rsid w:val="00A37467"/>
    <w:rsid w:val="00A41584"/>
    <w:rsid w:val="00A443FB"/>
    <w:rsid w:val="00A466D7"/>
    <w:rsid w:val="00A471B5"/>
    <w:rsid w:val="00A502B5"/>
    <w:rsid w:val="00A518B1"/>
    <w:rsid w:val="00A54750"/>
    <w:rsid w:val="00A6092C"/>
    <w:rsid w:val="00A613D5"/>
    <w:rsid w:val="00A623F8"/>
    <w:rsid w:val="00A6412E"/>
    <w:rsid w:val="00A64FAF"/>
    <w:rsid w:val="00A67303"/>
    <w:rsid w:val="00A70E98"/>
    <w:rsid w:val="00A73048"/>
    <w:rsid w:val="00A75583"/>
    <w:rsid w:val="00A77DE1"/>
    <w:rsid w:val="00A805EC"/>
    <w:rsid w:val="00A90892"/>
    <w:rsid w:val="00AA1DBD"/>
    <w:rsid w:val="00AB05F0"/>
    <w:rsid w:val="00AB33CF"/>
    <w:rsid w:val="00AB382E"/>
    <w:rsid w:val="00AB4AA3"/>
    <w:rsid w:val="00AB52CF"/>
    <w:rsid w:val="00AB74F8"/>
    <w:rsid w:val="00AC0042"/>
    <w:rsid w:val="00AC346B"/>
    <w:rsid w:val="00AC5B68"/>
    <w:rsid w:val="00AC5C9D"/>
    <w:rsid w:val="00AD1AFD"/>
    <w:rsid w:val="00AD43FA"/>
    <w:rsid w:val="00AD4972"/>
    <w:rsid w:val="00AD5134"/>
    <w:rsid w:val="00AE1116"/>
    <w:rsid w:val="00AE570A"/>
    <w:rsid w:val="00AE5BF5"/>
    <w:rsid w:val="00AE6F20"/>
    <w:rsid w:val="00AF0D90"/>
    <w:rsid w:val="00AF3F68"/>
    <w:rsid w:val="00B033C7"/>
    <w:rsid w:val="00B033CB"/>
    <w:rsid w:val="00B038D8"/>
    <w:rsid w:val="00B05889"/>
    <w:rsid w:val="00B06C67"/>
    <w:rsid w:val="00B0705C"/>
    <w:rsid w:val="00B109A3"/>
    <w:rsid w:val="00B1531F"/>
    <w:rsid w:val="00B1671A"/>
    <w:rsid w:val="00B23532"/>
    <w:rsid w:val="00B2521D"/>
    <w:rsid w:val="00B3108F"/>
    <w:rsid w:val="00B313DE"/>
    <w:rsid w:val="00B31656"/>
    <w:rsid w:val="00B320F4"/>
    <w:rsid w:val="00B355FF"/>
    <w:rsid w:val="00B371A2"/>
    <w:rsid w:val="00B41F2C"/>
    <w:rsid w:val="00B4223D"/>
    <w:rsid w:val="00B452CD"/>
    <w:rsid w:val="00B5713C"/>
    <w:rsid w:val="00B67A90"/>
    <w:rsid w:val="00B67D65"/>
    <w:rsid w:val="00B75669"/>
    <w:rsid w:val="00B76E60"/>
    <w:rsid w:val="00B779E5"/>
    <w:rsid w:val="00B815B2"/>
    <w:rsid w:val="00B87F3E"/>
    <w:rsid w:val="00B91A77"/>
    <w:rsid w:val="00B91ABD"/>
    <w:rsid w:val="00B948EE"/>
    <w:rsid w:val="00B94E1A"/>
    <w:rsid w:val="00B974FA"/>
    <w:rsid w:val="00BA0DB8"/>
    <w:rsid w:val="00BA2431"/>
    <w:rsid w:val="00BA50EB"/>
    <w:rsid w:val="00BB756C"/>
    <w:rsid w:val="00BB78D2"/>
    <w:rsid w:val="00BC17B9"/>
    <w:rsid w:val="00BC61FC"/>
    <w:rsid w:val="00BC71BF"/>
    <w:rsid w:val="00BD0D47"/>
    <w:rsid w:val="00BD2D33"/>
    <w:rsid w:val="00BD4C56"/>
    <w:rsid w:val="00BD4D23"/>
    <w:rsid w:val="00BD7E13"/>
    <w:rsid w:val="00BD7E89"/>
    <w:rsid w:val="00BE2EDE"/>
    <w:rsid w:val="00BE32F9"/>
    <w:rsid w:val="00BE50C7"/>
    <w:rsid w:val="00BF03FF"/>
    <w:rsid w:val="00C00BB3"/>
    <w:rsid w:val="00C00CB9"/>
    <w:rsid w:val="00C0202E"/>
    <w:rsid w:val="00C07D73"/>
    <w:rsid w:val="00C12C19"/>
    <w:rsid w:val="00C13021"/>
    <w:rsid w:val="00C13EC2"/>
    <w:rsid w:val="00C21B8D"/>
    <w:rsid w:val="00C21E93"/>
    <w:rsid w:val="00C2594A"/>
    <w:rsid w:val="00C266CB"/>
    <w:rsid w:val="00C305DE"/>
    <w:rsid w:val="00C32A85"/>
    <w:rsid w:val="00C33A28"/>
    <w:rsid w:val="00C35809"/>
    <w:rsid w:val="00C36EE9"/>
    <w:rsid w:val="00C44779"/>
    <w:rsid w:val="00C47FCD"/>
    <w:rsid w:val="00C563FE"/>
    <w:rsid w:val="00C629EA"/>
    <w:rsid w:val="00C64047"/>
    <w:rsid w:val="00C713DE"/>
    <w:rsid w:val="00C8237C"/>
    <w:rsid w:val="00C8432B"/>
    <w:rsid w:val="00C87DDB"/>
    <w:rsid w:val="00C900C1"/>
    <w:rsid w:val="00C92A40"/>
    <w:rsid w:val="00C92C8F"/>
    <w:rsid w:val="00C97032"/>
    <w:rsid w:val="00C979C1"/>
    <w:rsid w:val="00CA0BFB"/>
    <w:rsid w:val="00CA33BE"/>
    <w:rsid w:val="00CA405E"/>
    <w:rsid w:val="00CA7B04"/>
    <w:rsid w:val="00CB2B34"/>
    <w:rsid w:val="00CB57C1"/>
    <w:rsid w:val="00CB60EB"/>
    <w:rsid w:val="00CB6D47"/>
    <w:rsid w:val="00CB785B"/>
    <w:rsid w:val="00CB7DC2"/>
    <w:rsid w:val="00CC1DC9"/>
    <w:rsid w:val="00CC308E"/>
    <w:rsid w:val="00CC3AA0"/>
    <w:rsid w:val="00CC3F5E"/>
    <w:rsid w:val="00CC45F2"/>
    <w:rsid w:val="00CC561B"/>
    <w:rsid w:val="00CC6540"/>
    <w:rsid w:val="00CD2592"/>
    <w:rsid w:val="00CD34F3"/>
    <w:rsid w:val="00CD4E9B"/>
    <w:rsid w:val="00CD7598"/>
    <w:rsid w:val="00CE3400"/>
    <w:rsid w:val="00CF0628"/>
    <w:rsid w:val="00CF2006"/>
    <w:rsid w:val="00D01194"/>
    <w:rsid w:val="00D01ACA"/>
    <w:rsid w:val="00D05DCE"/>
    <w:rsid w:val="00D07EE1"/>
    <w:rsid w:val="00D13CDD"/>
    <w:rsid w:val="00D15740"/>
    <w:rsid w:val="00D16A1E"/>
    <w:rsid w:val="00D23230"/>
    <w:rsid w:val="00D23A7E"/>
    <w:rsid w:val="00D26FD2"/>
    <w:rsid w:val="00D30137"/>
    <w:rsid w:val="00D3187A"/>
    <w:rsid w:val="00D32139"/>
    <w:rsid w:val="00D34CA8"/>
    <w:rsid w:val="00D36151"/>
    <w:rsid w:val="00D36EEB"/>
    <w:rsid w:val="00D44DC7"/>
    <w:rsid w:val="00D464CA"/>
    <w:rsid w:val="00D54F03"/>
    <w:rsid w:val="00D570BB"/>
    <w:rsid w:val="00D60032"/>
    <w:rsid w:val="00D60302"/>
    <w:rsid w:val="00D60718"/>
    <w:rsid w:val="00D60C9E"/>
    <w:rsid w:val="00D6132B"/>
    <w:rsid w:val="00D613B0"/>
    <w:rsid w:val="00D61AD7"/>
    <w:rsid w:val="00D64BFA"/>
    <w:rsid w:val="00D67414"/>
    <w:rsid w:val="00D70F4A"/>
    <w:rsid w:val="00D8631B"/>
    <w:rsid w:val="00D86DA4"/>
    <w:rsid w:val="00D87FDD"/>
    <w:rsid w:val="00D90E26"/>
    <w:rsid w:val="00D9386B"/>
    <w:rsid w:val="00D9721A"/>
    <w:rsid w:val="00DA385F"/>
    <w:rsid w:val="00DA66CC"/>
    <w:rsid w:val="00DA6EFC"/>
    <w:rsid w:val="00DB0594"/>
    <w:rsid w:val="00DB512A"/>
    <w:rsid w:val="00DB7D2C"/>
    <w:rsid w:val="00DC3D3B"/>
    <w:rsid w:val="00DC7A94"/>
    <w:rsid w:val="00DD7F11"/>
    <w:rsid w:val="00DD7FB4"/>
    <w:rsid w:val="00DE0132"/>
    <w:rsid w:val="00DE5659"/>
    <w:rsid w:val="00E000CD"/>
    <w:rsid w:val="00E00739"/>
    <w:rsid w:val="00E020E1"/>
    <w:rsid w:val="00E043F3"/>
    <w:rsid w:val="00E0537C"/>
    <w:rsid w:val="00E05A48"/>
    <w:rsid w:val="00E05B25"/>
    <w:rsid w:val="00E103EC"/>
    <w:rsid w:val="00E1383D"/>
    <w:rsid w:val="00E13E48"/>
    <w:rsid w:val="00E17040"/>
    <w:rsid w:val="00E207B0"/>
    <w:rsid w:val="00E21177"/>
    <w:rsid w:val="00E2148B"/>
    <w:rsid w:val="00E217D4"/>
    <w:rsid w:val="00E24010"/>
    <w:rsid w:val="00E27305"/>
    <w:rsid w:val="00E300E9"/>
    <w:rsid w:val="00E31AD2"/>
    <w:rsid w:val="00E33312"/>
    <w:rsid w:val="00E35074"/>
    <w:rsid w:val="00E36A23"/>
    <w:rsid w:val="00E42416"/>
    <w:rsid w:val="00E43AED"/>
    <w:rsid w:val="00E45CC7"/>
    <w:rsid w:val="00E47BC5"/>
    <w:rsid w:val="00E50740"/>
    <w:rsid w:val="00E508F5"/>
    <w:rsid w:val="00E50DC3"/>
    <w:rsid w:val="00E52B7B"/>
    <w:rsid w:val="00E5779E"/>
    <w:rsid w:val="00E62488"/>
    <w:rsid w:val="00E6312B"/>
    <w:rsid w:val="00E6495B"/>
    <w:rsid w:val="00E75BB3"/>
    <w:rsid w:val="00E76A5B"/>
    <w:rsid w:val="00E76FD8"/>
    <w:rsid w:val="00E77D16"/>
    <w:rsid w:val="00E8026F"/>
    <w:rsid w:val="00E80ECD"/>
    <w:rsid w:val="00E84F35"/>
    <w:rsid w:val="00E974FE"/>
    <w:rsid w:val="00E97B85"/>
    <w:rsid w:val="00EA1E4F"/>
    <w:rsid w:val="00EB561A"/>
    <w:rsid w:val="00EB5899"/>
    <w:rsid w:val="00EB7B1F"/>
    <w:rsid w:val="00EB7FD0"/>
    <w:rsid w:val="00EC02C8"/>
    <w:rsid w:val="00EC1DC7"/>
    <w:rsid w:val="00EC45DE"/>
    <w:rsid w:val="00EC6377"/>
    <w:rsid w:val="00EC7D0D"/>
    <w:rsid w:val="00EC7EE5"/>
    <w:rsid w:val="00ED0934"/>
    <w:rsid w:val="00ED0976"/>
    <w:rsid w:val="00ED1ECB"/>
    <w:rsid w:val="00ED677C"/>
    <w:rsid w:val="00ED6875"/>
    <w:rsid w:val="00EE0E9F"/>
    <w:rsid w:val="00EE1570"/>
    <w:rsid w:val="00EE30F6"/>
    <w:rsid w:val="00EE6522"/>
    <w:rsid w:val="00EE7E29"/>
    <w:rsid w:val="00EF3457"/>
    <w:rsid w:val="00EF3743"/>
    <w:rsid w:val="00EF4113"/>
    <w:rsid w:val="00EF64A2"/>
    <w:rsid w:val="00EF6BF8"/>
    <w:rsid w:val="00F1035B"/>
    <w:rsid w:val="00F1183A"/>
    <w:rsid w:val="00F13DC4"/>
    <w:rsid w:val="00F1599C"/>
    <w:rsid w:val="00F1636A"/>
    <w:rsid w:val="00F2586F"/>
    <w:rsid w:val="00F32357"/>
    <w:rsid w:val="00F3364C"/>
    <w:rsid w:val="00F37EF1"/>
    <w:rsid w:val="00F408B3"/>
    <w:rsid w:val="00F40E85"/>
    <w:rsid w:val="00F42ED2"/>
    <w:rsid w:val="00F453EC"/>
    <w:rsid w:val="00F47E20"/>
    <w:rsid w:val="00F51EC2"/>
    <w:rsid w:val="00F521E2"/>
    <w:rsid w:val="00F57142"/>
    <w:rsid w:val="00F57B29"/>
    <w:rsid w:val="00F62A5A"/>
    <w:rsid w:val="00F63BD6"/>
    <w:rsid w:val="00F65855"/>
    <w:rsid w:val="00F75412"/>
    <w:rsid w:val="00F75D90"/>
    <w:rsid w:val="00F75EA3"/>
    <w:rsid w:val="00F93A9D"/>
    <w:rsid w:val="00F96A26"/>
    <w:rsid w:val="00FA35D1"/>
    <w:rsid w:val="00FA7FAE"/>
    <w:rsid w:val="00FB067B"/>
    <w:rsid w:val="00FB260F"/>
    <w:rsid w:val="00FB2D19"/>
    <w:rsid w:val="00FB36F7"/>
    <w:rsid w:val="00FB56E3"/>
    <w:rsid w:val="00FB5E60"/>
    <w:rsid w:val="00FC2F42"/>
    <w:rsid w:val="00FC3167"/>
    <w:rsid w:val="00FC3B6D"/>
    <w:rsid w:val="00FC678A"/>
    <w:rsid w:val="00FE15F8"/>
    <w:rsid w:val="00FE4B3B"/>
    <w:rsid w:val="00FE503A"/>
    <w:rsid w:val="00FF33C2"/>
    <w:rsid w:val="00FF3AD0"/>
    <w:rsid w:val="00FF4542"/>
    <w:rsid w:val="02427F54"/>
    <w:rsid w:val="02A66C2E"/>
    <w:rsid w:val="02E043A6"/>
    <w:rsid w:val="0341645D"/>
    <w:rsid w:val="0351077F"/>
    <w:rsid w:val="04F93345"/>
    <w:rsid w:val="05341DD6"/>
    <w:rsid w:val="05B44470"/>
    <w:rsid w:val="064568E8"/>
    <w:rsid w:val="0675158B"/>
    <w:rsid w:val="0A570314"/>
    <w:rsid w:val="0A901820"/>
    <w:rsid w:val="0B04354F"/>
    <w:rsid w:val="0B0B1D78"/>
    <w:rsid w:val="0B0D795C"/>
    <w:rsid w:val="0B941820"/>
    <w:rsid w:val="0BF57DE5"/>
    <w:rsid w:val="0C5E6919"/>
    <w:rsid w:val="0CAF7807"/>
    <w:rsid w:val="0CBE28CD"/>
    <w:rsid w:val="0E721BC1"/>
    <w:rsid w:val="0EE52393"/>
    <w:rsid w:val="0F467B7C"/>
    <w:rsid w:val="10024CDF"/>
    <w:rsid w:val="10953945"/>
    <w:rsid w:val="114809B7"/>
    <w:rsid w:val="115D0906"/>
    <w:rsid w:val="11CC15E8"/>
    <w:rsid w:val="11D861DF"/>
    <w:rsid w:val="12353631"/>
    <w:rsid w:val="12582E7C"/>
    <w:rsid w:val="12BB34E4"/>
    <w:rsid w:val="13AF2F6F"/>
    <w:rsid w:val="1460654E"/>
    <w:rsid w:val="14A129A9"/>
    <w:rsid w:val="14B46E77"/>
    <w:rsid w:val="14FA1657"/>
    <w:rsid w:val="15293A11"/>
    <w:rsid w:val="1546345F"/>
    <w:rsid w:val="157E0360"/>
    <w:rsid w:val="159F14ED"/>
    <w:rsid w:val="1619058A"/>
    <w:rsid w:val="179D68B3"/>
    <w:rsid w:val="18882231"/>
    <w:rsid w:val="189B5FB7"/>
    <w:rsid w:val="18B41ED8"/>
    <w:rsid w:val="18DA0A8E"/>
    <w:rsid w:val="18DB509A"/>
    <w:rsid w:val="199A2528"/>
    <w:rsid w:val="1A5F124B"/>
    <w:rsid w:val="1A701454"/>
    <w:rsid w:val="1D11143F"/>
    <w:rsid w:val="1F5E6B6B"/>
    <w:rsid w:val="1F946C3F"/>
    <w:rsid w:val="209239FD"/>
    <w:rsid w:val="209250AC"/>
    <w:rsid w:val="20F87D04"/>
    <w:rsid w:val="212E5E1B"/>
    <w:rsid w:val="21360D0E"/>
    <w:rsid w:val="21B93937"/>
    <w:rsid w:val="21D818E3"/>
    <w:rsid w:val="2234120F"/>
    <w:rsid w:val="22C52383"/>
    <w:rsid w:val="23013F7D"/>
    <w:rsid w:val="23B9752B"/>
    <w:rsid w:val="23BA1BE8"/>
    <w:rsid w:val="246D495A"/>
    <w:rsid w:val="24DB3BC4"/>
    <w:rsid w:val="250637EA"/>
    <w:rsid w:val="255B533A"/>
    <w:rsid w:val="257644C8"/>
    <w:rsid w:val="25813C20"/>
    <w:rsid w:val="258424C5"/>
    <w:rsid w:val="2685028B"/>
    <w:rsid w:val="28202D42"/>
    <w:rsid w:val="2B3D2ECA"/>
    <w:rsid w:val="2BA07916"/>
    <w:rsid w:val="2BBE6532"/>
    <w:rsid w:val="2C2220D9"/>
    <w:rsid w:val="2C3649CE"/>
    <w:rsid w:val="2DD25C89"/>
    <w:rsid w:val="2DE816B1"/>
    <w:rsid w:val="2DEC5D5C"/>
    <w:rsid w:val="2E365E88"/>
    <w:rsid w:val="2EBD258D"/>
    <w:rsid w:val="2F040DDF"/>
    <w:rsid w:val="2F7C3F6D"/>
    <w:rsid w:val="2FED29FE"/>
    <w:rsid w:val="302C79CA"/>
    <w:rsid w:val="304F36B8"/>
    <w:rsid w:val="30B43136"/>
    <w:rsid w:val="317F2CBF"/>
    <w:rsid w:val="326E7E26"/>
    <w:rsid w:val="32C97752"/>
    <w:rsid w:val="36062A6B"/>
    <w:rsid w:val="3662017C"/>
    <w:rsid w:val="36785113"/>
    <w:rsid w:val="367F4CF7"/>
    <w:rsid w:val="36C9083E"/>
    <w:rsid w:val="36F77FB3"/>
    <w:rsid w:val="38E56968"/>
    <w:rsid w:val="38F85750"/>
    <w:rsid w:val="39DA2245"/>
    <w:rsid w:val="3A687753"/>
    <w:rsid w:val="3AFB1C80"/>
    <w:rsid w:val="3C0A1D12"/>
    <w:rsid w:val="3C553E04"/>
    <w:rsid w:val="3C821498"/>
    <w:rsid w:val="3CEC1352"/>
    <w:rsid w:val="3D4C3459"/>
    <w:rsid w:val="3D7048ED"/>
    <w:rsid w:val="3E6671E3"/>
    <w:rsid w:val="3E745DD4"/>
    <w:rsid w:val="3FC77CF7"/>
    <w:rsid w:val="403A5E53"/>
    <w:rsid w:val="405357D8"/>
    <w:rsid w:val="40642868"/>
    <w:rsid w:val="4093139F"/>
    <w:rsid w:val="41562AF9"/>
    <w:rsid w:val="41FD4D22"/>
    <w:rsid w:val="422430E3"/>
    <w:rsid w:val="42980EEF"/>
    <w:rsid w:val="43741014"/>
    <w:rsid w:val="445B0426"/>
    <w:rsid w:val="45D74549"/>
    <w:rsid w:val="45DC16E7"/>
    <w:rsid w:val="461566C0"/>
    <w:rsid w:val="461853F0"/>
    <w:rsid w:val="47180464"/>
    <w:rsid w:val="47983DB5"/>
    <w:rsid w:val="47B73BC5"/>
    <w:rsid w:val="47EF4C31"/>
    <w:rsid w:val="48CC5748"/>
    <w:rsid w:val="48D507A7"/>
    <w:rsid w:val="48E629B4"/>
    <w:rsid w:val="49B74350"/>
    <w:rsid w:val="4A82670C"/>
    <w:rsid w:val="4A8A46EE"/>
    <w:rsid w:val="4B0E61F2"/>
    <w:rsid w:val="4CBB4158"/>
    <w:rsid w:val="4D6455F8"/>
    <w:rsid w:val="4E434405"/>
    <w:rsid w:val="4E8A2033"/>
    <w:rsid w:val="4EFB076A"/>
    <w:rsid w:val="4F3D0E54"/>
    <w:rsid w:val="505F595D"/>
    <w:rsid w:val="514E0A28"/>
    <w:rsid w:val="515B23FF"/>
    <w:rsid w:val="51B15B29"/>
    <w:rsid w:val="53004DC5"/>
    <w:rsid w:val="53932357"/>
    <w:rsid w:val="54F93A6F"/>
    <w:rsid w:val="55823235"/>
    <w:rsid w:val="558E0FC6"/>
    <w:rsid w:val="55E1618B"/>
    <w:rsid w:val="56D7393C"/>
    <w:rsid w:val="57DD4F82"/>
    <w:rsid w:val="58905291"/>
    <w:rsid w:val="58F06F37"/>
    <w:rsid w:val="58F509F1"/>
    <w:rsid w:val="58FA7DB6"/>
    <w:rsid w:val="59530ABF"/>
    <w:rsid w:val="5975743C"/>
    <w:rsid w:val="59B91A1F"/>
    <w:rsid w:val="5A0E1D23"/>
    <w:rsid w:val="5A95341F"/>
    <w:rsid w:val="5B81656C"/>
    <w:rsid w:val="5BAC7D91"/>
    <w:rsid w:val="5D21562B"/>
    <w:rsid w:val="5D643D73"/>
    <w:rsid w:val="5E57653F"/>
    <w:rsid w:val="5FB86BD1"/>
    <w:rsid w:val="6039337D"/>
    <w:rsid w:val="60644CD3"/>
    <w:rsid w:val="6118527D"/>
    <w:rsid w:val="612A136D"/>
    <w:rsid w:val="618B4921"/>
    <w:rsid w:val="61FB73F2"/>
    <w:rsid w:val="62EB42DF"/>
    <w:rsid w:val="643E304D"/>
    <w:rsid w:val="644F7208"/>
    <w:rsid w:val="652F0DE7"/>
    <w:rsid w:val="6596426A"/>
    <w:rsid w:val="6625438F"/>
    <w:rsid w:val="66744752"/>
    <w:rsid w:val="673C6EDB"/>
    <w:rsid w:val="680577D0"/>
    <w:rsid w:val="685E210F"/>
    <w:rsid w:val="68D13694"/>
    <w:rsid w:val="68F912C0"/>
    <w:rsid w:val="6A5A06B4"/>
    <w:rsid w:val="6AB26742"/>
    <w:rsid w:val="6C1B1C34"/>
    <w:rsid w:val="6C3E4DF6"/>
    <w:rsid w:val="6CA83959"/>
    <w:rsid w:val="6CCA5DEA"/>
    <w:rsid w:val="6D714693"/>
    <w:rsid w:val="6D885538"/>
    <w:rsid w:val="6DE309C1"/>
    <w:rsid w:val="6EA97E5C"/>
    <w:rsid w:val="6EC81370"/>
    <w:rsid w:val="6EF1390E"/>
    <w:rsid w:val="6F345978"/>
    <w:rsid w:val="6F3941EE"/>
    <w:rsid w:val="706916B3"/>
    <w:rsid w:val="70753AA0"/>
    <w:rsid w:val="717E112C"/>
    <w:rsid w:val="72A44DED"/>
    <w:rsid w:val="72C139C6"/>
    <w:rsid w:val="73A330CC"/>
    <w:rsid w:val="740873D3"/>
    <w:rsid w:val="740D2C3B"/>
    <w:rsid w:val="74334AAC"/>
    <w:rsid w:val="75637FC7"/>
    <w:rsid w:val="756847FB"/>
    <w:rsid w:val="75BC04F9"/>
    <w:rsid w:val="76070570"/>
    <w:rsid w:val="761159D7"/>
    <w:rsid w:val="76DB2A69"/>
    <w:rsid w:val="776668EA"/>
    <w:rsid w:val="777F56F8"/>
    <w:rsid w:val="782F3570"/>
    <w:rsid w:val="78856D19"/>
    <w:rsid w:val="78B20D27"/>
    <w:rsid w:val="792A3948"/>
    <w:rsid w:val="794D5B6C"/>
    <w:rsid w:val="798B680B"/>
    <w:rsid w:val="79E85CDC"/>
    <w:rsid w:val="7A344A7E"/>
    <w:rsid w:val="7A9814B1"/>
    <w:rsid w:val="7ACC115A"/>
    <w:rsid w:val="7B3C424B"/>
    <w:rsid w:val="7BB35E76"/>
    <w:rsid w:val="7BE2675B"/>
    <w:rsid w:val="7BFC781D"/>
    <w:rsid w:val="7C022BC4"/>
    <w:rsid w:val="7CD87820"/>
    <w:rsid w:val="7DB359A3"/>
    <w:rsid w:val="7E994C90"/>
    <w:rsid w:val="7ED7711B"/>
    <w:rsid w:val="7F2D467E"/>
    <w:rsid w:val="7F420A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D0745"/>
  <w15:docId w15:val="{F6B5FCA0-34D3-43B0-A527-DFD8BEAF2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uiPriority w:val="9"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styleId="ad">
    <w:name w:val="annotation reference"/>
    <w:basedOn w:val="a0"/>
    <w:uiPriority w:val="99"/>
    <w:semiHidden/>
    <w:unhideWhenUsed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050D8-3916-419D-9D6F-C07AA4DE8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438</Words>
  <Characters>2497</Characters>
  <Application>Microsoft Office Word</Application>
  <DocSecurity>0</DocSecurity>
  <Lines>20</Lines>
  <Paragraphs>5</Paragraphs>
  <ScaleCrop>false</ScaleCrop>
  <Company>Lenovo (Beijing) Limited</Company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LLL</dc:creator>
  <cp:lastModifiedBy>LTC</cp:lastModifiedBy>
  <cp:revision>3</cp:revision>
  <cp:lastPrinted>2023-04-21T01:33:00Z</cp:lastPrinted>
  <dcterms:created xsi:type="dcterms:W3CDTF">2026-10-27T08:31:00Z</dcterms:created>
  <dcterms:modified xsi:type="dcterms:W3CDTF">2026-10-27T08:36:00Z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0D19C3FF65564462A77E3BDF23F0ED7E_13</vt:lpwstr>
  </property>
  <property fmtid="{D5CDD505-2E9C-101B-9397-08002B2CF9AE}" pid="4" name="KSOTemplateDocerSaveRecord">
    <vt:lpwstr>eyJoZGlkIjoiMGNlZDYxODBjZGY2ZmZmMzQ5NDcxMmI5YjY0MTU0MDkiLCJ1c2VySWQiOiI5NDY5ODgzMDIifQ==</vt:lpwstr>
  </property>
</Properties>
</file>