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2333A">
      <w:pPr>
        <w:adjustRightInd w:val="0"/>
        <w:snapToGrid w:val="0"/>
        <w:spacing w:before="156" w:beforeLines="5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证券代码：</w:t>
      </w:r>
      <w:r>
        <w:rPr>
          <w:rFonts w:hint="eastAsia" w:ascii="Times New Roman" w:hAnsi="Times New Roman" w:cs="Times New Roman"/>
          <w:sz w:val="24"/>
        </w:rPr>
        <w:t>601026</w:t>
      </w:r>
      <w:r>
        <w:rPr>
          <w:rFonts w:ascii="Times New Roman" w:hAnsi="Times New Roman" w:cs="Times New Roman"/>
          <w:sz w:val="24"/>
        </w:rPr>
        <w:t xml:space="preserve">                                    证券简称：</w:t>
      </w:r>
      <w:r>
        <w:rPr>
          <w:rFonts w:hint="eastAsia" w:ascii="Times New Roman" w:hAnsi="Times New Roman" w:cs="Times New Roman"/>
          <w:sz w:val="24"/>
        </w:rPr>
        <w:t>道生天合</w:t>
      </w:r>
    </w:p>
    <w:p w14:paraId="4004198D">
      <w:pPr>
        <w:adjustRightInd w:val="0"/>
        <w:snapToGrid w:val="0"/>
        <w:spacing w:before="312" w:beforeLines="100" w:line="360" w:lineRule="auto"/>
        <w:jc w:val="center"/>
        <w:rPr>
          <w:rFonts w:ascii="Times New Roman" w:hAnsi="Times New Roman" w:eastAsia="黑体" w:cs="Times New Roman"/>
          <w:b/>
          <w:bCs/>
          <w:iCs/>
          <w:color w:val="000000"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iCs/>
          <w:color w:val="000000"/>
          <w:sz w:val="36"/>
          <w:szCs w:val="36"/>
        </w:rPr>
        <w:t>道生天合材料科技（上海）</w:t>
      </w:r>
      <w:r>
        <w:rPr>
          <w:rFonts w:ascii="Times New Roman" w:hAnsi="Times New Roman" w:eastAsia="黑体" w:cs="Times New Roman"/>
          <w:b/>
          <w:bCs/>
          <w:iCs/>
          <w:color w:val="000000"/>
          <w:sz w:val="36"/>
          <w:szCs w:val="36"/>
        </w:rPr>
        <w:t>股份有限公司</w:t>
      </w:r>
    </w:p>
    <w:p w14:paraId="78551C1F">
      <w:pPr>
        <w:adjustRightInd w:val="0"/>
        <w:snapToGrid w:val="0"/>
        <w:spacing w:line="360" w:lineRule="auto"/>
        <w:jc w:val="center"/>
        <w:rPr>
          <w:rFonts w:ascii="Times New Roman" w:hAnsi="Times New Roman" w:eastAsia="黑体" w:cs="Times New Roman"/>
          <w:b/>
          <w:bCs/>
          <w:iCs/>
          <w:color w:val="000000"/>
          <w:sz w:val="36"/>
          <w:szCs w:val="36"/>
        </w:rPr>
      </w:pPr>
      <w:r>
        <w:rPr>
          <w:rFonts w:ascii="Times New Roman" w:hAnsi="Times New Roman" w:eastAsia="黑体" w:cs="Times New Roman"/>
          <w:b/>
          <w:bCs/>
          <w:iCs/>
          <w:color w:val="000000"/>
          <w:sz w:val="36"/>
          <w:szCs w:val="36"/>
        </w:rPr>
        <w:t>投资者关系活动记录表</w:t>
      </w:r>
    </w:p>
    <w:p w14:paraId="7424D2A9">
      <w:pPr>
        <w:adjustRightInd w:val="0"/>
        <w:snapToGrid w:val="0"/>
        <w:spacing w:before="312" w:beforeLines="100"/>
        <w:rPr>
          <w:rFonts w:ascii="Times New Roman" w:hAnsi="Times New Roman" w:eastAsia="宋体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bCs/>
          <w:iCs/>
          <w:color w:val="000000"/>
          <w:sz w:val="24"/>
          <w:szCs w:val="24"/>
        </w:rPr>
        <w:t xml:space="preserve">                                                        编号：202</w:t>
      </w:r>
      <w:r>
        <w:rPr>
          <w:rFonts w:hint="eastAsia" w:ascii="Times New Roman" w:hAnsi="Times New Roman" w:eastAsia="宋体" w:cs="Times New Roman"/>
          <w:bCs/>
          <w:iCs/>
          <w:color w:val="000000"/>
          <w:sz w:val="24"/>
          <w:szCs w:val="24"/>
        </w:rPr>
        <w:t>6</w:t>
      </w:r>
      <w:r>
        <w:rPr>
          <w:rFonts w:ascii="Times New Roman" w:hAnsi="Times New Roman" w:eastAsia="宋体" w:cs="Times New Roman"/>
          <w:bCs/>
          <w:iCs/>
          <w:color w:val="000000"/>
          <w:sz w:val="24"/>
          <w:szCs w:val="24"/>
        </w:rPr>
        <w:t>-00</w:t>
      </w:r>
      <w:r>
        <w:rPr>
          <w:rFonts w:hint="eastAsia" w:ascii="Times New Roman" w:hAnsi="Times New Roman" w:eastAsia="宋体" w:cs="Times New Roman"/>
          <w:bCs/>
          <w:iCs/>
          <w:color w:val="000000"/>
          <w:sz w:val="24"/>
          <w:szCs w:val="24"/>
        </w:rPr>
        <w:t>8</w:t>
      </w:r>
    </w:p>
    <w:tbl>
      <w:tblPr>
        <w:tblStyle w:val="38"/>
        <w:tblW w:w="91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2410"/>
        <w:gridCol w:w="1276"/>
        <w:gridCol w:w="2409"/>
        <w:gridCol w:w="1276"/>
      </w:tblGrid>
      <w:tr w14:paraId="13789A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828" w:type="dxa"/>
            <w:vAlign w:val="center"/>
          </w:tcPr>
          <w:p w14:paraId="43B291E8">
            <w:pPr>
              <w:adjustRightInd w:val="0"/>
              <w:snapToGrid w:val="0"/>
              <w:rPr>
                <w:rFonts w:hint="eastAsia" w:ascii="宋体" w:hAnsi="宋体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活动类别</w:t>
            </w:r>
          </w:p>
        </w:tc>
        <w:tc>
          <w:tcPr>
            <w:tcW w:w="7371" w:type="dxa"/>
            <w:gridSpan w:val="4"/>
            <w:vAlign w:val="center"/>
          </w:tcPr>
          <w:p w14:paraId="34945C81">
            <w:pPr>
              <w:adjustRightInd w:val="0"/>
              <w:snapToGrid w:val="0"/>
              <w:spacing w:before="156" w:beforeLines="50" w:line="360" w:lineRule="auto"/>
              <w:rPr>
                <w:rFonts w:hint="eastAsia" w:ascii="宋体" w:hAnsi="宋体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█特定对象调研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分析师会议 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媒体采访</w:t>
            </w:r>
          </w:p>
          <w:p w14:paraId="3AAD97EE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业绩说明会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      </w:t>
            </w:r>
            <w:r>
              <w:rPr>
                <w:rFonts w:hint="eastAsia" w:ascii="宋体" w:hAnsi="宋体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新闻发布会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    </w:t>
            </w:r>
            <w:r>
              <w:rPr>
                <w:rFonts w:hint="eastAsia" w:ascii="宋体" w:hAnsi="宋体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路演活动</w:t>
            </w:r>
          </w:p>
          <w:p w14:paraId="30AA61D9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Times New Roman"/>
                <w:bCs/>
                <w:iCs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现场参观</w:t>
            </w:r>
            <w:r>
              <w:rPr>
                <w:rFonts w:hint="eastAsia" w:ascii="宋体" w:hAnsi="宋体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 xml:space="preserve">           </w:t>
            </w:r>
            <w:r>
              <w:rPr>
                <w:rFonts w:hint="eastAsia" w:ascii="宋体" w:hAnsi="宋体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其他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  <w:u w:val="single"/>
              </w:rPr>
              <w:t xml:space="preserve">                        </w:t>
            </w:r>
          </w:p>
        </w:tc>
      </w:tr>
      <w:tr w14:paraId="4D2E22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828" w:type="dxa"/>
            <w:vMerge w:val="restart"/>
            <w:vAlign w:val="center"/>
          </w:tcPr>
          <w:p w14:paraId="14C2499E">
            <w:pPr>
              <w:adjustRightInd w:val="0"/>
              <w:snapToGrid w:val="0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参与人员</w:t>
            </w:r>
          </w:p>
        </w:tc>
        <w:tc>
          <w:tcPr>
            <w:tcW w:w="3686" w:type="dxa"/>
            <w:gridSpan w:val="2"/>
            <w:vAlign w:val="center"/>
          </w:tcPr>
          <w:p w14:paraId="1140B21C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单  位</w:t>
            </w:r>
          </w:p>
        </w:tc>
        <w:tc>
          <w:tcPr>
            <w:tcW w:w="3685" w:type="dxa"/>
            <w:gridSpan w:val="2"/>
            <w:vAlign w:val="center"/>
          </w:tcPr>
          <w:p w14:paraId="11AA4BE4"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 xml:space="preserve">单 </w:t>
            </w:r>
            <w:r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位</w:t>
            </w:r>
          </w:p>
        </w:tc>
      </w:tr>
      <w:tr w14:paraId="1C1EA0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828" w:type="dxa"/>
            <w:vMerge w:val="continue"/>
            <w:vAlign w:val="center"/>
          </w:tcPr>
          <w:p w14:paraId="7E01812D">
            <w:pPr>
              <w:adjustRightInd w:val="0"/>
              <w:snapToGrid w:val="0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28EA8D9C">
            <w:pPr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color w:val="000000"/>
                <w:kern w:val="0"/>
                <w:sz w:val="24"/>
                <w:szCs w:val="24"/>
              </w:rPr>
              <w:t>国际金融</w:t>
            </w:r>
          </w:p>
        </w:tc>
        <w:tc>
          <w:tcPr>
            <w:tcW w:w="3685" w:type="dxa"/>
            <w:gridSpan w:val="2"/>
            <w:vAlign w:val="center"/>
          </w:tcPr>
          <w:p w14:paraId="5438A4FF">
            <w:pPr>
              <w:adjustRightInd w:val="0"/>
              <w:snapToGrid w:val="0"/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申万宏源</w:t>
            </w:r>
          </w:p>
        </w:tc>
      </w:tr>
      <w:tr w14:paraId="7F5F01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828" w:type="dxa"/>
            <w:vMerge w:val="continue"/>
            <w:vAlign w:val="center"/>
          </w:tcPr>
          <w:p w14:paraId="01D853D6">
            <w:pPr>
              <w:adjustRightInd w:val="0"/>
              <w:snapToGrid w:val="0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31A63553">
            <w:pPr>
              <w:widowControl/>
              <w:jc w:val="left"/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国投证券</w:t>
            </w:r>
          </w:p>
        </w:tc>
        <w:tc>
          <w:tcPr>
            <w:tcW w:w="3685" w:type="dxa"/>
            <w:gridSpan w:val="2"/>
            <w:vAlign w:val="center"/>
          </w:tcPr>
          <w:p w14:paraId="6F5A89A2">
            <w:pPr>
              <w:adjustRightInd w:val="0"/>
              <w:snapToGrid w:val="0"/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</w:p>
        </w:tc>
      </w:tr>
      <w:tr w14:paraId="7A3868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828" w:type="dxa"/>
            <w:vAlign w:val="center"/>
          </w:tcPr>
          <w:p w14:paraId="5E0BD454">
            <w:pPr>
              <w:adjustRightInd w:val="0"/>
              <w:snapToGrid w:val="0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活动时间</w:t>
            </w:r>
          </w:p>
        </w:tc>
        <w:tc>
          <w:tcPr>
            <w:tcW w:w="7371" w:type="dxa"/>
            <w:gridSpan w:val="4"/>
            <w:vAlign w:val="center"/>
          </w:tcPr>
          <w:p w14:paraId="06DD7E06">
            <w:pPr>
              <w:adjustRightInd w:val="0"/>
              <w:snapToGrid w:val="0"/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月</w:t>
            </w:r>
          </w:p>
        </w:tc>
      </w:tr>
      <w:tr w14:paraId="6CE330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828" w:type="dxa"/>
            <w:vAlign w:val="center"/>
          </w:tcPr>
          <w:p w14:paraId="60FC7338">
            <w:pPr>
              <w:adjustRightInd w:val="0"/>
              <w:snapToGrid w:val="0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活动地点</w:t>
            </w:r>
          </w:p>
        </w:tc>
        <w:tc>
          <w:tcPr>
            <w:tcW w:w="7371" w:type="dxa"/>
            <w:gridSpan w:val="4"/>
            <w:vAlign w:val="center"/>
          </w:tcPr>
          <w:p w14:paraId="4FDD03AF">
            <w:pPr>
              <w:adjustRightInd w:val="0"/>
              <w:snapToGrid w:val="0"/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公司会议室</w:t>
            </w:r>
          </w:p>
        </w:tc>
      </w:tr>
      <w:tr w14:paraId="639270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828" w:type="dxa"/>
            <w:vMerge w:val="restart"/>
            <w:vAlign w:val="center"/>
          </w:tcPr>
          <w:p w14:paraId="62C20BF6">
            <w:pPr>
              <w:adjustRightInd w:val="0"/>
              <w:snapToGrid w:val="0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接待人员</w:t>
            </w:r>
          </w:p>
        </w:tc>
        <w:tc>
          <w:tcPr>
            <w:tcW w:w="2410" w:type="dxa"/>
            <w:vAlign w:val="center"/>
          </w:tcPr>
          <w:p w14:paraId="4951C98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职  务</w:t>
            </w:r>
          </w:p>
        </w:tc>
        <w:tc>
          <w:tcPr>
            <w:tcW w:w="1276" w:type="dxa"/>
            <w:vAlign w:val="center"/>
          </w:tcPr>
          <w:p w14:paraId="61AD7F8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409" w:type="dxa"/>
            <w:vAlign w:val="center"/>
          </w:tcPr>
          <w:p w14:paraId="58037547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职  务</w:t>
            </w:r>
          </w:p>
        </w:tc>
        <w:tc>
          <w:tcPr>
            <w:tcW w:w="1276" w:type="dxa"/>
            <w:vAlign w:val="center"/>
          </w:tcPr>
          <w:p w14:paraId="17B706F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姓  名</w:t>
            </w:r>
          </w:p>
        </w:tc>
      </w:tr>
      <w:tr w14:paraId="522527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828" w:type="dxa"/>
            <w:vMerge w:val="continue"/>
            <w:vAlign w:val="center"/>
          </w:tcPr>
          <w:p w14:paraId="662C4003">
            <w:pPr>
              <w:adjustRightInd w:val="0"/>
              <w:snapToGrid w:val="0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AA09386">
            <w:pPr>
              <w:adjustRightInd w:val="0"/>
              <w:snapToGrid w:val="0"/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副董事长、副总经理</w:t>
            </w:r>
          </w:p>
        </w:tc>
        <w:tc>
          <w:tcPr>
            <w:tcW w:w="1276" w:type="dxa"/>
            <w:vAlign w:val="center"/>
          </w:tcPr>
          <w:p w14:paraId="0D484CC1">
            <w:pPr>
              <w:adjustRightInd w:val="0"/>
              <w:snapToGrid w:val="0"/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姜磊</w:t>
            </w:r>
          </w:p>
        </w:tc>
        <w:tc>
          <w:tcPr>
            <w:tcW w:w="2409" w:type="dxa"/>
            <w:vAlign w:val="center"/>
          </w:tcPr>
          <w:p w14:paraId="29B5501F">
            <w:pPr>
              <w:adjustRightInd w:val="0"/>
              <w:snapToGrid w:val="0"/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董事、副总经理、财务负责人</w:t>
            </w:r>
          </w:p>
        </w:tc>
        <w:tc>
          <w:tcPr>
            <w:tcW w:w="1276" w:type="dxa"/>
            <w:vAlign w:val="center"/>
          </w:tcPr>
          <w:p w14:paraId="2BCF7E18">
            <w:pPr>
              <w:adjustRightInd w:val="0"/>
              <w:snapToGrid w:val="0"/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施永泉</w:t>
            </w:r>
          </w:p>
        </w:tc>
      </w:tr>
      <w:tr w14:paraId="0B3759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828" w:type="dxa"/>
            <w:vMerge w:val="continue"/>
            <w:vAlign w:val="center"/>
          </w:tcPr>
          <w:p w14:paraId="7E4A81F9">
            <w:pPr>
              <w:adjustRightInd w:val="0"/>
              <w:snapToGrid w:val="0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B691BFB">
            <w:pPr>
              <w:adjustRightInd w:val="0"/>
              <w:snapToGrid w:val="0"/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副总经理、董事会秘书</w:t>
            </w:r>
          </w:p>
        </w:tc>
        <w:tc>
          <w:tcPr>
            <w:tcW w:w="1276" w:type="dxa"/>
            <w:vAlign w:val="center"/>
          </w:tcPr>
          <w:p w14:paraId="5A631CA9">
            <w:pPr>
              <w:adjustRightInd w:val="0"/>
              <w:snapToGrid w:val="0"/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张珈堃</w:t>
            </w:r>
          </w:p>
        </w:tc>
        <w:tc>
          <w:tcPr>
            <w:tcW w:w="2409" w:type="dxa"/>
            <w:vAlign w:val="center"/>
          </w:tcPr>
          <w:p w14:paraId="274F6D3E">
            <w:pPr>
              <w:adjustRightInd w:val="0"/>
              <w:snapToGrid w:val="0"/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D1EA1F1">
            <w:pPr>
              <w:adjustRightInd w:val="0"/>
              <w:snapToGrid w:val="0"/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</w:p>
        </w:tc>
      </w:tr>
      <w:tr w14:paraId="747EA6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828" w:type="dxa"/>
            <w:vAlign w:val="center"/>
          </w:tcPr>
          <w:p w14:paraId="2D0F143A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活动主要内容</w:t>
            </w:r>
          </w:p>
        </w:tc>
        <w:tc>
          <w:tcPr>
            <w:tcW w:w="7371" w:type="dxa"/>
            <w:gridSpan w:val="4"/>
            <w:vAlign w:val="center"/>
          </w:tcPr>
          <w:p w14:paraId="2F7746BE">
            <w:pPr>
              <w:widowControl/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一、公司2026年半年度经营情况介绍</w:t>
            </w:r>
          </w:p>
          <w:p w14:paraId="092A5F0B">
            <w:pPr>
              <w:widowControl/>
              <w:adjustRightInd w:val="0"/>
              <w:snapToGrid w:val="0"/>
              <w:spacing w:before="312" w:beforeLines="100" w:line="360" w:lineRule="auto"/>
              <w:ind w:firstLine="480" w:firstLineChars="200"/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公司董事会秘书张珈堃向与会投资者介绍了公司2026年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半年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度的经营情况。报告期内公司实现营业收入179,976.22万元，较上年同期增长0.84%；归属于母公司股东的净利润为8,939.37万元，较上年同期增长3.55%；扣除非经常性损益后归属于母公司股东的净利润为8,530.87万元，较上年同期实现14.01%的快速增长。</w:t>
            </w:r>
          </w:p>
          <w:p w14:paraId="20F1709B">
            <w:pPr>
              <w:widowControl/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一、投资者交流环节</w:t>
            </w:r>
          </w:p>
          <w:p w14:paraId="205F973A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1、半年度风电材料海外销量增超50%，公司摩洛哥建厂进展如何？</w:t>
            </w:r>
          </w:p>
          <w:p w14:paraId="48444D21"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出海是我们目前最重要的战略增量。上半年，受益于维斯塔斯（Vestas）等海外核心客户订单的爆发，我们海外业务（含间接）销售额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47,774.92万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元，同比增长49.95%。摩洛哥工厂的建设正在稳步推进中，目前已基本完成厂房、仓库钢结构建设，它将作为我们辐射欧洲及全球市场的核心制造基地。</w:t>
            </w:r>
            <w:bookmarkStart w:id="0" w:name="_GoBack"/>
            <w:bookmarkEnd w:id="0"/>
          </w:p>
          <w:p w14:paraId="386B98C4">
            <w:pPr>
              <w:widowControl/>
              <w:adjustRightInd w:val="0"/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2、高性能电工绝缘材料板块的战略方向与市场机会有哪些？</w:t>
            </w:r>
          </w:p>
          <w:p w14:paraId="68C18B44"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公司该业务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聚焦220千伏以上特高压、大容量风电变压器等高附加值赛道，多款产品通过极端环境测试及长周期带电挂网运行，已通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与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核心客户开展深度合作。行业层面，国家电网“十五五”规划固定资产投资预计达4万亿元、较“十四五”增长40%，变压器、GIS、高压互感器等核心装备更迭带动高分子绝缘封装树脂需求。此外，风电机舱空间紧张推动箱变上置趋势，公司推出特种耐高温绝缘树脂材料方案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。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该板块认证周期较长，放量需一定时间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。</w:t>
            </w:r>
          </w:p>
          <w:p w14:paraId="34A02F45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3、公司近期公告向参股的上海道宜增加投资，是出于什么考虑？</w:t>
            </w:r>
          </w:p>
          <w:p w14:paraId="193A814A"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上海道宜半导体材料有限公司原系公司的孵化项目，后独立发展并进行市场化融资，主营业务为环氧塑封材料。公司关注其长期发展价值，并作为股东积极行使股东权力。公司以自有资金合计3000万元，通过直接增资及股权受让方式对其进行投资，本次投资完成后，上海道宜注册资本由6942.60万元增至7272.60万元，公司认缴出资额由659.625万元增至1159.625万元，持股比例由9.5011%提升至15.9451%。</w:t>
            </w:r>
          </w:p>
        </w:tc>
      </w:tr>
      <w:tr w14:paraId="328E6E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828" w:type="dxa"/>
            <w:vAlign w:val="center"/>
          </w:tcPr>
          <w:p w14:paraId="39CD6742">
            <w:pPr>
              <w:adjustRightInd w:val="0"/>
              <w:snapToGrid w:val="0"/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color w:val="000000"/>
                <w:kern w:val="0"/>
                <w:sz w:val="24"/>
                <w:szCs w:val="24"/>
              </w:rPr>
              <w:t>附件清单</w:t>
            </w:r>
          </w:p>
        </w:tc>
        <w:tc>
          <w:tcPr>
            <w:tcW w:w="7371" w:type="dxa"/>
            <w:gridSpan w:val="4"/>
            <w:vAlign w:val="center"/>
          </w:tcPr>
          <w:p w14:paraId="17FF272C">
            <w:pPr>
              <w:adjustRightInd w:val="0"/>
              <w:snapToGrid w:val="0"/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kern w:val="0"/>
                <w:sz w:val="24"/>
                <w:szCs w:val="24"/>
              </w:rPr>
              <w:t>无</w:t>
            </w:r>
          </w:p>
        </w:tc>
      </w:tr>
    </w:tbl>
    <w:p w14:paraId="1D2FCC61">
      <w:pPr>
        <w:adjustRightInd w:val="0"/>
        <w:snapToGrid w:val="0"/>
        <w:rPr>
          <w:rFonts w:hint="eastAsia"/>
        </w:rPr>
      </w:pPr>
    </w:p>
    <w:p w14:paraId="6A25243D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95D"/>
    <w:rsid w:val="00004206"/>
    <w:rsid w:val="00015A2E"/>
    <w:rsid w:val="000679BB"/>
    <w:rsid w:val="00081C73"/>
    <w:rsid w:val="000904DA"/>
    <w:rsid w:val="000B77AB"/>
    <w:rsid w:val="000C30B3"/>
    <w:rsid w:val="000C3A55"/>
    <w:rsid w:val="000D0A7A"/>
    <w:rsid w:val="000D5D9C"/>
    <w:rsid w:val="000D7CAD"/>
    <w:rsid w:val="000E1682"/>
    <w:rsid w:val="000F3ABD"/>
    <w:rsid w:val="00113530"/>
    <w:rsid w:val="001214BD"/>
    <w:rsid w:val="00123D8E"/>
    <w:rsid w:val="0016044F"/>
    <w:rsid w:val="00164C53"/>
    <w:rsid w:val="0017752B"/>
    <w:rsid w:val="00181E77"/>
    <w:rsid w:val="00194649"/>
    <w:rsid w:val="00194F11"/>
    <w:rsid w:val="00196762"/>
    <w:rsid w:val="001A5995"/>
    <w:rsid w:val="001B626D"/>
    <w:rsid w:val="001B7760"/>
    <w:rsid w:val="001C506A"/>
    <w:rsid w:val="001D0FDF"/>
    <w:rsid w:val="001D64A2"/>
    <w:rsid w:val="001E28A2"/>
    <w:rsid w:val="001F488D"/>
    <w:rsid w:val="0020089A"/>
    <w:rsid w:val="0020213B"/>
    <w:rsid w:val="002032E6"/>
    <w:rsid w:val="0020511E"/>
    <w:rsid w:val="00211B86"/>
    <w:rsid w:val="00232638"/>
    <w:rsid w:val="00252A42"/>
    <w:rsid w:val="00253FA2"/>
    <w:rsid w:val="00260D06"/>
    <w:rsid w:val="0027108E"/>
    <w:rsid w:val="00271AC2"/>
    <w:rsid w:val="00281D76"/>
    <w:rsid w:val="00292949"/>
    <w:rsid w:val="002A02A8"/>
    <w:rsid w:val="002B62EB"/>
    <w:rsid w:val="002C1707"/>
    <w:rsid w:val="002C38EE"/>
    <w:rsid w:val="002C4F29"/>
    <w:rsid w:val="002D2C3F"/>
    <w:rsid w:val="002D54F3"/>
    <w:rsid w:val="002D718D"/>
    <w:rsid w:val="002E1072"/>
    <w:rsid w:val="002E5212"/>
    <w:rsid w:val="002F0F88"/>
    <w:rsid w:val="002F170F"/>
    <w:rsid w:val="002F1777"/>
    <w:rsid w:val="00315631"/>
    <w:rsid w:val="003322E1"/>
    <w:rsid w:val="00346008"/>
    <w:rsid w:val="003655A3"/>
    <w:rsid w:val="0037274D"/>
    <w:rsid w:val="00377258"/>
    <w:rsid w:val="0038238A"/>
    <w:rsid w:val="00387D55"/>
    <w:rsid w:val="003910D5"/>
    <w:rsid w:val="0039486B"/>
    <w:rsid w:val="003956BF"/>
    <w:rsid w:val="00396115"/>
    <w:rsid w:val="003A0611"/>
    <w:rsid w:val="003A15F0"/>
    <w:rsid w:val="003A52D6"/>
    <w:rsid w:val="003B74DC"/>
    <w:rsid w:val="003C53AB"/>
    <w:rsid w:val="003D3371"/>
    <w:rsid w:val="003D341C"/>
    <w:rsid w:val="003E02A7"/>
    <w:rsid w:val="003E0663"/>
    <w:rsid w:val="003E2E7A"/>
    <w:rsid w:val="003E35D9"/>
    <w:rsid w:val="003E7506"/>
    <w:rsid w:val="003E7EB5"/>
    <w:rsid w:val="003F1A5D"/>
    <w:rsid w:val="003F6BF4"/>
    <w:rsid w:val="004159C9"/>
    <w:rsid w:val="004260B1"/>
    <w:rsid w:val="00436E1A"/>
    <w:rsid w:val="00444A0D"/>
    <w:rsid w:val="00455181"/>
    <w:rsid w:val="004747B5"/>
    <w:rsid w:val="004C37A2"/>
    <w:rsid w:val="004C4412"/>
    <w:rsid w:val="004D7B61"/>
    <w:rsid w:val="004E0D04"/>
    <w:rsid w:val="004E4CC1"/>
    <w:rsid w:val="004F54F3"/>
    <w:rsid w:val="004F5570"/>
    <w:rsid w:val="00510985"/>
    <w:rsid w:val="00510B80"/>
    <w:rsid w:val="00532856"/>
    <w:rsid w:val="00544166"/>
    <w:rsid w:val="005912EB"/>
    <w:rsid w:val="005A0CAC"/>
    <w:rsid w:val="005B2BF7"/>
    <w:rsid w:val="005B71A0"/>
    <w:rsid w:val="005D7F00"/>
    <w:rsid w:val="005E3D70"/>
    <w:rsid w:val="005F7A1D"/>
    <w:rsid w:val="00612150"/>
    <w:rsid w:val="00612FA4"/>
    <w:rsid w:val="00613381"/>
    <w:rsid w:val="00631D02"/>
    <w:rsid w:val="00636A25"/>
    <w:rsid w:val="00653559"/>
    <w:rsid w:val="0065512A"/>
    <w:rsid w:val="006553B5"/>
    <w:rsid w:val="00656048"/>
    <w:rsid w:val="00662EDE"/>
    <w:rsid w:val="0068083C"/>
    <w:rsid w:val="00681705"/>
    <w:rsid w:val="006D7187"/>
    <w:rsid w:val="006E05A0"/>
    <w:rsid w:val="006E1C3A"/>
    <w:rsid w:val="006E6A28"/>
    <w:rsid w:val="00704D7A"/>
    <w:rsid w:val="00714705"/>
    <w:rsid w:val="00716DC1"/>
    <w:rsid w:val="00717562"/>
    <w:rsid w:val="00735676"/>
    <w:rsid w:val="00737A6A"/>
    <w:rsid w:val="00740AF6"/>
    <w:rsid w:val="0074503E"/>
    <w:rsid w:val="0075547C"/>
    <w:rsid w:val="00771A27"/>
    <w:rsid w:val="00772253"/>
    <w:rsid w:val="007801BF"/>
    <w:rsid w:val="00782383"/>
    <w:rsid w:val="00790FB2"/>
    <w:rsid w:val="00794C0B"/>
    <w:rsid w:val="007A0E40"/>
    <w:rsid w:val="007C1B07"/>
    <w:rsid w:val="007F1BAC"/>
    <w:rsid w:val="00821B4B"/>
    <w:rsid w:val="008339F4"/>
    <w:rsid w:val="0083704D"/>
    <w:rsid w:val="0084240B"/>
    <w:rsid w:val="0085344D"/>
    <w:rsid w:val="00865FF0"/>
    <w:rsid w:val="00875BBC"/>
    <w:rsid w:val="00895556"/>
    <w:rsid w:val="008969C0"/>
    <w:rsid w:val="008A2358"/>
    <w:rsid w:val="008A5E28"/>
    <w:rsid w:val="008B5888"/>
    <w:rsid w:val="008D61A1"/>
    <w:rsid w:val="00901DC3"/>
    <w:rsid w:val="0091650E"/>
    <w:rsid w:val="00930601"/>
    <w:rsid w:val="00934968"/>
    <w:rsid w:val="009505A2"/>
    <w:rsid w:val="00956FD7"/>
    <w:rsid w:val="00960D30"/>
    <w:rsid w:val="0097001E"/>
    <w:rsid w:val="009A0720"/>
    <w:rsid w:val="009A5579"/>
    <w:rsid w:val="009A61ED"/>
    <w:rsid w:val="009A7FE6"/>
    <w:rsid w:val="009E5FCB"/>
    <w:rsid w:val="009F3627"/>
    <w:rsid w:val="00A00107"/>
    <w:rsid w:val="00A008E2"/>
    <w:rsid w:val="00A00B53"/>
    <w:rsid w:val="00A031E5"/>
    <w:rsid w:val="00A147C9"/>
    <w:rsid w:val="00A152AA"/>
    <w:rsid w:val="00A16727"/>
    <w:rsid w:val="00A205ED"/>
    <w:rsid w:val="00A24FD7"/>
    <w:rsid w:val="00A2792A"/>
    <w:rsid w:val="00A27EAC"/>
    <w:rsid w:val="00A31558"/>
    <w:rsid w:val="00A35FDF"/>
    <w:rsid w:val="00A360CE"/>
    <w:rsid w:val="00A43830"/>
    <w:rsid w:val="00A56726"/>
    <w:rsid w:val="00A66CD5"/>
    <w:rsid w:val="00A733B9"/>
    <w:rsid w:val="00AB765E"/>
    <w:rsid w:val="00AC34BA"/>
    <w:rsid w:val="00AC3E4E"/>
    <w:rsid w:val="00AF1650"/>
    <w:rsid w:val="00AF6BB1"/>
    <w:rsid w:val="00B02886"/>
    <w:rsid w:val="00B228E6"/>
    <w:rsid w:val="00B36F65"/>
    <w:rsid w:val="00B7504D"/>
    <w:rsid w:val="00B7612D"/>
    <w:rsid w:val="00B76E32"/>
    <w:rsid w:val="00B77641"/>
    <w:rsid w:val="00B9355D"/>
    <w:rsid w:val="00B97FF4"/>
    <w:rsid w:val="00BA0EC8"/>
    <w:rsid w:val="00BA1E0F"/>
    <w:rsid w:val="00BA4C6F"/>
    <w:rsid w:val="00BC21E8"/>
    <w:rsid w:val="00BC5FC2"/>
    <w:rsid w:val="00BD2F76"/>
    <w:rsid w:val="00BE21F7"/>
    <w:rsid w:val="00BE7865"/>
    <w:rsid w:val="00BF4D64"/>
    <w:rsid w:val="00C027F8"/>
    <w:rsid w:val="00C10FB5"/>
    <w:rsid w:val="00C16C02"/>
    <w:rsid w:val="00C17081"/>
    <w:rsid w:val="00C179E1"/>
    <w:rsid w:val="00C25562"/>
    <w:rsid w:val="00C3602C"/>
    <w:rsid w:val="00C438B4"/>
    <w:rsid w:val="00C57185"/>
    <w:rsid w:val="00C631BF"/>
    <w:rsid w:val="00C64474"/>
    <w:rsid w:val="00C662CA"/>
    <w:rsid w:val="00C74BE3"/>
    <w:rsid w:val="00C77AC6"/>
    <w:rsid w:val="00C80E0E"/>
    <w:rsid w:val="00C81DE3"/>
    <w:rsid w:val="00C82BEE"/>
    <w:rsid w:val="00C92778"/>
    <w:rsid w:val="00C9522E"/>
    <w:rsid w:val="00CA02C3"/>
    <w:rsid w:val="00CA7DBF"/>
    <w:rsid w:val="00CE7C6D"/>
    <w:rsid w:val="00CF2DC2"/>
    <w:rsid w:val="00CF73CF"/>
    <w:rsid w:val="00D02EB6"/>
    <w:rsid w:val="00D1500A"/>
    <w:rsid w:val="00D23B1C"/>
    <w:rsid w:val="00D374AC"/>
    <w:rsid w:val="00D40CF9"/>
    <w:rsid w:val="00D43191"/>
    <w:rsid w:val="00D460F0"/>
    <w:rsid w:val="00D50CF8"/>
    <w:rsid w:val="00D5696F"/>
    <w:rsid w:val="00D60011"/>
    <w:rsid w:val="00D63173"/>
    <w:rsid w:val="00D77033"/>
    <w:rsid w:val="00D84782"/>
    <w:rsid w:val="00D96CA6"/>
    <w:rsid w:val="00DB26D5"/>
    <w:rsid w:val="00DD7130"/>
    <w:rsid w:val="00DE0290"/>
    <w:rsid w:val="00DF49FB"/>
    <w:rsid w:val="00E06D7A"/>
    <w:rsid w:val="00E23D0B"/>
    <w:rsid w:val="00E42157"/>
    <w:rsid w:val="00E56BAD"/>
    <w:rsid w:val="00E624EE"/>
    <w:rsid w:val="00E8042F"/>
    <w:rsid w:val="00E809E2"/>
    <w:rsid w:val="00EB4594"/>
    <w:rsid w:val="00EB595D"/>
    <w:rsid w:val="00EB69F9"/>
    <w:rsid w:val="00EE18E8"/>
    <w:rsid w:val="00F111FE"/>
    <w:rsid w:val="00F15A8D"/>
    <w:rsid w:val="00F419FD"/>
    <w:rsid w:val="00F532A1"/>
    <w:rsid w:val="00F56B80"/>
    <w:rsid w:val="00F73AA1"/>
    <w:rsid w:val="00F7408C"/>
    <w:rsid w:val="00F96B94"/>
    <w:rsid w:val="00F977A3"/>
    <w:rsid w:val="00FA7B64"/>
    <w:rsid w:val="00FC1545"/>
    <w:rsid w:val="00FC1714"/>
    <w:rsid w:val="00FC4206"/>
    <w:rsid w:val="00FD5577"/>
    <w:rsid w:val="2A245D5D"/>
    <w:rsid w:val="75B8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104862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8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6">
    <w:name w:val="Table Grid"/>
    <w:basedOn w:val="1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  <w:style w:type="table" w:customStyle="1" w:styleId="38">
    <w:name w:val="网格型1"/>
    <w:basedOn w:val="15"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F810E-60E4-4DB0-BE8B-7EFE7068F5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909</Words>
  <Characters>1033</Characters>
  <Lines>97</Lines>
  <Paragraphs>90</Paragraphs>
  <TotalTime>14</TotalTime>
  <ScaleCrop>false</ScaleCrop>
  <LinksUpToDate>false</LinksUpToDate>
  <CharactersWithSpaces>1207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2026-10-29T06:56:00Z</dcterms:created>
  <dc:creator>Jiakun Zhang</dc:creator>
  <cp:lastModifiedBy>Grace Wan</cp:lastModifiedBy>
  <dcterms:modified xsi:type="dcterms:W3CDTF">2026-10-30T05:27:57Z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DF8D81A5EAD24F4D985D4EDEE1525ECD_13</vt:lpwstr>
  </property>
  <property fmtid="{D5CDD505-2E9C-101B-9397-08002B2CF9AE}" pid="4" name="KSOTemplateDocerSaveRecord">
    <vt:lpwstr>eyJoZGlkIjoiYjgyOGQyODI3NTAyMDJjYmRjZmFkZWE1NDI5Y2Q4NDIiLCJ1c2VySWQiOiIyNjc2NTU2NjUifQ==</vt:lpwstr>
  </property>
</Properties>
</file>