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7A5CC1">
      <w:pPr>
        <w:jc w:val="left"/>
        <w:rPr>
          <w:rFonts w:hint="eastAsia" w:asciiTheme="majorEastAsia" w:hAnsiTheme="majorEastAsia" w:eastAsiaTheme="majorEastAsia"/>
          <w:b/>
          <w:sz w:val="28"/>
          <w:szCs w:val="28"/>
          <w:lang w:val="en-US" w:eastAsia="zh-CN"/>
        </w:rPr>
      </w:pPr>
      <w:r>
        <w:rPr>
          <w:rFonts w:hint="eastAsia" w:asciiTheme="majorEastAsia" w:hAnsiTheme="majorEastAsia" w:eastAsiaTheme="majorEastAsia"/>
          <w:b/>
          <w:sz w:val="28"/>
          <w:szCs w:val="28"/>
        </w:rPr>
        <w:t>证券代码：</w:t>
      </w:r>
      <w:r>
        <w:rPr>
          <w:rFonts w:asciiTheme="majorEastAsia" w:hAnsiTheme="majorEastAsia" w:eastAsiaTheme="majorEastAsia"/>
          <w:b/>
          <w:sz w:val="28"/>
          <w:szCs w:val="28"/>
        </w:rPr>
        <w:t>603163</w:t>
      </w:r>
      <w:r>
        <w:rPr>
          <w:rFonts w:hint="eastAsia" w:asciiTheme="majorEastAsia" w:hAnsiTheme="majorEastAsia" w:eastAsiaTheme="majorEastAsia"/>
          <w:b/>
          <w:sz w:val="28"/>
          <w:szCs w:val="28"/>
        </w:rPr>
        <w:t xml:space="preserve">   </w:t>
      </w:r>
      <w:r>
        <w:rPr>
          <w:rFonts w:asciiTheme="majorEastAsia" w:hAnsiTheme="majorEastAsia" w:eastAsiaTheme="majorEastAsia"/>
          <w:b/>
          <w:sz w:val="28"/>
          <w:szCs w:val="28"/>
        </w:rPr>
        <w:t xml:space="preserve">  </w:t>
      </w:r>
      <w:r>
        <w:rPr>
          <w:rFonts w:hint="eastAsia" w:asciiTheme="majorEastAsia" w:hAnsiTheme="majorEastAsia" w:eastAsiaTheme="majorEastAsia"/>
          <w:b/>
          <w:sz w:val="28"/>
          <w:szCs w:val="28"/>
        </w:rPr>
        <w:t>公司简称：</w:t>
      </w:r>
      <w:r>
        <w:rPr>
          <w:rFonts w:asciiTheme="majorEastAsia" w:hAnsiTheme="majorEastAsia" w:eastAsiaTheme="majorEastAsia"/>
          <w:b/>
          <w:sz w:val="28"/>
          <w:szCs w:val="28"/>
        </w:rPr>
        <w:t>圣晖集成</w:t>
      </w:r>
      <w:r>
        <w:rPr>
          <w:rFonts w:hint="eastAsia" w:asciiTheme="majorEastAsia" w:hAnsiTheme="majorEastAsia" w:eastAsiaTheme="majorEastAsia"/>
          <w:b/>
          <w:sz w:val="28"/>
          <w:szCs w:val="28"/>
        </w:rPr>
        <w:t xml:space="preserve"> </w:t>
      </w:r>
      <w:r>
        <w:rPr>
          <w:rFonts w:asciiTheme="majorEastAsia" w:hAnsiTheme="majorEastAsia" w:eastAsiaTheme="majorEastAsia"/>
          <w:b/>
          <w:sz w:val="28"/>
          <w:szCs w:val="28"/>
        </w:rPr>
        <w:t xml:space="preserve">     </w:t>
      </w:r>
      <w:r>
        <w:rPr>
          <w:rFonts w:hint="eastAsia" w:asciiTheme="majorEastAsia" w:hAnsiTheme="majorEastAsia" w:eastAsiaTheme="majorEastAsia"/>
          <w:b/>
          <w:sz w:val="28"/>
          <w:szCs w:val="28"/>
        </w:rPr>
        <w:t>编号：2</w:t>
      </w:r>
      <w:r>
        <w:rPr>
          <w:rFonts w:asciiTheme="majorEastAsia" w:hAnsiTheme="majorEastAsia" w:eastAsiaTheme="majorEastAsia"/>
          <w:b/>
          <w:sz w:val="28"/>
          <w:szCs w:val="28"/>
        </w:rPr>
        <w:t>026-00</w:t>
      </w:r>
      <w:r>
        <w:rPr>
          <w:rFonts w:hint="eastAsia" w:asciiTheme="majorEastAsia" w:hAnsiTheme="majorEastAsia" w:eastAsiaTheme="majorEastAsia"/>
          <w:b/>
          <w:sz w:val="28"/>
          <w:szCs w:val="28"/>
          <w:lang w:val="en-US" w:eastAsia="zh-CN"/>
        </w:rPr>
        <w:t>9</w:t>
      </w:r>
    </w:p>
    <w:p w14:paraId="5F453373">
      <w:pPr>
        <w:jc w:val="center"/>
        <w:rPr>
          <w:rFonts w:hint="eastAsia" w:asciiTheme="majorEastAsia" w:hAnsiTheme="majorEastAsia" w:eastAsiaTheme="majorEastAsia"/>
          <w:sz w:val="28"/>
          <w:szCs w:val="28"/>
        </w:rPr>
      </w:pPr>
      <w:r>
        <w:rPr>
          <w:rFonts w:hint="eastAsia" w:asciiTheme="majorEastAsia" w:hAnsiTheme="majorEastAsia" w:eastAsiaTheme="majorEastAsia"/>
          <w:sz w:val="28"/>
          <w:szCs w:val="28"/>
        </w:rPr>
        <w:t>圣晖系统集成集团股份有限公司</w:t>
      </w:r>
    </w:p>
    <w:p w14:paraId="7CD3ACB9">
      <w:pPr>
        <w:jc w:val="center"/>
        <w:rPr>
          <w:rFonts w:hint="eastAsia" w:asciiTheme="majorEastAsia" w:hAnsiTheme="majorEastAsia" w:eastAsiaTheme="majorEastAsia"/>
          <w:sz w:val="28"/>
          <w:szCs w:val="28"/>
        </w:rPr>
      </w:pPr>
      <w:r>
        <w:rPr>
          <w:rFonts w:hint="eastAsia" w:asciiTheme="majorEastAsia" w:hAnsiTheme="majorEastAsia" w:eastAsiaTheme="majorEastAsia"/>
          <w:sz w:val="28"/>
          <w:szCs w:val="28"/>
        </w:rPr>
        <w:t>投资者关系活动记录表</w:t>
      </w:r>
    </w:p>
    <w:p w14:paraId="5F962F43">
      <w:pPr>
        <w:spacing w:before="156" w:beforeLines="50" w:line="360" w:lineRule="auto"/>
        <w:jc w:val="left"/>
        <w:rPr>
          <w:rFonts w:hint="eastAsia" w:ascii="宋体" w:hAnsi="宋体"/>
          <w:b/>
          <w:sz w:val="28"/>
          <w:szCs w:val="24"/>
        </w:rPr>
      </w:pPr>
      <w:r>
        <w:rPr>
          <w:rFonts w:hint="eastAsia" w:ascii="宋体" w:hAnsi="宋体"/>
          <w:bCs/>
          <w:sz w:val="24"/>
          <w:szCs w:val="32"/>
        </w:rPr>
        <w:t>提示说明：公司每月定期汇总披露投资者关系活动记录表</w:t>
      </w:r>
    </w:p>
    <w:tbl>
      <w:tblPr>
        <w:tblStyle w:val="8"/>
        <w:tblW w:w="8931" w:type="dxa"/>
        <w:tblInd w:w="-1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63"/>
        <w:gridCol w:w="7268"/>
      </w:tblGrid>
      <w:tr w14:paraId="76E1EC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279" w:hRule="atLeast"/>
        </w:trPr>
        <w:tc>
          <w:tcPr>
            <w:tcW w:w="1663" w:type="dxa"/>
            <w:vAlign w:val="center"/>
          </w:tcPr>
          <w:p w14:paraId="1FA01980">
            <w:pPr>
              <w:widowControl/>
              <w:jc w:val="center"/>
              <w:rPr>
                <w:rFonts w:hint="eastAsia" w:cs="宋体" w:asciiTheme="majorEastAsia" w:hAnsiTheme="majorEastAsia" w:eastAsiaTheme="majorEastAsia"/>
                <w:b/>
                <w:color w:val="000000"/>
                <w:kern w:val="0"/>
                <w:sz w:val="24"/>
                <w:szCs w:val="24"/>
              </w:rPr>
            </w:pPr>
            <w:r>
              <w:rPr>
                <w:rFonts w:hint="eastAsia" w:cs="宋体" w:asciiTheme="majorEastAsia" w:hAnsiTheme="majorEastAsia" w:eastAsiaTheme="majorEastAsia"/>
                <w:b/>
                <w:color w:val="000000"/>
                <w:kern w:val="0"/>
                <w:sz w:val="24"/>
                <w:szCs w:val="24"/>
              </w:rPr>
              <w:t>活动类别</w:t>
            </w:r>
          </w:p>
        </w:tc>
        <w:tc>
          <w:tcPr>
            <w:tcW w:w="7268" w:type="dxa"/>
            <w:vAlign w:val="center"/>
          </w:tcPr>
          <w:p w14:paraId="5BFEF626">
            <w:pPr>
              <w:widowControl/>
              <w:jc w:val="left"/>
              <w:rPr>
                <w:rFonts w:hint="eastAsia" w:cs="宋体" w:asciiTheme="majorEastAsia" w:hAnsiTheme="majorEastAsia" w:eastAsiaTheme="majorEastAsia"/>
                <w:color w:val="333333"/>
                <w:kern w:val="0"/>
                <w:sz w:val="24"/>
                <w:szCs w:val="24"/>
              </w:rPr>
            </w:pPr>
            <w:r>
              <w:rPr>
                <w:rFonts w:hint="eastAsia" w:cs="宋体" w:asciiTheme="majorEastAsia" w:hAnsiTheme="majorEastAsia" w:eastAsiaTheme="majorEastAsia"/>
                <w:color w:val="333333"/>
                <w:kern w:val="0"/>
                <w:sz w:val="24"/>
                <w:szCs w:val="24"/>
                <w:lang w:eastAsia="zh-CN"/>
              </w:rPr>
              <w:t>☑</w:t>
            </w:r>
            <w:r>
              <w:rPr>
                <w:rFonts w:hint="eastAsia" w:cs="宋体" w:asciiTheme="majorEastAsia" w:hAnsiTheme="majorEastAsia" w:eastAsiaTheme="majorEastAsia"/>
                <w:color w:val="333333"/>
                <w:kern w:val="0"/>
                <w:sz w:val="24"/>
                <w:szCs w:val="24"/>
              </w:rPr>
              <w:t xml:space="preserve">特定对象调研     □分析师会议     □媒体采访  </w:t>
            </w:r>
          </w:p>
          <w:p w14:paraId="5F3607EA">
            <w:pPr>
              <w:widowControl/>
              <w:jc w:val="left"/>
              <w:rPr>
                <w:rFonts w:hint="eastAsia" w:cs="宋体" w:asciiTheme="majorEastAsia" w:hAnsiTheme="majorEastAsia" w:eastAsiaTheme="majorEastAsia"/>
                <w:color w:val="333333"/>
                <w:kern w:val="0"/>
                <w:sz w:val="24"/>
                <w:szCs w:val="24"/>
              </w:rPr>
            </w:pPr>
            <w:r>
              <w:rPr>
                <w:rFonts w:hint="eastAsia" w:cs="宋体" w:asciiTheme="majorEastAsia" w:hAnsiTheme="majorEastAsia" w:eastAsiaTheme="majorEastAsia"/>
                <w:color w:val="333333"/>
                <w:kern w:val="0"/>
                <w:sz w:val="24"/>
                <w:szCs w:val="24"/>
                <w:lang w:eastAsia="zh-CN"/>
              </w:rPr>
              <w:t>☑</w:t>
            </w:r>
            <w:r>
              <w:rPr>
                <w:rFonts w:hint="eastAsia" w:cs="宋体" w:asciiTheme="majorEastAsia" w:hAnsiTheme="majorEastAsia" w:eastAsiaTheme="majorEastAsia"/>
                <w:color w:val="333333"/>
                <w:kern w:val="0"/>
                <w:sz w:val="24"/>
                <w:szCs w:val="24"/>
              </w:rPr>
              <w:t xml:space="preserve">业绩说明会 </w:t>
            </w:r>
            <w:r>
              <w:rPr>
                <w:rFonts w:cs="宋体" w:asciiTheme="majorEastAsia" w:hAnsiTheme="majorEastAsia" w:eastAsiaTheme="majorEastAsia"/>
                <w:color w:val="333333"/>
                <w:kern w:val="0"/>
                <w:sz w:val="24"/>
                <w:szCs w:val="24"/>
              </w:rPr>
              <w:t xml:space="preserve">     </w:t>
            </w:r>
            <w:r>
              <w:rPr>
                <w:rFonts w:hint="eastAsia" w:cs="宋体" w:asciiTheme="majorEastAsia" w:hAnsiTheme="majorEastAsia" w:eastAsiaTheme="majorEastAsia"/>
                <w:color w:val="333333"/>
                <w:kern w:val="0"/>
                <w:sz w:val="24"/>
                <w:szCs w:val="24"/>
              </w:rPr>
              <w:t xml:space="preserve"> </w:t>
            </w:r>
            <w:r>
              <w:rPr>
                <w:rFonts w:hint="eastAsia" w:cs="宋体" w:asciiTheme="majorEastAsia" w:hAnsiTheme="majorEastAsia" w:eastAsiaTheme="majorEastAsia"/>
                <w:color w:val="333333"/>
                <w:kern w:val="0"/>
                <w:sz w:val="24"/>
                <w:szCs w:val="24"/>
                <w:lang w:eastAsia="zh-CN"/>
              </w:rPr>
              <w:t>□</w:t>
            </w:r>
            <w:r>
              <w:rPr>
                <w:rFonts w:hint="eastAsia" w:cs="宋体" w:asciiTheme="majorEastAsia" w:hAnsiTheme="majorEastAsia" w:eastAsiaTheme="majorEastAsia"/>
                <w:color w:val="333333"/>
                <w:kern w:val="0"/>
                <w:sz w:val="24"/>
                <w:szCs w:val="24"/>
              </w:rPr>
              <w:t xml:space="preserve">新闻发布会   </w:t>
            </w:r>
            <w:r>
              <w:rPr>
                <w:rFonts w:cs="宋体" w:asciiTheme="majorEastAsia" w:hAnsiTheme="majorEastAsia" w:eastAsiaTheme="majorEastAsia"/>
                <w:color w:val="333333"/>
                <w:kern w:val="0"/>
                <w:sz w:val="24"/>
                <w:szCs w:val="24"/>
              </w:rPr>
              <w:t xml:space="preserve">  </w:t>
            </w:r>
            <w:r>
              <w:rPr>
                <w:rFonts w:hint="eastAsia" w:cs="宋体" w:asciiTheme="majorEastAsia" w:hAnsiTheme="majorEastAsia" w:eastAsiaTheme="majorEastAsia"/>
                <w:color w:val="333333"/>
                <w:kern w:val="0"/>
                <w:sz w:val="24"/>
                <w:szCs w:val="24"/>
              </w:rPr>
              <w:t xml:space="preserve">□路演活动  </w:t>
            </w:r>
          </w:p>
          <w:p w14:paraId="36DA7C5E">
            <w:pPr>
              <w:widowControl/>
              <w:jc w:val="left"/>
              <w:rPr>
                <w:rFonts w:hint="eastAsia" w:cs="宋体" w:asciiTheme="majorEastAsia" w:hAnsiTheme="majorEastAsia" w:eastAsiaTheme="majorEastAsia"/>
                <w:color w:val="333333"/>
                <w:kern w:val="0"/>
                <w:sz w:val="24"/>
                <w:szCs w:val="24"/>
              </w:rPr>
            </w:pPr>
            <w:r>
              <w:rPr>
                <w:rFonts w:hint="eastAsia" w:cs="宋体" w:asciiTheme="majorEastAsia" w:hAnsiTheme="majorEastAsia" w:eastAsiaTheme="majorEastAsia"/>
                <w:color w:val="333333"/>
                <w:kern w:val="0"/>
                <w:sz w:val="24"/>
                <w:szCs w:val="24"/>
              </w:rPr>
              <w:t xml:space="preserve">□现场参观    </w:t>
            </w:r>
            <w:r>
              <w:rPr>
                <w:rFonts w:cs="宋体" w:asciiTheme="majorEastAsia" w:hAnsiTheme="majorEastAsia" w:eastAsiaTheme="majorEastAsia"/>
                <w:color w:val="333333"/>
                <w:kern w:val="0"/>
                <w:sz w:val="24"/>
                <w:szCs w:val="24"/>
              </w:rPr>
              <w:t xml:space="preserve">    </w:t>
            </w:r>
            <w:r>
              <w:rPr>
                <w:rFonts w:hint="eastAsia" w:cs="宋体" w:asciiTheme="majorEastAsia" w:hAnsiTheme="majorEastAsia" w:eastAsiaTheme="majorEastAsia"/>
                <w:color w:val="333333"/>
                <w:kern w:val="0"/>
                <w:sz w:val="24"/>
                <w:szCs w:val="24"/>
              </w:rPr>
              <w:t xml:space="preserve"> </w:t>
            </w:r>
            <w:r>
              <w:rPr>
                <w:rFonts w:hint="eastAsia" w:cs="宋体" w:asciiTheme="majorEastAsia" w:hAnsiTheme="majorEastAsia" w:eastAsiaTheme="majorEastAsia"/>
                <w:color w:val="333333"/>
                <w:kern w:val="0"/>
                <w:sz w:val="24"/>
                <w:szCs w:val="24"/>
                <w:lang w:eastAsia="zh-CN"/>
              </w:rPr>
              <w:t>☑</w:t>
            </w:r>
            <w:r>
              <w:rPr>
                <w:rFonts w:hint="eastAsia" w:cs="宋体" w:asciiTheme="majorEastAsia" w:hAnsiTheme="majorEastAsia" w:eastAsiaTheme="majorEastAsia"/>
                <w:color w:val="333333"/>
                <w:kern w:val="0"/>
                <w:sz w:val="24"/>
                <w:szCs w:val="24"/>
              </w:rPr>
              <w:t>其他</w:t>
            </w:r>
            <w:r>
              <w:rPr>
                <w:rFonts w:hint="eastAsia" w:cs="宋体" w:asciiTheme="majorEastAsia" w:hAnsiTheme="majorEastAsia" w:eastAsiaTheme="majorEastAsia"/>
                <w:color w:val="333333"/>
                <w:kern w:val="0"/>
                <w:sz w:val="24"/>
                <w:szCs w:val="24"/>
                <w:u w:val="single"/>
              </w:rPr>
              <w:t>：</w:t>
            </w:r>
            <w:r>
              <w:rPr>
                <w:rFonts w:hint="eastAsia" w:cs="宋体" w:asciiTheme="majorEastAsia" w:hAnsiTheme="majorEastAsia" w:eastAsiaTheme="majorEastAsia"/>
                <w:color w:val="333333"/>
                <w:kern w:val="0"/>
                <w:sz w:val="24"/>
                <w:szCs w:val="24"/>
                <w:u w:val="single"/>
                <w:lang w:eastAsia="zh-CN"/>
              </w:rPr>
              <w:t>“</w:t>
            </w:r>
            <w:r>
              <w:rPr>
                <w:rFonts w:hint="eastAsia" w:cs="宋体" w:asciiTheme="majorEastAsia" w:hAnsiTheme="majorEastAsia" w:eastAsiaTheme="majorEastAsia"/>
                <w:color w:val="333333"/>
                <w:kern w:val="0"/>
                <w:sz w:val="24"/>
                <w:szCs w:val="24"/>
                <w:u w:val="single"/>
                <w:lang w:val="en-US" w:eastAsia="zh-CN"/>
              </w:rPr>
              <w:t>我是股东</w:t>
            </w:r>
            <w:r>
              <w:rPr>
                <w:rFonts w:hint="eastAsia" w:cs="宋体" w:asciiTheme="majorEastAsia" w:hAnsiTheme="majorEastAsia" w:eastAsiaTheme="majorEastAsia"/>
                <w:color w:val="333333"/>
                <w:kern w:val="0"/>
                <w:sz w:val="24"/>
                <w:szCs w:val="24"/>
                <w:u w:val="single"/>
                <w:lang w:eastAsia="zh-CN"/>
              </w:rPr>
              <w:t>”</w:t>
            </w:r>
            <w:r>
              <w:rPr>
                <w:rFonts w:hint="eastAsia" w:cs="宋体" w:asciiTheme="majorEastAsia" w:hAnsiTheme="majorEastAsia" w:eastAsiaTheme="majorEastAsia"/>
                <w:color w:val="333333"/>
                <w:kern w:val="0"/>
                <w:sz w:val="24"/>
                <w:szCs w:val="24"/>
                <w:u w:val="single"/>
                <w:lang w:val="en-US" w:eastAsia="zh-CN"/>
              </w:rPr>
              <w:t>走进上市公司活动</w:t>
            </w:r>
            <w:r>
              <w:rPr>
                <w:rFonts w:cs="宋体" w:asciiTheme="majorEastAsia" w:hAnsiTheme="majorEastAsia" w:eastAsiaTheme="majorEastAsia"/>
                <w:color w:val="333333"/>
                <w:kern w:val="0"/>
                <w:sz w:val="24"/>
                <w:szCs w:val="24"/>
                <w:u w:val="single"/>
              </w:rPr>
              <w:t xml:space="preserve">      </w:t>
            </w:r>
          </w:p>
        </w:tc>
      </w:tr>
      <w:tr w14:paraId="0E6204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94" w:hRule="atLeast"/>
        </w:trPr>
        <w:tc>
          <w:tcPr>
            <w:tcW w:w="1663" w:type="dxa"/>
            <w:vAlign w:val="center"/>
          </w:tcPr>
          <w:p w14:paraId="543145BD">
            <w:pPr>
              <w:widowControl/>
              <w:rPr>
                <w:rFonts w:hint="eastAsia" w:cs="宋体" w:asciiTheme="majorEastAsia" w:hAnsiTheme="majorEastAsia" w:eastAsiaTheme="majorEastAsia"/>
                <w:b/>
                <w:color w:val="000000"/>
                <w:kern w:val="0"/>
                <w:sz w:val="24"/>
                <w:szCs w:val="24"/>
              </w:rPr>
            </w:pPr>
            <w:r>
              <w:rPr>
                <w:rFonts w:hint="eastAsia" w:cs="宋体" w:asciiTheme="majorEastAsia" w:hAnsiTheme="majorEastAsia" w:eastAsiaTheme="majorEastAsia"/>
                <w:b/>
                <w:color w:val="000000"/>
                <w:kern w:val="0"/>
                <w:sz w:val="24"/>
                <w:szCs w:val="24"/>
              </w:rPr>
              <w:t>参与机构名称及人员姓名</w:t>
            </w:r>
          </w:p>
        </w:tc>
        <w:tc>
          <w:tcPr>
            <w:tcW w:w="7268" w:type="dxa"/>
            <w:vAlign w:val="center"/>
          </w:tcPr>
          <w:p w14:paraId="014D527C">
            <w:pPr>
              <w:rPr>
                <w:rFonts w:hint="eastAsia" w:asciiTheme="majorEastAsia" w:hAnsiTheme="majorEastAsia" w:eastAsiaTheme="minorEastAsia"/>
                <w:sz w:val="24"/>
                <w:szCs w:val="24"/>
                <w:lang w:eastAsia="zh-CN"/>
              </w:rPr>
            </w:pPr>
            <w:r>
              <w:rPr>
                <w:rFonts w:hint="eastAsia" w:cs="宋体" w:asciiTheme="minorEastAsia" w:hAnsiTheme="minorEastAsia" w:eastAsiaTheme="minorEastAsia"/>
                <w:sz w:val="24"/>
                <w:szCs w:val="24"/>
              </w:rPr>
              <w:t>线上参与公司2026年半年度业绩说明会的全体投资者</w:t>
            </w:r>
            <w:r>
              <w:rPr>
                <w:rFonts w:hint="eastAsia" w:cs="宋体" w:asciiTheme="minorEastAsia" w:hAnsiTheme="minorEastAsia" w:eastAsiaTheme="minorEastAsia"/>
                <w:sz w:val="24"/>
                <w:szCs w:val="24"/>
                <w:lang w:eastAsia="zh-CN"/>
              </w:rPr>
              <w:t>、</w:t>
            </w:r>
            <w:r>
              <w:rPr>
                <w:rFonts w:hint="eastAsia" w:cs="宋体" w:asciiTheme="minorEastAsia" w:hAnsiTheme="minorEastAsia" w:eastAsiaTheme="minorEastAsia"/>
                <w:sz w:val="24"/>
                <w:szCs w:val="24"/>
                <w:lang w:val="en-US" w:eastAsia="zh-CN"/>
              </w:rPr>
              <w:t>参加</w:t>
            </w:r>
            <w:r>
              <w:rPr>
                <w:rFonts w:hint="eastAsia" w:cs="宋体" w:asciiTheme="minorEastAsia" w:hAnsiTheme="minorEastAsia" w:eastAsiaTheme="minorEastAsia"/>
                <w:sz w:val="24"/>
                <w:szCs w:val="24"/>
                <w:lang w:eastAsia="zh-CN"/>
              </w:rPr>
              <w:t>“</w:t>
            </w:r>
            <w:r>
              <w:rPr>
                <w:rFonts w:hint="eastAsia" w:cs="宋体" w:asciiTheme="minorEastAsia" w:hAnsiTheme="minorEastAsia" w:eastAsiaTheme="minorEastAsia"/>
                <w:sz w:val="24"/>
                <w:szCs w:val="24"/>
                <w:lang w:val="en-US" w:eastAsia="zh-CN"/>
              </w:rPr>
              <w:t>我是股东</w:t>
            </w:r>
            <w:r>
              <w:rPr>
                <w:rFonts w:hint="eastAsia" w:cs="宋体" w:asciiTheme="minorEastAsia" w:hAnsiTheme="minorEastAsia" w:eastAsiaTheme="minorEastAsia"/>
                <w:sz w:val="24"/>
                <w:szCs w:val="24"/>
                <w:lang w:eastAsia="zh-CN"/>
              </w:rPr>
              <w:t>”</w:t>
            </w:r>
            <w:r>
              <w:rPr>
                <w:rFonts w:hint="eastAsia" w:cs="宋体" w:asciiTheme="minorEastAsia" w:hAnsiTheme="minorEastAsia" w:eastAsiaTheme="minorEastAsia"/>
                <w:sz w:val="24"/>
                <w:szCs w:val="24"/>
                <w:lang w:val="en-US" w:eastAsia="zh-CN"/>
              </w:rPr>
              <w:t>走进上市公司活动的个人投资者、广发证券、汇丰晋信基金</w:t>
            </w:r>
            <w:r>
              <w:rPr>
                <w:rFonts w:hint="eastAsia" w:cs="宋体" w:asciiTheme="minorEastAsia" w:hAnsiTheme="minorEastAsia" w:eastAsiaTheme="minorEastAsia"/>
                <w:sz w:val="24"/>
                <w:szCs w:val="24"/>
              </w:rPr>
              <w:t>等</w:t>
            </w:r>
            <w:r>
              <w:rPr>
                <w:rFonts w:hint="eastAsia" w:cs="宋体" w:asciiTheme="minorEastAsia" w:hAnsiTheme="minorEastAsia" w:eastAsiaTheme="minorEastAsia"/>
                <w:sz w:val="24"/>
                <w:szCs w:val="24"/>
                <w:lang w:eastAsia="zh-CN"/>
              </w:rPr>
              <w:t>，</w:t>
            </w:r>
            <w:r>
              <w:rPr>
                <w:rFonts w:hint="eastAsia" w:cs="宋体" w:asciiTheme="minorEastAsia" w:hAnsiTheme="minorEastAsia" w:eastAsiaTheme="minorEastAsia"/>
                <w:sz w:val="24"/>
                <w:szCs w:val="24"/>
              </w:rPr>
              <w:t>详见附件清单</w:t>
            </w:r>
            <w:r>
              <w:rPr>
                <w:rFonts w:hint="eastAsia" w:cs="宋体" w:asciiTheme="minorEastAsia" w:hAnsiTheme="minorEastAsia" w:eastAsiaTheme="minorEastAsia"/>
                <w:sz w:val="24"/>
                <w:szCs w:val="24"/>
                <w:lang w:eastAsia="zh-CN"/>
              </w:rPr>
              <w:t>。</w:t>
            </w:r>
            <w:bookmarkStart w:id="1" w:name="_GoBack"/>
            <w:bookmarkEnd w:id="1"/>
          </w:p>
        </w:tc>
      </w:tr>
      <w:tr w14:paraId="75C6CF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2" w:hRule="atLeast"/>
        </w:trPr>
        <w:tc>
          <w:tcPr>
            <w:tcW w:w="1663" w:type="dxa"/>
            <w:vAlign w:val="center"/>
          </w:tcPr>
          <w:p w14:paraId="616527C2">
            <w:pPr>
              <w:widowControl/>
              <w:jc w:val="center"/>
              <w:rPr>
                <w:rFonts w:hint="eastAsia" w:cs="宋体" w:asciiTheme="majorEastAsia" w:hAnsiTheme="majorEastAsia" w:eastAsiaTheme="majorEastAsia"/>
                <w:b/>
                <w:color w:val="000000"/>
                <w:kern w:val="0"/>
                <w:sz w:val="24"/>
                <w:szCs w:val="24"/>
              </w:rPr>
            </w:pPr>
            <w:r>
              <w:rPr>
                <w:rFonts w:hint="eastAsia" w:cs="宋体" w:asciiTheme="majorEastAsia" w:hAnsiTheme="majorEastAsia" w:eastAsiaTheme="majorEastAsia"/>
                <w:b/>
                <w:color w:val="000000"/>
                <w:kern w:val="0"/>
                <w:sz w:val="24"/>
                <w:szCs w:val="24"/>
              </w:rPr>
              <w:t>活动时间</w:t>
            </w:r>
          </w:p>
        </w:tc>
        <w:tc>
          <w:tcPr>
            <w:tcW w:w="7268" w:type="dxa"/>
            <w:vAlign w:val="center"/>
          </w:tcPr>
          <w:p w14:paraId="00B33361">
            <w:pPr>
              <w:rPr>
                <w:rFonts w:hint="default" w:cs="宋体" w:asciiTheme="majorEastAsia" w:hAnsiTheme="majorEastAsia" w:eastAsiaTheme="majorEastAsia"/>
                <w:bCs/>
                <w:iCs/>
                <w:color w:val="000000"/>
                <w:sz w:val="24"/>
                <w:szCs w:val="24"/>
                <w:lang w:val="en-US" w:eastAsia="zh-CN"/>
              </w:rPr>
            </w:pPr>
            <w:r>
              <w:rPr>
                <w:rFonts w:hint="eastAsia" w:cs="宋体" w:asciiTheme="majorEastAsia" w:hAnsiTheme="majorEastAsia" w:eastAsiaTheme="majorEastAsia"/>
                <w:bCs/>
                <w:iCs/>
                <w:color w:val="000000"/>
                <w:sz w:val="24"/>
                <w:szCs w:val="24"/>
              </w:rPr>
              <w:t>2026年</w:t>
            </w:r>
            <w:r>
              <w:rPr>
                <w:rFonts w:hint="eastAsia" w:cs="宋体" w:asciiTheme="majorEastAsia" w:hAnsiTheme="majorEastAsia" w:eastAsiaTheme="majorEastAsia"/>
                <w:bCs/>
                <w:iCs/>
                <w:color w:val="000000"/>
                <w:sz w:val="24"/>
                <w:szCs w:val="24"/>
                <w:lang w:val="en-US" w:eastAsia="zh-CN"/>
              </w:rPr>
              <w:t>10</w:t>
            </w:r>
            <w:r>
              <w:rPr>
                <w:rFonts w:hint="eastAsia" w:cs="宋体" w:asciiTheme="majorEastAsia" w:hAnsiTheme="majorEastAsia" w:eastAsiaTheme="majorEastAsia"/>
                <w:bCs/>
                <w:iCs/>
                <w:color w:val="000000"/>
                <w:sz w:val="24"/>
                <w:szCs w:val="24"/>
              </w:rPr>
              <w:t>月2</w:t>
            </w:r>
            <w:r>
              <w:rPr>
                <w:rFonts w:hint="eastAsia" w:cs="宋体" w:asciiTheme="majorEastAsia" w:hAnsiTheme="majorEastAsia" w:eastAsiaTheme="majorEastAsia"/>
                <w:bCs/>
                <w:iCs/>
                <w:color w:val="000000"/>
                <w:sz w:val="24"/>
                <w:szCs w:val="24"/>
                <w:lang w:val="en-US" w:eastAsia="zh-CN"/>
              </w:rPr>
              <w:t>1</w:t>
            </w:r>
            <w:r>
              <w:rPr>
                <w:rFonts w:hint="eastAsia" w:cs="宋体" w:asciiTheme="majorEastAsia" w:hAnsiTheme="majorEastAsia" w:eastAsiaTheme="majorEastAsia"/>
                <w:bCs/>
                <w:iCs/>
                <w:color w:val="000000"/>
                <w:sz w:val="24"/>
                <w:szCs w:val="24"/>
              </w:rPr>
              <w:t>日、</w:t>
            </w:r>
            <w:r>
              <w:rPr>
                <w:rFonts w:hint="eastAsia" w:cs="宋体" w:asciiTheme="majorEastAsia" w:hAnsiTheme="majorEastAsia" w:eastAsiaTheme="majorEastAsia"/>
                <w:bCs/>
                <w:iCs/>
                <w:color w:val="000000"/>
                <w:sz w:val="24"/>
                <w:szCs w:val="24"/>
                <w:lang w:val="en-US" w:eastAsia="zh-CN"/>
              </w:rPr>
              <w:t>10</w:t>
            </w:r>
            <w:r>
              <w:rPr>
                <w:rFonts w:hint="eastAsia" w:cs="宋体" w:asciiTheme="majorEastAsia" w:hAnsiTheme="majorEastAsia" w:eastAsiaTheme="majorEastAsia"/>
                <w:bCs/>
                <w:iCs/>
                <w:color w:val="000000"/>
                <w:sz w:val="24"/>
                <w:szCs w:val="24"/>
              </w:rPr>
              <w:t>月</w:t>
            </w:r>
            <w:r>
              <w:rPr>
                <w:rFonts w:hint="eastAsia" w:cs="宋体" w:asciiTheme="majorEastAsia" w:hAnsiTheme="majorEastAsia" w:eastAsiaTheme="majorEastAsia"/>
                <w:bCs/>
                <w:iCs/>
                <w:color w:val="000000"/>
                <w:sz w:val="24"/>
                <w:szCs w:val="24"/>
                <w:lang w:val="en-US" w:eastAsia="zh-CN"/>
              </w:rPr>
              <w:t>22</w:t>
            </w:r>
            <w:r>
              <w:rPr>
                <w:rFonts w:hint="eastAsia" w:cs="宋体" w:asciiTheme="majorEastAsia" w:hAnsiTheme="majorEastAsia" w:eastAsiaTheme="majorEastAsia"/>
                <w:bCs/>
                <w:iCs/>
                <w:color w:val="000000"/>
                <w:sz w:val="24"/>
                <w:szCs w:val="24"/>
              </w:rPr>
              <w:t>日</w:t>
            </w:r>
            <w:r>
              <w:rPr>
                <w:rFonts w:hint="eastAsia" w:cs="宋体" w:asciiTheme="majorEastAsia" w:hAnsiTheme="majorEastAsia" w:eastAsiaTheme="majorEastAsia"/>
                <w:bCs/>
                <w:iCs/>
                <w:color w:val="000000"/>
                <w:sz w:val="24"/>
                <w:szCs w:val="24"/>
                <w:lang w:eastAsia="zh-CN"/>
              </w:rPr>
              <w:t>、</w:t>
            </w:r>
            <w:r>
              <w:rPr>
                <w:rFonts w:hint="eastAsia" w:cs="宋体" w:asciiTheme="majorEastAsia" w:hAnsiTheme="majorEastAsia" w:eastAsiaTheme="majorEastAsia"/>
                <w:bCs/>
                <w:iCs/>
                <w:color w:val="000000"/>
                <w:sz w:val="24"/>
                <w:szCs w:val="24"/>
                <w:lang w:val="en-US" w:eastAsia="zh-CN"/>
              </w:rPr>
              <w:t>10月28日</w:t>
            </w:r>
          </w:p>
        </w:tc>
      </w:tr>
      <w:tr w14:paraId="5DEE62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6" w:hRule="atLeast"/>
        </w:trPr>
        <w:tc>
          <w:tcPr>
            <w:tcW w:w="1663" w:type="dxa"/>
            <w:vAlign w:val="center"/>
          </w:tcPr>
          <w:p w14:paraId="67182097">
            <w:pPr>
              <w:widowControl/>
              <w:jc w:val="center"/>
              <w:rPr>
                <w:rFonts w:hint="eastAsia" w:cs="宋体" w:asciiTheme="majorEastAsia" w:hAnsiTheme="majorEastAsia" w:eastAsiaTheme="majorEastAsia"/>
                <w:b/>
                <w:color w:val="000000"/>
                <w:kern w:val="0"/>
                <w:sz w:val="24"/>
                <w:szCs w:val="24"/>
              </w:rPr>
            </w:pPr>
            <w:r>
              <w:rPr>
                <w:rFonts w:hint="eastAsia" w:cs="宋体" w:asciiTheme="majorEastAsia" w:hAnsiTheme="majorEastAsia" w:eastAsiaTheme="majorEastAsia"/>
                <w:b/>
                <w:color w:val="000000"/>
                <w:kern w:val="0"/>
                <w:sz w:val="24"/>
                <w:szCs w:val="24"/>
              </w:rPr>
              <w:t>地点</w:t>
            </w:r>
          </w:p>
        </w:tc>
        <w:tc>
          <w:tcPr>
            <w:tcW w:w="7268" w:type="dxa"/>
            <w:vAlign w:val="center"/>
          </w:tcPr>
          <w:p w14:paraId="3725BAE1">
            <w:pPr>
              <w:rPr>
                <w:rFonts w:hint="eastAsia" w:asciiTheme="majorEastAsia" w:hAnsiTheme="majorEastAsia" w:eastAsiaTheme="majorEastAsia"/>
                <w:bCs/>
                <w:sz w:val="24"/>
                <w:szCs w:val="24"/>
                <w:highlight w:val="yellow"/>
              </w:rPr>
            </w:pPr>
            <w:r>
              <w:rPr>
                <w:rFonts w:hint="eastAsia" w:cs="宋体" w:asciiTheme="minorEastAsia" w:hAnsiTheme="minorEastAsia" w:eastAsiaTheme="minorEastAsia"/>
                <w:sz w:val="24"/>
                <w:szCs w:val="24"/>
              </w:rPr>
              <w:t>圣晖集成办公室</w:t>
            </w:r>
            <w:r>
              <w:rPr>
                <w:rFonts w:hint="eastAsia" w:cs="宋体" w:asciiTheme="minorEastAsia" w:hAnsiTheme="minorEastAsia" w:eastAsiaTheme="minorEastAsia"/>
                <w:sz w:val="24"/>
                <w:szCs w:val="24"/>
                <w:lang w:eastAsia="zh-CN"/>
              </w:rPr>
              <w:t>、</w:t>
            </w:r>
            <w:r>
              <w:rPr>
                <w:rFonts w:hint="eastAsia" w:cs="宋体" w:asciiTheme="minorEastAsia" w:hAnsiTheme="minorEastAsia" w:eastAsiaTheme="minorEastAsia"/>
                <w:sz w:val="24"/>
                <w:szCs w:val="24"/>
              </w:rPr>
              <w:t>价值在线（https://www.ir-online.cn/）网络互动</w:t>
            </w:r>
          </w:p>
        </w:tc>
      </w:tr>
      <w:tr w14:paraId="229993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8" w:hRule="atLeast"/>
        </w:trPr>
        <w:tc>
          <w:tcPr>
            <w:tcW w:w="1663" w:type="dxa"/>
            <w:vAlign w:val="center"/>
          </w:tcPr>
          <w:p w14:paraId="1D4098D3">
            <w:pPr>
              <w:widowControl/>
              <w:jc w:val="center"/>
              <w:rPr>
                <w:rFonts w:hint="eastAsia" w:cs="宋体" w:asciiTheme="majorEastAsia" w:hAnsiTheme="majorEastAsia" w:eastAsiaTheme="majorEastAsia"/>
                <w:b/>
                <w:color w:val="333333"/>
                <w:kern w:val="0"/>
                <w:sz w:val="24"/>
                <w:szCs w:val="24"/>
              </w:rPr>
            </w:pPr>
            <w:r>
              <w:rPr>
                <w:rFonts w:hint="eastAsia" w:cs="宋体" w:asciiTheme="majorEastAsia" w:hAnsiTheme="majorEastAsia" w:eastAsiaTheme="majorEastAsia"/>
                <w:b/>
                <w:color w:val="333333"/>
                <w:kern w:val="0"/>
                <w:sz w:val="24"/>
                <w:szCs w:val="24"/>
              </w:rPr>
              <w:t>上市公司接待人员姓名</w:t>
            </w:r>
          </w:p>
        </w:tc>
        <w:tc>
          <w:tcPr>
            <w:tcW w:w="7268" w:type="dxa"/>
            <w:shd w:val="clear" w:color="auto" w:fill="auto"/>
            <w:vAlign w:val="center"/>
          </w:tcPr>
          <w:p w14:paraId="5233A6FA">
            <w:pPr>
              <w:spacing w:line="360" w:lineRule="auto"/>
              <w:rPr>
                <w:rFonts w:hint="default" w:cs="宋体" w:asciiTheme="majorEastAsia" w:hAnsiTheme="majorEastAsia" w:eastAsiaTheme="majorEastAsia"/>
                <w:color w:val="000000"/>
                <w:kern w:val="0"/>
                <w:sz w:val="24"/>
                <w:szCs w:val="24"/>
                <w:shd w:val="clear" w:color="auto" w:fill="FFFFFF" w:themeFill="background1"/>
                <w:lang w:val="en-US" w:eastAsia="zh-CN" w:bidi="ar-SA"/>
              </w:rPr>
            </w:pPr>
            <w:r>
              <w:rPr>
                <w:rFonts w:hint="eastAsia" w:cs="宋体" w:asciiTheme="majorEastAsia" w:hAnsiTheme="majorEastAsia" w:eastAsiaTheme="majorEastAsia"/>
                <w:color w:val="000000"/>
                <w:kern w:val="0"/>
                <w:sz w:val="24"/>
                <w:szCs w:val="24"/>
                <w:shd w:val="clear" w:color="auto" w:fill="FFFFFF" w:themeFill="background1"/>
              </w:rPr>
              <w:t>董事会秘书陈志豪、总经理朱启华、董事张金保、财务总监萧静霞、独立董事董炳和、独立董事刘铁华、独立董事刘琼</w:t>
            </w:r>
            <w:r>
              <w:rPr>
                <w:rFonts w:hint="eastAsia" w:cs="宋体" w:asciiTheme="majorEastAsia" w:hAnsiTheme="majorEastAsia" w:eastAsiaTheme="majorEastAsia"/>
                <w:color w:val="000000"/>
                <w:kern w:val="0"/>
                <w:sz w:val="24"/>
                <w:szCs w:val="24"/>
                <w:shd w:val="clear" w:color="auto" w:fill="FFFFFF" w:themeFill="background1"/>
                <w:lang w:eastAsia="zh-CN"/>
              </w:rPr>
              <w:t>、</w:t>
            </w:r>
            <w:r>
              <w:rPr>
                <w:rFonts w:hint="eastAsia" w:cs="宋体" w:asciiTheme="majorEastAsia" w:hAnsiTheme="majorEastAsia" w:eastAsiaTheme="majorEastAsia"/>
                <w:color w:val="000000"/>
                <w:kern w:val="0"/>
                <w:sz w:val="24"/>
                <w:szCs w:val="24"/>
                <w:shd w:val="clear" w:color="auto" w:fill="FFFFFF" w:themeFill="background1"/>
                <w:lang w:val="en-US" w:eastAsia="zh-CN"/>
              </w:rPr>
              <w:t>证券事务代表高杰杰</w:t>
            </w:r>
          </w:p>
        </w:tc>
      </w:tr>
      <w:tr w14:paraId="4C8CE2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8" w:hRule="atLeast"/>
        </w:trPr>
        <w:tc>
          <w:tcPr>
            <w:tcW w:w="1663" w:type="dxa"/>
            <w:vAlign w:val="center"/>
          </w:tcPr>
          <w:p w14:paraId="65EEC14A">
            <w:pPr>
              <w:widowControl/>
              <w:jc w:val="center"/>
              <w:rPr>
                <w:rFonts w:hint="eastAsia" w:cs="宋体" w:asciiTheme="majorEastAsia" w:hAnsiTheme="majorEastAsia" w:eastAsiaTheme="majorEastAsia"/>
                <w:b/>
                <w:color w:val="333333"/>
                <w:kern w:val="0"/>
                <w:sz w:val="24"/>
                <w:szCs w:val="24"/>
              </w:rPr>
            </w:pPr>
            <w:r>
              <w:rPr>
                <w:rFonts w:cs="宋体" w:asciiTheme="majorEastAsia" w:hAnsiTheme="majorEastAsia" w:eastAsiaTheme="majorEastAsia"/>
                <w:b/>
                <w:color w:val="333333"/>
                <w:kern w:val="0"/>
                <w:sz w:val="24"/>
                <w:szCs w:val="24"/>
              </w:rPr>
              <w:t>相关情况说明风险提示</w:t>
            </w:r>
          </w:p>
        </w:tc>
        <w:tc>
          <w:tcPr>
            <w:tcW w:w="7268" w:type="dxa"/>
            <w:vAlign w:val="center"/>
          </w:tcPr>
          <w:p w14:paraId="137A0E8D">
            <w:pPr>
              <w:spacing w:line="360" w:lineRule="auto"/>
              <w:ind w:firstLine="480" w:firstLineChars="200"/>
              <w:rPr>
                <w:rFonts w:hint="eastAsia" w:cs="宋体" w:asciiTheme="majorEastAsia" w:hAnsiTheme="majorEastAsia" w:eastAsiaTheme="majorEastAsia"/>
                <w:color w:val="000000"/>
                <w:kern w:val="0"/>
                <w:sz w:val="24"/>
                <w:szCs w:val="24"/>
                <w:shd w:val="clear" w:color="auto" w:fill="FFFFFF" w:themeFill="background1"/>
              </w:rPr>
            </w:pPr>
            <w:r>
              <w:rPr>
                <w:rFonts w:hint="eastAsia" w:cs="宋体" w:asciiTheme="majorEastAsia" w:hAnsiTheme="majorEastAsia" w:eastAsiaTheme="majorEastAsia"/>
                <w:color w:val="000000"/>
                <w:kern w:val="0"/>
                <w:sz w:val="24"/>
                <w:szCs w:val="24"/>
                <w:shd w:val="clear" w:color="auto" w:fill="FFFFFF" w:themeFill="background1"/>
              </w:rPr>
              <w:t>投资者关系活动不涉及应当披露而未披露的重大信息。投资者关系活动若涉及公司未来发展展望、预计及目标等均不构成本公司的实质承诺，投资者及相关人士等均应对此保持足够的风险认识。特此提醒广大投资者注意投资风险。</w:t>
            </w:r>
          </w:p>
        </w:tc>
      </w:tr>
      <w:tr w14:paraId="57EA19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663" w:type="dxa"/>
            <w:vMerge w:val="restart"/>
            <w:vAlign w:val="center"/>
          </w:tcPr>
          <w:p w14:paraId="4F3B8A80">
            <w:pPr>
              <w:rPr>
                <w:rFonts w:hint="eastAsia" w:asciiTheme="majorEastAsia" w:hAnsiTheme="majorEastAsia" w:eastAsiaTheme="majorEastAsia"/>
                <w:b/>
                <w:sz w:val="24"/>
                <w:szCs w:val="24"/>
              </w:rPr>
            </w:pPr>
            <w:r>
              <w:rPr>
                <w:rFonts w:hint="eastAsia" w:asciiTheme="majorEastAsia" w:hAnsiTheme="majorEastAsia" w:eastAsiaTheme="majorEastAsia"/>
                <w:b/>
                <w:sz w:val="24"/>
                <w:szCs w:val="24"/>
              </w:rPr>
              <w:t>问答交流主要内容介绍</w:t>
            </w:r>
          </w:p>
        </w:tc>
        <w:tc>
          <w:tcPr>
            <w:tcW w:w="7268" w:type="dxa"/>
            <w:vAlign w:val="center"/>
          </w:tcPr>
          <w:p w14:paraId="3A3D2CBD">
            <w:pPr>
              <w:spacing w:line="360" w:lineRule="auto"/>
              <w:rPr>
                <w:rFonts w:hint="eastAsia" w:cs="宋体" w:asciiTheme="majorEastAsia" w:hAnsiTheme="majorEastAsia" w:eastAsiaTheme="majorEastAsia"/>
                <w:color w:val="000000"/>
                <w:kern w:val="0"/>
                <w:sz w:val="24"/>
                <w:szCs w:val="24"/>
                <w:shd w:val="clear" w:color="auto" w:fill="FFFFFF" w:themeFill="background1"/>
              </w:rPr>
            </w:pPr>
            <w:r>
              <w:rPr>
                <w:rFonts w:hint="eastAsia" w:cs="宋体" w:asciiTheme="majorEastAsia" w:hAnsiTheme="majorEastAsia" w:eastAsiaTheme="majorEastAsia"/>
                <w:b/>
                <w:bCs/>
                <w:color w:val="000000"/>
                <w:kern w:val="0"/>
                <w:sz w:val="24"/>
                <w:szCs w:val="24"/>
                <w:shd w:val="clear" w:color="auto" w:fill="FFFFFF" w:themeFill="background1"/>
                <w:lang w:val="en-US" w:eastAsia="zh-CN"/>
              </w:rPr>
              <w:t>1、</w:t>
            </w:r>
            <w:r>
              <w:rPr>
                <w:rFonts w:hint="eastAsia" w:cs="宋体" w:asciiTheme="majorEastAsia" w:hAnsiTheme="majorEastAsia" w:eastAsiaTheme="majorEastAsia"/>
                <w:b/>
                <w:bCs/>
                <w:color w:val="000000"/>
                <w:kern w:val="0"/>
                <w:sz w:val="24"/>
                <w:szCs w:val="24"/>
                <w:shd w:val="clear" w:color="auto" w:fill="FFFFFF" w:themeFill="background1"/>
              </w:rPr>
              <w:t>如何看待行业未来发展方向</w:t>
            </w:r>
            <w:r>
              <w:rPr>
                <w:rFonts w:hint="eastAsia" w:cs="宋体" w:asciiTheme="majorEastAsia" w:hAnsiTheme="majorEastAsia" w:eastAsiaTheme="majorEastAsia"/>
                <w:color w:val="000000"/>
                <w:kern w:val="0"/>
                <w:sz w:val="24"/>
                <w:szCs w:val="24"/>
                <w:shd w:val="clear" w:color="auto" w:fill="FFFFFF" w:themeFill="background1"/>
              </w:rPr>
              <w:br w:type="textWrapping"/>
            </w:r>
            <w:r>
              <w:rPr>
                <w:rFonts w:hint="eastAsia" w:cs="宋体" w:asciiTheme="majorEastAsia" w:hAnsiTheme="majorEastAsia" w:eastAsiaTheme="majorEastAsia"/>
                <w:b/>
                <w:bCs/>
                <w:color w:val="000000"/>
                <w:kern w:val="0"/>
                <w:sz w:val="24"/>
                <w:szCs w:val="24"/>
                <w:shd w:val="clear" w:color="auto" w:fill="FFFFFF" w:themeFill="background1"/>
              </w:rPr>
              <w:t>答:</w:t>
            </w:r>
            <w:r>
              <w:rPr>
                <w:rFonts w:hint="eastAsia" w:cs="宋体" w:asciiTheme="majorEastAsia" w:hAnsiTheme="majorEastAsia" w:eastAsiaTheme="majorEastAsia"/>
                <w:color w:val="000000"/>
                <w:kern w:val="0"/>
                <w:sz w:val="24"/>
                <w:szCs w:val="24"/>
                <w:shd w:val="clear" w:color="auto" w:fill="FFFFFF" w:themeFill="background1"/>
              </w:rPr>
              <w:t>尊敬的投资者，您好！当前洁净室行业的发展大致呈现以下几个特点：首先，随着我国产业升级推进，下游客户对生产工艺环境的要求不断提高，不仅对微污染控制、微振动防控、防静电管控提出了更高标准，也带动洁净室行业的需求持续增长；其次，行业竞争正逐渐从“拼价格”转向“拼技术和服务”，具备自主研发和服务能力的企业在市场中占据较多优势；另外，在绿色发展的背景下，节能化和数字化或将成为行业新的发展方向；海外市场正成为洁净室工程企业拓展业务的新高地，具备海外洁净室工程服务能力的公司或有更多新的市场机遇。感谢您的关注!</w:t>
            </w:r>
          </w:p>
        </w:tc>
      </w:tr>
      <w:tr w14:paraId="3E6E76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trPr>
        <w:tc>
          <w:tcPr>
            <w:tcW w:w="1663" w:type="dxa"/>
            <w:vMerge w:val="continue"/>
            <w:vAlign w:val="center"/>
          </w:tcPr>
          <w:p w14:paraId="38A17DC7">
            <w:pPr>
              <w:jc w:val="center"/>
              <w:rPr>
                <w:rFonts w:hint="eastAsia" w:asciiTheme="majorEastAsia" w:hAnsiTheme="majorEastAsia" w:eastAsiaTheme="majorEastAsia"/>
                <w:b/>
                <w:sz w:val="24"/>
                <w:szCs w:val="24"/>
              </w:rPr>
            </w:pPr>
            <w:bookmarkStart w:id="0" w:name="_Hlk233374530"/>
          </w:p>
        </w:tc>
        <w:tc>
          <w:tcPr>
            <w:tcW w:w="7268" w:type="dxa"/>
            <w:vAlign w:val="center"/>
          </w:tcPr>
          <w:p w14:paraId="2662FC1C">
            <w:pPr>
              <w:spacing w:line="360" w:lineRule="auto"/>
              <w:rPr>
                <w:rFonts w:hint="eastAsia" w:cs="宋体" w:asciiTheme="majorEastAsia" w:hAnsiTheme="majorEastAsia" w:eastAsiaTheme="majorEastAsia"/>
                <w:b/>
                <w:bCs/>
                <w:color w:val="000000"/>
                <w:kern w:val="0"/>
                <w:sz w:val="24"/>
                <w:szCs w:val="24"/>
                <w:shd w:val="clear" w:color="auto" w:fill="FFFFFF" w:themeFill="background1"/>
                <w:lang w:val="en-US" w:eastAsia="zh-CN"/>
              </w:rPr>
            </w:pPr>
            <w:r>
              <w:rPr>
                <w:rFonts w:hint="eastAsia" w:cs="宋体" w:asciiTheme="majorEastAsia" w:hAnsiTheme="majorEastAsia" w:eastAsiaTheme="majorEastAsia"/>
                <w:b/>
                <w:bCs/>
                <w:color w:val="000000"/>
                <w:kern w:val="0"/>
                <w:sz w:val="24"/>
                <w:szCs w:val="24"/>
                <w:shd w:val="clear" w:color="auto" w:fill="FFFFFF" w:themeFill="background1"/>
                <w:lang w:val="en-US" w:eastAsia="zh-CN"/>
              </w:rPr>
              <w:t>2、请问公司在手订单多少呢？订单能见度有几个月?谢谢</w:t>
            </w:r>
            <w:r>
              <w:rPr>
                <w:rFonts w:hint="eastAsia" w:cs="宋体" w:asciiTheme="majorEastAsia" w:hAnsiTheme="majorEastAsia" w:eastAsiaTheme="majorEastAsia"/>
                <w:b/>
                <w:bCs/>
                <w:color w:val="000000"/>
                <w:kern w:val="0"/>
                <w:sz w:val="24"/>
                <w:szCs w:val="24"/>
                <w:shd w:val="clear" w:color="auto" w:fill="FFFFFF" w:themeFill="background1"/>
                <w:lang w:val="en-US" w:eastAsia="zh-CN"/>
              </w:rPr>
              <w:br w:type="textWrapping"/>
            </w:r>
            <w:r>
              <w:rPr>
                <w:rFonts w:hint="eastAsia" w:cs="宋体" w:asciiTheme="majorEastAsia" w:hAnsiTheme="majorEastAsia" w:eastAsiaTheme="majorEastAsia"/>
                <w:b/>
                <w:bCs/>
                <w:color w:val="000000"/>
                <w:kern w:val="0"/>
                <w:sz w:val="24"/>
                <w:szCs w:val="24"/>
                <w:shd w:val="clear" w:color="auto" w:fill="FFFFFF" w:themeFill="background1"/>
                <w:lang w:val="en-US" w:eastAsia="zh-CN"/>
              </w:rPr>
              <w:t>答:</w:t>
            </w:r>
            <w:r>
              <w:rPr>
                <w:rFonts w:hint="eastAsia" w:cs="宋体" w:asciiTheme="majorEastAsia" w:hAnsiTheme="majorEastAsia" w:eastAsiaTheme="majorEastAsia"/>
                <w:b w:val="0"/>
                <w:bCs w:val="0"/>
                <w:color w:val="000000"/>
                <w:kern w:val="0"/>
                <w:sz w:val="24"/>
                <w:szCs w:val="24"/>
                <w:shd w:val="clear" w:color="auto" w:fill="FFFFFF" w:themeFill="background1"/>
                <w:lang w:val="en-US" w:eastAsia="zh-CN"/>
              </w:rPr>
              <w:t>尊敬的投资者您好，截至2026年9月30日，公司在手订单余额为38.22亿元（未含税），比上年同期增长72.64%，其中境内在手订单余额为23.72亿元（未含税），境外在手订单余额14.50亿元（未含税）。受工程行业特性影响，投标、中标及收入确认存在时序差异，公司当前持续跟进及投标项目较多，但最终能否中标存在不确定性，因此难以给出预测。感谢您的关注！</w:t>
            </w:r>
          </w:p>
        </w:tc>
      </w:tr>
      <w:bookmarkEnd w:id="0"/>
      <w:tr w14:paraId="72F52E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trPr>
        <w:tc>
          <w:tcPr>
            <w:tcW w:w="1663" w:type="dxa"/>
            <w:vMerge w:val="continue"/>
            <w:vAlign w:val="center"/>
          </w:tcPr>
          <w:p w14:paraId="2EC9FE21">
            <w:pPr>
              <w:jc w:val="center"/>
              <w:rPr>
                <w:rFonts w:hint="eastAsia" w:asciiTheme="majorEastAsia" w:hAnsiTheme="majorEastAsia" w:eastAsiaTheme="majorEastAsia"/>
                <w:b/>
                <w:sz w:val="24"/>
                <w:szCs w:val="24"/>
              </w:rPr>
            </w:pPr>
          </w:p>
        </w:tc>
        <w:tc>
          <w:tcPr>
            <w:tcW w:w="7268" w:type="dxa"/>
            <w:vAlign w:val="center"/>
          </w:tcPr>
          <w:p w14:paraId="16270B9C">
            <w:pPr>
              <w:spacing w:line="360" w:lineRule="auto"/>
              <w:rPr>
                <w:rFonts w:hint="eastAsia" w:cs="宋体" w:asciiTheme="majorEastAsia" w:hAnsiTheme="majorEastAsia" w:eastAsiaTheme="majorEastAsia"/>
                <w:b/>
                <w:bCs/>
                <w:color w:val="000000"/>
                <w:kern w:val="0"/>
                <w:sz w:val="24"/>
                <w:szCs w:val="24"/>
                <w:shd w:val="clear" w:color="auto" w:fill="FFFFFF" w:themeFill="background1"/>
                <w:lang w:val="en-US" w:eastAsia="zh-CN"/>
              </w:rPr>
            </w:pPr>
            <w:r>
              <w:rPr>
                <w:rFonts w:hint="eastAsia" w:cs="宋体" w:asciiTheme="majorEastAsia" w:hAnsiTheme="majorEastAsia" w:eastAsiaTheme="majorEastAsia"/>
                <w:b/>
                <w:bCs/>
                <w:color w:val="000000"/>
                <w:kern w:val="0"/>
                <w:sz w:val="24"/>
                <w:szCs w:val="24"/>
                <w:shd w:val="clear" w:color="auto" w:fill="FFFFFF" w:themeFill="background1"/>
                <w:lang w:val="en-US" w:eastAsia="zh-CN"/>
              </w:rPr>
              <w:t>3、目前在手订单储备充足，后续订单转化、项目收入确认节奏有怎样的预期？</w:t>
            </w:r>
            <w:r>
              <w:rPr>
                <w:rFonts w:hint="eastAsia" w:cs="宋体" w:asciiTheme="majorEastAsia" w:hAnsiTheme="majorEastAsia" w:eastAsiaTheme="majorEastAsia"/>
                <w:b/>
                <w:bCs/>
                <w:color w:val="000000"/>
                <w:kern w:val="0"/>
                <w:sz w:val="24"/>
                <w:szCs w:val="24"/>
                <w:shd w:val="clear" w:color="auto" w:fill="FFFFFF" w:themeFill="background1"/>
                <w:lang w:val="en-US" w:eastAsia="zh-CN"/>
              </w:rPr>
              <w:br w:type="textWrapping"/>
            </w:r>
            <w:r>
              <w:rPr>
                <w:rFonts w:hint="eastAsia" w:cs="宋体" w:asciiTheme="majorEastAsia" w:hAnsiTheme="majorEastAsia" w:eastAsiaTheme="majorEastAsia"/>
                <w:b/>
                <w:bCs/>
                <w:color w:val="000000"/>
                <w:kern w:val="0"/>
                <w:sz w:val="24"/>
                <w:szCs w:val="24"/>
                <w:shd w:val="clear" w:color="auto" w:fill="FFFFFF" w:themeFill="background1"/>
                <w:lang w:val="en-US" w:eastAsia="zh-CN"/>
              </w:rPr>
              <w:t>答:</w:t>
            </w:r>
            <w:r>
              <w:rPr>
                <w:rFonts w:hint="eastAsia" w:cs="宋体" w:asciiTheme="majorEastAsia" w:hAnsiTheme="majorEastAsia" w:eastAsiaTheme="majorEastAsia"/>
                <w:b w:val="0"/>
                <w:bCs w:val="0"/>
                <w:color w:val="000000"/>
                <w:kern w:val="0"/>
                <w:sz w:val="24"/>
                <w:szCs w:val="24"/>
                <w:shd w:val="clear" w:color="auto" w:fill="FFFFFF" w:themeFill="background1"/>
                <w:lang w:val="en-US" w:eastAsia="zh-CN"/>
              </w:rPr>
              <w:t>尊敬的投资者，您好!公司严格按照与客户合同约定的工期安排实施项目，按照履约进度逐步确认收入。排除特大型工案与二次配项目的情况下（二次配业务收入转化情况可能会受到业主方机台分批到货的影响），国内订单一般在6-9个月内可以确认大部分收入，海外订单转化为收入的时间较国内略有延迟，大部分订单可以在9-12个月内陆续确认大部分收入。个别大型或复杂度较高的项目，受体量及执行条款影响，完整收入确认可能延续至1-2年，实际转化节奏将严格依据项目进度、行业特性及合同具体约定分期实现。感谢您对公司的关注！</w:t>
            </w:r>
          </w:p>
        </w:tc>
      </w:tr>
      <w:tr w14:paraId="6F50A5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trPr>
        <w:tc>
          <w:tcPr>
            <w:tcW w:w="1663" w:type="dxa"/>
            <w:vMerge w:val="continue"/>
            <w:vAlign w:val="center"/>
          </w:tcPr>
          <w:p w14:paraId="3502B635">
            <w:pPr>
              <w:jc w:val="center"/>
              <w:rPr>
                <w:rFonts w:hint="eastAsia" w:asciiTheme="majorEastAsia" w:hAnsiTheme="majorEastAsia" w:eastAsiaTheme="majorEastAsia"/>
                <w:b/>
                <w:sz w:val="24"/>
                <w:szCs w:val="24"/>
              </w:rPr>
            </w:pPr>
          </w:p>
        </w:tc>
        <w:tc>
          <w:tcPr>
            <w:tcW w:w="7268" w:type="dxa"/>
          </w:tcPr>
          <w:p w14:paraId="4A5D9808">
            <w:pPr>
              <w:spacing w:line="360" w:lineRule="auto"/>
              <w:rPr>
                <w:rFonts w:hint="eastAsia" w:cs="宋体" w:asciiTheme="majorEastAsia" w:hAnsiTheme="majorEastAsia" w:eastAsiaTheme="majorEastAsia"/>
                <w:b/>
                <w:bCs/>
                <w:color w:val="000000"/>
                <w:kern w:val="0"/>
                <w:sz w:val="24"/>
                <w:szCs w:val="24"/>
                <w:shd w:val="clear" w:color="auto" w:fill="FFFFFF" w:themeFill="background1"/>
                <w:lang w:val="en-US" w:eastAsia="zh-CN"/>
              </w:rPr>
            </w:pPr>
            <w:r>
              <w:rPr>
                <w:rFonts w:hint="eastAsia" w:cs="宋体" w:asciiTheme="majorEastAsia" w:hAnsiTheme="majorEastAsia" w:eastAsiaTheme="majorEastAsia"/>
                <w:b/>
                <w:bCs/>
                <w:color w:val="000000"/>
                <w:kern w:val="0"/>
                <w:sz w:val="24"/>
                <w:szCs w:val="24"/>
                <w:shd w:val="clear" w:color="auto" w:fill="FFFFFF" w:themeFill="background1"/>
                <w:lang w:val="en-US" w:eastAsia="zh-CN"/>
              </w:rPr>
              <w:t>4、面向四季度及明年，公司在客户拓展、新业务领域布局上有哪些规划？</w:t>
            </w:r>
            <w:r>
              <w:rPr>
                <w:rFonts w:hint="eastAsia" w:cs="宋体" w:asciiTheme="majorEastAsia" w:hAnsiTheme="majorEastAsia" w:eastAsiaTheme="majorEastAsia"/>
                <w:b/>
                <w:bCs/>
                <w:color w:val="000000"/>
                <w:kern w:val="0"/>
                <w:sz w:val="24"/>
                <w:szCs w:val="24"/>
                <w:shd w:val="clear" w:color="auto" w:fill="FFFFFF" w:themeFill="background1"/>
                <w:lang w:val="en-US" w:eastAsia="zh-CN"/>
              </w:rPr>
              <w:br w:type="textWrapping"/>
            </w:r>
            <w:r>
              <w:rPr>
                <w:rFonts w:hint="eastAsia" w:cs="宋体" w:asciiTheme="majorEastAsia" w:hAnsiTheme="majorEastAsia" w:eastAsiaTheme="majorEastAsia"/>
                <w:b/>
                <w:bCs/>
                <w:color w:val="000000"/>
                <w:kern w:val="0"/>
                <w:sz w:val="24"/>
                <w:szCs w:val="24"/>
                <w:shd w:val="clear" w:color="auto" w:fill="FFFFFF" w:themeFill="background1"/>
                <w:lang w:val="en-US" w:eastAsia="zh-CN"/>
              </w:rPr>
              <w:t>答:</w:t>
            </w:r>
            <w:r>
              <w:rPr>
                <w:rFonts w:hint="eastAsia" w:cs="宋体" w:asciiTheme="majorEastAsia" w:hAnsiTheme="majorEastAsia" w:eastAsiaTheme="majorEastAsia"/>
                <w:b w:val="0"/>
                <w:bCs w:val="0"/>
                <w:color w:val="000000"/>
                <w:kern w:val="0"/>
                <w:sz w:val="24"/>
                <w:szCs w:val="24"/>
                <w:shd w:val="clear" w:color="auto" w:fill="FFFFFF" w:themeFill="background1"/>
                <w:lang w:val="en-US" w:eastAsia="zh-CN"/>
              </w:rPr>
              <w:t>尊敬的投资者，您好!公司将持续秉持“多客户、多产业、多区域、多工种”的发展战略深耕既有客户，紧紧抓住下游客户在国际市场的投资扩产机会，联合母公司争取国际客户的洁净室与机电工程项目，重点拓展东南亚及其他海外市场，打造“境内半导体产能升级+海外产业链转移”双向接单、双向发力的经营格局。公司将重点积累AI上下游相关产业、半导体全产业链、数据中心、高校产学研基地实验室等领域的客户资源，持续巩固公司在洁净室产业链中的关键角色。持续深化多区域市场布局，在巩固华东、华南已有区域市场优势的基础上，进一步完善国内分支机构建设，以已落地优质工程项目为中心，依托项目口碑以点铺面延伸营销渠道，扩大业务覆盖范围。公司将进一步深化技术运用，强化公司在高端洁净室工程领域的竞争优势，依托技术与项目经验优势不断挖掘行业增量需求，持续提升市场份额。感谢您的关注!</w:t>
            </w:r>
          </w:p>
        </w:tc>
      </w:tr>
      <w:tr w14:paraId="0AC627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trPr>
        <w:tc>
          <w:tcPr>
            <w:tcW w:w="1663" w:type="dxa"/>
            <w:vMerge w:val="restart"/>
            <w:vAlign w:val="center"/>
          </w:tcPr>
          <w:p w14:paraId="2CFC5D78">
            <w:pPr>
              <w:jc w:val="center"/>
              <w:rPr>
                <w:rFonts w:hint="eastAsia" w:asciiTheme="majorEastAsia" w:hAnsiTheme="majorEastAsia" w:eastAsiaTheme="majorEastAsia"/>
                <w:b/>
                <w:sz w:val="24"/>
                <w:szCs w:val="24"/>
              </w:rPr>
            </w:pPr>
          </w:p>
        </w:tc>
        <w:tc>
          <w:tcPr>
            <w:tcW w:w="7268" w:type="dxa"/>
          </w:tcPr>
          <w:p w14:paraId="689A83FB">
            <w:pPr>
              <w:spacing w:line="360" w:lineRule="auto"/>
              <w:rPr>
                <w:rFonts w:hint="eastAsia" w:cs="宋体" w:asciiTheme="majorEastAsia" w:hAnsiTheme="majorEastAsia" w:eastAsiaTheme="majorEastAsia"/>
                <w:b/>
                <w:bCs/>
                <w:color w:val="000000"/>
                <w:kern w:val="0"/>
                <w:sz w:val="24"/>
                <w:szCs w:val="24"/>
                <w:shd w:val="clear" w:color="auto" w:fill="FFFFFF" w:themeFill="background1"/>
                <w:lang w:val="en-US" w:eastAsia="zh-CN"/>
              </w:rPr>
            </w:pPr>
            <w:r>
              <w:rPr>
                <w:rFonts w:hint="eastAsia" w:cs="宋体" w:asciiTheme="majorEastAsia" w:hAnsiTheme="majorEastAsia" w:eastAsiaTheme="majorEastAsia"/>
                <w:b/>
                <w:bCs/>
                <w:color w:val="000000"/>
                <w:kern w:val="0"/>
                <w:sz w:val="24"/>
                <w:szCs w:val="24"/>
                <w:shd w:val="clear" w:color="auto" w:fill="FFFFFF" w:themeFill="background1"/>
                <w:lang w:val="en-US" w:eastAsia="zh-CN"/>
              </w:rPr>
              <w:t>5、洁净室工程原材料、人工成本波动，公司会采取哪些举措维持盈利水平？</w:t>
            </w:r>
            <w:r>
              <w:rPr>
                <w:rFonts w:hint="eastAsia" w:cs="宋体" w:asciiTheme="majorEastAsia" w:hAnsiTheme="majorEastAsia" w:eastAsiaTheme="majorEastAsia"/>
                <w:b/>
                <w:bCs/>
                <w:color w:val="000000"/>
                <w:kern w:val="0"/>
                <w:sz w:val="24"/>
                <w:szCs w:val="24"/>
                <w:shd w:val="clear" w:color="auto" w:fill="FFFFFF" w:themeFill="background1"/>
                <w:lang w:val="en-US" w:eastAsia="zh-CN"/>
              </w:rPr>
              <w:br w:type="textWrapping"/>
            </w:r>
            <w:r>
              <w:rPr>
                <w:rFonts w:hint="eastAsia" w:cs="宋体" w:asciiTheme="majorEastAsia" w:hAnsiTheme="majorEastAsia" w:eastAsiaTheme="majorEastAsia"/>
                <w:b/>
                <w:bCs/>
                <w:color w:val="000000"/>
                <w:kern w:val="0"/>
                <w:sz w:val="24"/>
                <w:szCs w:val="24"/>
                <w:shd w:val="clear" w:color="auto" w:fill="FFFFFF" w:themeFill="background1"/>
                <w:lang w:val="en-US" w:eastAsia="zh-CN"/>
              </w:rPr>
              <w:t>答:</w:t>
            </w:r>
            <w:r>
              <w:rPr>
                <w:rFonts w:hint="eastAsia" w:cs="宋体" w:asciiTheme="majorEastAsia" w:hAnsiTheme="majorEastAsia" w:eastAsiaTheme="majorEastAsia"/>
                <w:b w:val="0"/>
                <w:bCs w:val="0"/>
                <w:color w:val="000000"/>
                <w:kern w:val="0"/>
                <w:sz w:val="24"/>
                <w:szCs w:val="24"/>
                <w:shd w:val="clear" w:color="auto" w:fill="FFFFFF" w:themeFill="background1"/>
                <w:lang w:val="en-US" w:eastAsia="zh-CN"/>
              </w:rPr>
              <w:t>尊敬的投资者，您好！公司通过加强项目评审与成本管控，持续提升整体盈利表现。通过合理规划施工工序、高效配置施工资源、有效提高施工效率等举措，在降低综合成本的同时保障施工周期与施工质量。后续公司也将持续优化成本管控，抓住下游客户投资扩产机遇，稳步维持公司盈利水平。感谢您的关注!</w:t>
            </w:r>
          </w:p>
        </w:tc>
      </w:tr>
      <w:tr w14:paraId="0D7F5B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trPr>
        <w:tc>
          <w:tcPr>
            <w:tcW w:w="1663" w:type="dxa"/>
            <w:vMerge w:val="continue"/>
            <w:vAlign w:val="center"/>
          </w:tcPr>
          <w:p w14:paraId="1D610B3A">
            <w:pPr>
              <w:jc w:val="center"/>
              <w:rPr>
                <w:rFonts w:hint="eastAsia" w:asciiTheme="majorEastAsia" w:hAnsiTheme="majorEastAsia" w:eastAsiaTheme="majorEastAsia"/>
                <w:b/>
                <w:sz w:val="24"/>
                <w:szCs w:val="24"/>
              </w:rPr>
            </w:pPr>
          </w:p>
        </w:tc>
        <w:tc>
          <w:tcPr>
            <w:tcW w:w="7268" w:type="dxa"/>
          </w:tcPr>
          <w:p w14:paraId="2EF87A7A">
            <w:pPr>
              <w:spacing w:line="360" w:lineRule="auto"/>
              <w:rPr>
                <w:rFonts w:hint="eastAsia" w:cs="宋体" w:asciiTheme="majorEastAsia" w:hAnsiTheme="majorEastAsia" w:eastAsiaTheme="majorEastAsia"/>
                <w:b/>
                <w:bCs/>
                <w:color w:val="000000"/>
                <w:kern w:val="0"/>
                <w:sz w:val="24"/>
                <w:szCs w:val="24"/>
                <w:shd w:val="clear" w:color="auto" w:fill="FFFFFF" w:themeFill="background1"/>
                <w:lang w:val="en-US" w:eastAsia="zh-CN"/>
              </w:rPr>
            </w:pPr>
            <w:r>
              <w:rPr>
                <w:rFonts w:hint="eastAsia" w:cs="宋体" w:asciiTheme="majorEastAsia" w:hAnsiTheme="majorEastAsia" w:eastAsiaTheme="majorEastAsia"/>
                <w:b/>
                <w:bCs/>
                <w:color w:val="000000"/>
                <w:kern w:val="0"/>
                <w:sz w:val="24"/>
                <w:szCs w:val="24"/>
                <w:shd w:val="clear" w:color="auto" w:fill="FFFFFF" w:themeFill="background1"/>
                <w:lang w:val="en-US" w:eastAsia="zh-CN"/>
              </w:rPr>
              <w:t>6、东南亚海外项目持续落地，公司如何把控海外项目毛利率与回款风险？</w:t>
            </w:r>
            <w:r>
              <w:rPr>
                <w:rFonts w:hint="eastAsia" w:cs="宋体" w:asciiTheme="majorEastAsia" w:hAnsiTheme="majorEastAsia" w:eastAsiaTheme="majorEastAsia"/>
                <w:b/>
                <w:bCs/>
                <w:color w:val="000000"/>
                <w:kern w:val="0"/>
                <w:sz w:val="24"/>
                <w:szCs w:val="24"/>
                <w:shd w:val="clear" w:color="auto" w:fill="FFFFFF" w:themeFill="background1"/>
                <w:lang w:val="en-US" w:eastAsia="zh-CN"/>
              </w:rPr>
              <w:br w:type="textWrapping"/>
            </w:r>
            <w:r>
              <w:rPr>
                <w:rFonts w:hint="eastAsia" w:cs="宋体" w:asciiTheme="majorEastAsia" w:hAnsiTheme="majorEastAsia" w:eastAsiaTheme="majorEastAsia"/>
                <w:b/>
                <w:bCs/>
                <w:color w:val="000000"/>
                <w:kern w:val="0"/>
                <w:sz w:val="24"/>
                <w:szCs w:val="24"/>
                <w:shd w:val="clear" w:color="auto" w:fill="FFFFFF" w:themeFill="background1"/>
                <w:lang w:val="en-US" w:eastAsia="zh-CN"/>
              </w:rPr>
              <w:t>答:</w:t>
            </w:r>
            <w:r>
              <w:rPr>
                <w:rFonts w:hint="eastAsia" w:cs="宋体" w:asciiTheme="majorEastAsia" w:hAnsiTheme="majorEastAsia" w:eastAsiaTheme="majorEastAsia"/>
                <w:b w:val="0"/>
                <w:bCs w:val="0"/>
                <w:color w:val="000000"/>
                <w:kern w:val="0"/>
                <w:sz w:val="24"/>
                <w:szCs w:val="24"/>
                <w:shd w:val="clear" w:color="auto" w:fill="FFFFFF" w:themeFill="background1"/>
                <w:lang w:val="en-US" w:eastAsia="zh-CN"/>
              </w:rPr>
              <w:t>尊敬的投资者，您好！公司对于海外项目的执行因地制宜，根据各个地域的实际行情、过往运营数据以及内部的精细测算等，规避非必要的成本增量，稳固项目毛利率在合理可控区间。对于应收账款的回收，各个业务单位锚定合同请款节点进行回款管理，建立动态跟踪机制，保障款项按时回收，管控回款风险。后续公司将持续优化海外项目全流程管控机制，兼顾业务拓展与经营质量，保障投资者权益。感谢您的关注！</w:t>
            </w:r>
          </w:p>
        </w:tc>
      </w:tr>
      <w:tr w14:paraId="0E6752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trPr>
        <w:tc>
          <w:tcPr>
            <w:tcW w:w="1663" w:type="dxa"/>
            <w:vMerge w:val="continue"/>
            <w:vAlign w:val="center"/>
          </w:tcPr>
          <w:p w14:paraId="3F05E7F6">
            <w:pPr>
              <w:jc w:val="center"/>
              <w:rPr>
                <w:rFonts w:hint="eastAsia" w:asciiTheme="majorEastAsia" w:hAnsiTheme="majorEastAsia" w:eastAsiaTheme="majorEastAsia"/>
                <w:b/>
                <w:sz w:val="24"/>
                <w:szCs w:val="24"/>
              </w:rPr>
            </w:pPr>
          </w:p>
        </w:tc>
        <w:tc>
          <w:tcPr>
            <w:tcW w:w="7268" w:type="dxa"/>
          </w:tcPr>
          <w:p w14:paraId="60A0A859">
            <w:pPr>
              <w:spacing w:line="360" w:lineRule="auto"/>
              <w:rPr>
                <w:rFonts w:hint="eastAsia" w:cs="宋体" w:asciiTheme="majorEastAsia" w:hAnsiTheme="majorEastAsia" w:eastAsiaTheme="majorEastAsia"/>
                <w:b/>
                <w:bCs/>
                <w:color w:val="000000"/>
                <w:kern w:val="0"/>
                <w:sz w:val="24"/>
                <w:szCs w:val="24"/>
                <w:shd w:val="clear" w:color="auto" w:fill="FFFFFF" w:themeFill="background1"/>
                <w:lang w:val="en-US" w:eastAsia="zh-CN"/>
              </w:rPr>
            </w:pPr>
            <w:r>
              <w:rPr>
                <w:rFonts w:hint="eastAsia" w:cs="宋体" w:asciiTheme="majorEastAsia" w:hAnsiTheme="majorEastAsia" w:eastAsiaTheme="majorEastAsia"/>
                <w:b/>
                <w:bCs/>
                <w:color w:val="000000"/>
                <w:kern w:val="0"/>
                <w:sz w:val="24"/>
                <w:szCs w:val="24"/>
                <w:shd w:val="clear" w:color="auto" w:fill="FFFFFF" w:themeFill="background1"/>
                <w:lang w:val="en-US" w:eastAsia="zh-CN"/>
              </w:rPr>
              <w:t>7、目前，公司海外业务布局如何？收入如何？</w:t>
            </w:r>
            <w:r>
              <w:rPr>
                <w:rFonts w:hint="eastAsia" w:cs="宋体" w:asciiTheme="majorEastAsia" w:hAnsiTheme="majorEastAsia" w:eastAsiaTheme="majorEastAsia"/>
                <w:b/>
                <w:bCs/>
                <w:color w:val="000000"/>
                <w:kern w:val="0"/>
                <w:sz w:val="24"/>
                <w:szCs w:val="24"/>
                <w:shd w:val="clear" w:color="auto" w:fill="FFFFFF" w:themeFill="background1"/>
                <w:lang w:val="en-US" w:eastAsia="zh-CN"/>
              </w:rPr>
              <w:br w:type="textWrapping"/>
            </w:r>
            <w:r>
              <w:rPr>
                <w:rFonts w:hint="eastAsia" w:cs="宋体" w:asciiTheme="majorEastAsia" w:hAnsiTheme="majorEastAsia" w:eastAsiaTheme="majorEastAsia"/>
                <w:b/>
                <w:bCs/>
                <w:color w:val="000000"/>
                <w:kern w:val="0"/>
                <w:sz w:val="24"/>
                <w:szCs w:val="24"/>
                <w:shd w:val="clear" w:color="auto" w:fill="FFFFFF" w:themeFill="background1"/>
                <w:lang w:val="en-US" w:eastAsia="zh-CN"/>
              </w:rPr>
              <w:t>答:</w:t>
            </w:r>
            <w:r>
              <w:rPr>
                <w:rFonts w:hint="eastAsia" w:cs="宋体" w:asciiTheme="majorEastAsia" w:hAnsiTheme="majorEastAsia" w:eastAsiaTheme="majorEastAsia"/>
                <w:b w:val="0"/>
                <w:bCs w:val="0"/>
                <w:color w:val="000000"/>
                <w:kern w:val="0"/>
                <w:sz w:val="24"/>
                <w:szCs w:val="24"/>
                <w:shd w:val="clear" w:color="auto" w:fill="FFFFFF" w:themeFill="background1"/>
                <w:lang w:val="en-US" w:eastAsia="zh-CN"/>
              </w:rPr>
              <w:t>尊敬的投资者，您好!海外布局方面，公司秉持前瞻性战略眼光，早年间便深耕东南亚核心市场，先后在越南、泰国、马来西亚、印度尼西亚等国家设立本地化子公司，搭建起完善的海外服务体系，实现技术、人力、物料的跨区域协同调配。依托属地化团队深度吃透当地政策法规、产业规范与施工环境，针对海外客户建厂投产、产线升级、洁净室维保等需求，提供本土化、定制化的洁净室工程服务，既保障工程合规落地，又实现突发问题就地处置、紧急需求快速响应，助力海外客户抢抓产业机遇、快速释放产能，这也是圣晖集成海外订单持续增长、市场影响力不断提升的核心原因。境外细分至各海外子公司中：越南圣晖凭借其卓越的项目执行能力与优质服务，赢得了众多知名客户的信赖，以SMT组装厂、PCB产业客户为主要服务对象，泰国圣晖客户群主要以AI边缘应用的高阶PCB产业为主，印尼圣晖主要服务传统产业客户，马来西亚圣晖主要面向半导体下游的封测产业客户提供洁净室系统集成服务。年初至2026年半年度，公司实现营业收入10.88亿元，其中境外收入4.56亿元，占比41.93%。感谢您的关注！</w:t>
            </w:r>
          </w:p>
        </w:tc>
      </w:tr>
      <w:tr w14:paraId="7DFB24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trPr>
        <w:tc>
          <w:tcPr>
            <w:tcW w:w="1663" w:type="dxa"/>
            <w:vMerge w:val="continue"/>
            <w:vAlign w:val="center"/>
          </w:tcPr>
          <w:p w14:paraId="05E55724">
            <w:pPr>
              <w:jc w:val="center"/>
              <w:rPr>
                <w:rFonts w:hint="eastAsia" w:asciiTheme="majorEastAsia" w:hAnsiTheme="majorEastAsia" w:eastAsiaTheme="majorEastAsia"/>
                <w:b/>
                <w:sz w:val="24"/>
                <w:szCs w:val="24"/>
              </w:rPr>
            </w:pPr>
          </w:p>
        </w:tc>
        <w:tc>
          <w:tcPr>
            <w:tcW w:w="7268" w:type="dxa"/>
          </w:tcPr>
          <w:p w14:paraId="4A4CC3AA">
            <w:pPr>
              <w:spacing w:line="360" w:lineRule="auto"/>
              <w:rPr>
                <w:rFonts w:hint="eastAsia" w:cs="宋体" w:asciiTheme="majorEastAsia" w:hAnsiTheme="majorEastAsia" w:eastAsiaTheme="majorEastAsia"/>
                <w:b/>
                <w:bCs/>
                <w:color w:val="000000"/>
                <w:kern w:val="0"/>
                <w:sz w:val="24"/>
                <w:szCs w:val="24"/>
                <w:shd w:val="clear" w:color="auto" w:fill="FFFFFF" w:themeFill="background1"/>
                <w:lang w:val="en-US" w:eastAsia="zh-CN"/>
              </w:rPr>
            </w:pPr>
            <w:r>
              <w:rPr>
                <w:rFonts w:hint="eastAsia" w:cs="宋体" w:asciiTheme="majorEastAsia" w:hAnsiTheme="majorEastAsia" w:eastAsiaTheme="majorEastAsia"/>
                <w:b/>
                <w:bCs/>
                <w:color w:val="000000"/>
                <w:kern w:val="0"/>
                <w:sz w:val="24"/>
                <w:szCs w:val="24"/>
                <w:shd w:val="clear" w:color="auto" w:fill="FFFFFF" w:themeFill="background1"/>
                <w:lang w:val="en-US" w:eastAsia="zh-CN"/>
              </w:rPr>
              <w:t>8、公司前三季度业绩变动的原因？</w:t>
            </w:r>
            <w:r>
              <w:rPr>
                <w:rFonts w:hint="eastAsia" w:cs="宋体" w:asciiTheme="majorEastAsia" w:hAnsiTheme="majorEastAsia" w:eastAsiaTheme="majorEastAsia"/>
                <w:b/>
                <w:bCs/>
                <w:color w:val="000000"/>
                <w:kern w:val="0"/>
                <w:sz w:val="24"/>
                <w:szCs w:val="24"/>
                <w:shd w:val="clear" w:color="auto" w:fill="FFFFFF" w:themeFill="background1"/>
                <w:lang w:val="en-US" w:eastAsia="zh-CN"/>
              </w:rPr>
              <w:br w:type="textWrapping"/>
            </w:r>
            <w:r>
              <w:rPr>
                <w:rFonts w:hint="eastAsia" w:cs="宋体" w:asciiTheme="majorEastAsia" w:hAnsiTheme="majorEastAsia" w:eastAsiaTheme="majorEastAsia"/>
                <w:b/>
                <w:bCs/>
                <w:color w:val="000000"/>
                <w:kern w:val="0"/>
                <w:sz w:val="24"/>
                <w:szCs w:val="24"/>
                <w:shd w:val="clear" w:color="auto" w:fill="FFFFFF" w:themeFill="background1"/>
                <w:lang w:val="en-US" w:eastAsia="zh-CN"/>
              </w:rPr>
              <w:t>答:</w:t>
            </w:r>
            <w:r>
              <w:rPr>
                <w:rFonts w:hint="eastAsia" w:cs="宋体" w:asciiTheme="majorEastAsia" w:hAnsiTheme="majorEastAsia" w:eastAsiaTheme="majorEastAsia"/>
                <w:b w:val="0"/>
                <w:bCs w:val="0"/>
                <w:color w:val="000000"/>
                <w:kern w:val="0"/>
                <w:sz w:val="24"/>
                <w:szCs w:val="24"/>
                <w:shd w:val="clear" w:color="auto" w:fill="FFFFFF" w:themeFill="background1"/>
                <w:lang w:val="en-US" w:eastAsia="zh-CN"/>
              </w:rPr>
              <w:t>尊敬的投资者，您好!根据公司披露的2026年第三季度报告，年初至报告期末，公司实现营业收入18.40亿元，同比减少13.05%，归母净利润1.52亿元，同比增加58.61%，利润总额较去年同期增长70.89%，归属于上市公司股东的扣除非经常性损益的净利润增长59.36%，基本每股收益增长58.33%，稀释每股收益增长58.33%，上述业绩变动主要系本期执行的海外项目毛利率较高，以及本期转回的商业承兑汇票坏账准备金额较大所致；其中基本每股收益及稀释每股收益的变动同时也受本期净利润增加的影响。感谢您对公司的关注！</w:t>
            </w:r>
          </w:p>
        </w:tc>
      </w:tr>
      <w:tr w14:paraId="1B7D06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trPr>
        <w:tc>
          <w:tcPr>
            <w:tcW w:w="1663" w:type="dxa"/>
            <w:vMerge w:val="restart"/>
            <w:vAlign w:val="center"/>
          </w:tcPr>
          <w:p w14:paraId="56F602A4">
            <w:pPr>
              <w:jc w:val="center"/>
              <w:rPr>
                <w:rFonts w:hint="eastAsia" w:asciiTheme="majorEastAsia" w:hAnsiTheme="majorEastAsia" w:eastAsiaTheme="majorEastAsia"/>
                <w:b/>
                <w:sz w:val="24"/>
                <w:szCs w:val="24"/>
              </w:rPr>
            </w:pPr>
          </w:p>
        </w:tc>
        <w:tc>
          <w:tcPr>
            <w:tcW w:w="7268" w:type="dxa"/>
          </w:tcPr>
          <w:p w14:paraId="2F1503B6">
            <w:pPr>
              <w:spacing w:line="360" w:lineRule="auto"/>
              <w:rPr>
                <w:rFonts w:hint="eastAsia" w:cs="宋体" w:asciiTheme="majorEastAsia" w:hAnsiTheme="majorEastAsia" w:eastAsiaTheme="majorEastAsia"/>
                <w:b/>
                <w:bCs/>
                <w:color w:val="000000"/>
                <w:kern w:val="0"/>
                <w:sz w:val="24"/>
                <w:szCs w:val="24"/>
                <w:shd w:val="clear" w:color="auto" w:fill="FFFFFF" w:themeFill="background1"/>
                <w:lang w:val="en-US" w:eastAsia="zh-CN"/>
              </w:rPr>
            </w:pPr>
            <w:r>
              <w:rPr>
                <w:rFonts w:hint="eastAsia" w:cs="宋体" w:asciiTheme="majorEastAsia" w:hAnsiTheme="majorEastAsia" w:eastAsiaTheme="majorEastAsia"/>
                <w:b/>
                <w:bCs/>
                <w:color w:val="000000"/>
                <w:kern w:val="0"/>
                <w:sz w:val="24"/>
                <w:szCs w:val="24"/>
                <w:shd w:val="clear" w:color="auto" w:fill="FFFFFF" w:themeFill="background1"/>
                <w:lang w:val="en-US" w:eastAsia="zh-CN"/>
              </w:rPr>
              <w:t>9、公司什么时候发债？</w:t>
            </w:r>
            <w:r>
              <w:rPr>
                <w:rFonts w:hint="eastAsia" w:cs="宋体" w:asciiTheme="majorEastAsia" w:hAnsiTheme="majorEastAsia" w:eastAsiaTheme="majorEastAsia"/>
                <w:b/>
                <w:bCs/>
                <w:color w:val="000000"/>
                <w:kern w:val="0"/>
                <w:sz w:val="24"/>
                <w:szCs w:val="24"/>
                <w:shd w:val="clear" w:color="auto" w:fill="FFFFFF" w:themeFill="background1"/>
                <w:lang w:val="en-US" w:eastAsia="zh-CN"/>
              </w:rPr>
              <w:br w:type="textWrapping"/>
            </w:r>
            <w:r>
              <w:rPr>
                <w:rFonts w:hint="eastAsia" w:cs="宋体" w:asciiTheme="majorEastAsia" w:hAnsiTheme="majorEastAsia" w:eastAsiaTheme="majorEastAsia"/>
                <w:b/>
                <w:bCs/>
                <w:color w:val="000000"/>
                <w:kern w:val="0"/>
                <w:sz w:val="24"/>
                <w:szCs w:val="24"/>
                <w:shd w:val="clear" w:color="auto" w:fill="FFFFFF" w:themeFill="background1"/>
                <w:lang w:val="en-US" w:eastAsia="zh-CN"/>
              </w:rPr>
              <w:t>答:</w:t>
            </w:r>
            <w:r>
              <w:rPr>
                <w:rFonts w:hint="eastAsia" w:cs="宋体" w:asciiTheme="majorEastAsia" w:hAnsiTheme="majorEastAsia" w:eastAsiaTheme="majorEastAsia"/>
                <w:b w:val="0"/>
                <w:bCs w:val="0"/>
                <w:color w:val="000000"/>
                <w:kern w:val="0"/>
                <w:sz w:val="24"/>
                <w:szCs w:val="24"/>
                <w:shd w:val="clear" w:color="auto" w:fill="FFFFFF" w:themeFill="background1"/>
                <w:lang w:val="en-US" w:eastAsia="zh-CN"/>
              </w:rPr>
              <w:t>尊敬的投资者，您好!公司可转债项目已取得中国证监会同意注册的批复，该批复有效期为十二个月。可转债具体发行时间、发行公告等相关信息，公司将根据项目实际进展以及监管规则要求，及时履行信息披露义务，请您以公司后续在指定信息披露媒体发布的公告为准。感谢您的关注!</w:t>
            </w:r>
          </w:p>
        </w:tc>
      </w:tr>
      <w:tr w14:paraId="777DDE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trPr>
        <w:tc>
          <w:tcPr>
            <w:tcW w:w="1663" w:type="dxa"/>
            <w:vMerge w:val="continue"/>
            <w:vAlign w:val="center"/>
          </w:tcPr>
          <w:p w14:paraId="44EFC0D4">
            <w:pPr>
              <w:jc w:val="center"/>
              <w:rPr>
                <w:rFonts w:hint="eastAsia" w:asciiTheme="majorEastAsia" w:hAnsiTheme="majorEastAsia" w:eastAsiaTheme="majorEastAsia"/>
                <w:b/>
                <w:sz w:val="24"/>
                <w:szCs w:val="24"/>
              </w:rPr>
            </w:pPr>
          </w:p>
        </w:tc>
        <w:tc>
          <w:tcPr>
            <w:tcW w:w="7268" w:type="dxa"/>
          </w:tcPr>
          <w:p w14:paraId="38900348">
            <w:pPr>
              <w:numPr>
                <w:ilvl w:val="0"/>
                <w:numId w:val="1"/>
              </w:numPr>
              <w:spacing w:line="360" w:lineRule="auto"/>
              <w:rPr>
                <w:rFonts w:hint="eastAsia" w:asciiTheme="minorEastAsia" w:hAnsiTheme="minorEastAsia" w:eastAsiaTheme="minorEastAsia" w:cstheme="minorEastAsia"/>
                <w:b/>
                <w:bCs/>
                <w:color w:val="000000"/>
                <w:kern w:val="0"/>
                <w:sz w:val="24"/>
                <w:szCs w:val="24"/>
                <w:shd w:val="clear" w:color="auto" w:fill="FFFFFF" w:themeFill="background1"/>
                <w:lang w:val="en-US" w:eastAsia="zh-CN"/>
              </w:rPr>
            </w:pPr>
            <w:r>
              <w:rPr>
                <w:rFonts w:hint="eastAsia" w:asciiTheme="minorEastAsia" w:hAnsiTheme="minorEastAsia" w:eastAsiaTheme="minorEastAsia" w:cstheme="minorEastAsia"/>
                <w:b/>
                <w:bCs/>
                <w:color w:val="000000"/>
                <w:kern w:val="0"/>
                <w:sz w:val="24"/>
                <w:szCs w:val="24"/>
                <w:shd w:val="clear" w:color="auto" w:fill="FFFFFF" w:themeFill="background1"/>
                <w:lang w:val="en-US" w:eastAsia="zh-CN"/>
              </w:rPr>
              <w:t>公司的毛利率修复是否是可持续性的，提升来源是什么？</w:t>
            </w:r>
          </w:p>
          <w:p w14:paraId="1CC32C0A">
            <w:pPr>
              <w:numPr>
                <w:ilvl w:val="0"/>
                <w:numId w:val="0"/>
              </w:numPr>
              <w:spacing w:line="360" w:lineRule="auto"/>
              <w:rPr>
                <w:rFonts w:hint="default" w:cs="宋体" w:asciiTheme="majorEastAsia" w:hAnsiTheme="majorEastAsia" w:eastAsiaTheme="majorEastAsia"/>
                <w:b/>
                <w:bCs/>
                <w:color w:val="000000"/>
                <w:kern w:val="0"/>
                <w:sz w:val="24"/>
                <w:szCs w:val="24"/>
                <w:shd w:val="clear" w:color="auto" w:fill="FFFFFF" w:themeFill="background1"/>
                <w:lang w:val="en-US" w:eastAsia="zh-CN"/>
              </w:rPr>
            </w:pPr>
            <w:r>
              <w:rPr>
                <w:rFonts w:hint="eastAsia" w:cs="宋体" w:asciiTheme="majorEastAsia" w:hAnsiTheme="majorEastAsia" w:eastAsiaTheme="majorEastAsia"/>
                <w:b/>
                <w:bCs/>
                <w:color w:val="000000"/>
                <w:kern w:val="0"/>
                <w:sz w:val="24"/>
                <w:szCs w:val="24"/>
                <w:shd w:val="clear" w:color="auto" w:fill="FFFFFF" w:themeFill="background1"/>
                <w:lang w:val="en-US" w:eastAsia="zh-CN"/>
              </w:rPr>
              <w:t>答：</w:t>
            </w:r>
            <w:r>
              <w:rPr>
                <w:rFonts w:hint="eastAsia" w:cs="宋体" w:asciiTheme="majorEastAsia" w:hAnsiTheme="majorEastAsia" w:eastAsiaTheme="majorEastAsia"/>
                <w:b w:val="0"/>
                <w:bCs w:val="0"/>
                <w:color w:val="000000"/>
                <w:kern w:val="0"/>
                <w:sz w:val="24"/>
                <w:szCs w:val="24"/>
                <w:shd w:val="clear" w:color="auto" w:fill="FFFFFF" w:themeFill="background1"/>
                <w:lang w:val="en-US" w:eastAsia="zh-CN"/>
              </w:rPr>
              <w:t>根据公司披露的2026年第三季度报告，年初至报告期末，公司实现营业毛利率15.41%，同比增加6个百分点，变动主要系本期执行的海外项目毛利率较高，以及本期转回的商业承兑汇票坏账准备金额较大所致。毛利率水平主要受项目类型、规模、项目实施难易程度、项目投标策略、竞标环境、原材料价格波动等多重因素影响，各项目之间毛利率表现有所差异，就行业整体而言，并不存在固定的行业毛利壁垒或明显的行业间差别，通常情况下，市场竞争越激烈的领域或者项目，其毛利率水平相对越低。海外业务方面从长期来看，东南亚市场因竞争环境相对缓和，综合毛利率水平会略高于国内；公司采取“国内外并重，以项目毛利率为优先考虑”的接单策略，并将持续通过精细化管理和区域业务结构优化提升整体盈利水平，综合毛利率水平有望得到修复。</w:t>
            </w:r>
          </w:p>
        </w:tc>
      </w:tr>
      <w:tr w14:paraId="262FD1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trPr>
        <w:tc>
          <w:tcPr>
            <w:tcW w:w="1663" w:type="dxa"/>
            <w:vMerge w:val="continue"/>
            <w:vAlign w:val="center"/>
          </w:tcPr>
          <w:p w14:paraId="0502E0A6">
            <w:pPr>
              <w:jc w:val="center"/>
              <w:rPr>
                <w:rFonts w:hint="eastAsia" w:asciiTheme="majorEastAsia" w:hAnsiTheme="majorEastAsia" w:eastAsiaTheme="majorEastAsia"/>
                <w:b/>
                <w:sz w:val="24"/>
                <w:szCs w:val="24"/>
              </w:rPr>
            </w:pPr>
          </w:p>
        </w:tc>
        <w:tc>
          <w:tcPr>
            <w:tcW w:w="7268" w:type="dxa"/>
          </w:tcPr>
          <w:p w14:paraId="3F823A43">
            <w:pPr>
              <w:spacing w:line="360" w:lineRule="auto"/>
              <w:rPr>
                <w:rFonts w:hint="default" w:cs="宋体" w:asciiTheme="majorEastAsia" w:hAnsiTheme="majorEastAsia" w:eastAsiaTheme="majorEastAsia"/>
                <w:b/>
                <w:bCs/>
                <w:color w:val="000000"/>
                <w:kern w:val="0"/>
                <w:sz w:val="24"/>
                <w:szCs w:val="24"/>
                <w:shd w:val="clear" w:color="auto" w:fill="FFFFFF" w:themeFill="background1"/>
                <w:lang w:val="en-US" w:eastAsia="zh-CN"/>
              </w:rPr>
            </w:pPr>
            <w:r>
              <w:rPr>
                <w:rFonts w:hint="eastAsia" w:cs="宋体" w:asciiTheme="majorEastAsia" w:hAnsiTheme="majorEastAsia" w:eastAsiaTheme="majorEastAsia"/>
                <w:b/>
                <w:bCs/>
                <w:color w:val="000000"/>
                <w:kern w:val="0"/>
                <w:sz w:val="24"/>
                <w:szCs w:val="24"/>
                <w:shd w:val="clear" w:color="auto" w:fill="FFFFFF" w:themeFill="background1"/>
                <w:lang w:val="en-US" w:eastAsia="zh-CN"/>
              </w:rPr>
              <w:t>11、公司2025年度现金分红比例51.76%，2026年中期也有现金分红，随着公司订单放量、垫资需求上升，分红比例会否下调？</w:t>
            </w:r>
          </w:p>
          <w:p w14:paraId="689F6E64">
            <w:pPr>
              <w:spacing w:line="360" w:lineRule="auto"/>
              <w:rPr>
                <w:rFonts w:hint="default" w:cs="宋体" w:asciiTheme="majorEastAsia" w:hAnsiTheme="majorEastAsia" w:eastAsiaTheme="majorEastAsia"/>
                <w:b/>
                <w:bCs/>
                <w:color w:val="000000"/>
                <w:kern w:val="0"/>
                <w:sz w:val="24"/>
                <w:szCs w:val="24"/>
                <w:shd w:val="clear" w:color="auto" w:fill="FFFFFF" w:themeFill="background1"/>
                <w:lang w:val="en-US" w:eastAsia="zh-CN"/>
              </w:rPr>
            </w:pPr>
            <w:r>
              <w:rPr>
                <w:rFonts w:hint="eastAsia" w:cs="宋体" w:asciiTheme="majorEastAsia" w:hAnsiTheme="majorEastAsia" w:eastAsiaTheme="majorEastAsia"/>
                <w:b/>
                <w:bCs/>
                <w:color w:val="000000"/>
                <w:kern w:val="0"/>
                <w:sz w:val="24"/>
                <w:szCs w:val="24"/>
                <w:shd w:val="clear" w:color="auto" w:fill="FFFFFF" w:themeFill="background1"/>
                <w:lang w:val="en-US" w:eastAsia="zh-CN"/>
              </w:rPr>
              <w:t>答：</w:t>
            </w:r>
            <w:r>
              <w:rPr>
                <w:rFonts w:hint="eastAsia" w:cs="宋体" w:asciiTheme="majorEastAsia" w:hAnsiTheme="majorEastAsia" w:eastAsiaTheme="majorEastAsia"/>
                <w:b w:val="0"/>
                <w:bCs w:val="0"/>
                <w:color w:val="000000"/>
                <w:kern w:val="0"/>
                <w:sz w:val="24"/>
                <w:szCs w:val="24"/>
                <w:shd w:val="clear" w:color="auto" w:fill="FFFFFF" w:themeFill="background1"/>
                <w:lang w:val="en-US" w:eastAsia="zh-CN"/>
              </w:rPr>
              <w:t>公司2023-2025年度现金分红比例分别为57.72%、65.56%、51.76%,始终保持在较高水平，体现了公司持续回报股东的意愿。未来如果海外订单加速放量、垫资及营运资金需求明显上升，公司会综合考虑所处行业特点、发展阶段、自身经营模式、盈利水平、债务偿还能力以及是否有重大资金支出安排和投资者回报等因素制定相应的利润分配方案。</w:t>
            </w:r>
          </w:p>
        </w:tc>
      </w:tr>
      <w:tr w14:paraId="56A16E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trPr>
        <w:tc>
          <w:tcPr>
            <w:tcW w:w="1663" w:type="dxa"/>
            <w:vMerge w:val="continue"/>
            <w:vAlign w:val="center"/>
          </w:tcPr>
          <w:p w14:paraId="7042C795">
            <w:pPr>
              <w:jc w:val="center"/>
              <w:rPr>
                <w:rFonts w:hint="eastAsia" w:asciiTheme="majorEastAsia" w:hAnsiTheme="majorEastAsia" w:eastAsiaTheme="majorEastAsia"/>
                <w:b/>
                <w:sz w:val="24"/>
                <w:szCs w:val="24"/>
              </w:rPr>
            </w:pPr>
          </w:p>
        </w:tc>
        <w:tc>
          <w:tcPr>
            <w:tcW w:w="7268" w:type="dxa"/>
          </w:tcPr>
          <w:p w14:paraId="4B2A709C">
            <w:pPr>
              <w:spacing w:line="360" w:lineRule="auto"/>
              <w:rPr>
                <w:rFonts w:hint="eastAsia" w:cs="宋体" w:asciiTheme="majorEastAsia" w:hAnsiTheme="majorEastAsia" w:eastAsiaTheme="majorEastAsia"/>
                <w:b/>
                <w:bCs/>
                <w:color w:val="000000"/>
                <w:kern w:val="0"/>
                <w:sz w:val="24"/>
                <w:szCs w:val="24"/>
                <w:shd w:val="clear" w:color="auto" w:fill="FFFFFF" w:themeFill="background1"/>
                <w:lang w:val="en-US" w:eastAsia="zh-CN"/>
              </w:rPr>
            </w:pPr>
            <w:r>
              <w:rPr>
                <w:rFonts w:hint="eastAsia" w:cs="宋体" w:asciiTheme="majorEastAsia" w:hAnsiTheme="majorEastAsia" w:eastAsiaTheme="majorEastAsia"/>
                <w:b/>
                <w:bCs/>
                <w:color w:val="000000"/>
                <w:kern w:val="0"/>
                <w:sz w:val="24"/>
                <w:szCs w:val="24"/>
                <w:shd w:val="clear" w:color="auto" w:fill="FFFFFF" w:themeFill="background1"/>
                <w:lang w:val="en-US" w:eastAsia="zh-CN"/>
              </w:rPr>
              <w:t>12、海外项目执行时，国内派过去的工程人员和当地招聘的团队如何分工配合？怎么确保施工的交付周期？海外项目的实施跟国内项目相比，有哪些难点？</w:t>
            </w:r>
          </w:p>
          <w:p w14:paraId="428C1B47">
            <w:pPr>
              <w:spacing w:line="360" w:lineRule="auto"/>
              <w:rPr>
                <w:rFonts w:hint="default" w:cs="宋体" w:asciiTheme="majorEastAsia" w:hAnsiTheme="majorEastAsia" w:eastAsiaTheme="majorEastAsia"/>
                <w:b w:val="0"/>
                <w:bCs w:val="0"/>
                <w:color w:val="000000"/>
                <w:kern w:val="0"/>
                <w:sz w:val="24"/>
                <w:szCs w:val="24"/>
                <w:shd w:val="clear" w:color="auto" w:fill="FFFFFF" w:themeFill="background1"/>
                <w:lang w:val="en-US" w:eastAsia="zh-CN"/>
              </w:rPr>
            </w:pPr>
            <w:r>
              <w:rPr>
                <w:rFonts w:hint="eastAsia" w:cs="宋体" w:asciiTheme="majorEastAsia" w:hAnsiTheme="majorEastAsia" w:eastAsiaTheme="majorEastAsia"/>
                <w:b/>
                <w:bCs/>
                <w:color w:val="000000"/>
                <w:kern w:val="0"/>
                <w:sz w:val="24"/>
                <w:szCs w:val="24"/>
                <w:shd w:val="clear" w:color="auto" w:fill="FFFFFF" w:themeFill="background1"/>
                <w:lang w:val="en-US" w:eastAsia="zh-CN"/>
              </w:rPr>
              <w:t>答：</w:t>
            </w:r>
            <w:r>
              <w:rPr>
                <w:rFonts w:hint="default" w:cs="宋体" w:asciiTheme="majorEastAsia" w:hAnsiTheme="majorEastAsia" w:eastAsiaTheme="majorEastAsia"/>
                <w:b w:val="0"/>
                <w:bCs w:val="0"/>
                <w:color w:val="000000"/>
                <w:kern w:val="0"/>
                <w:sz w:val="24"/>
                <w:szCs w:val="24"/>
                <w:shd w:val="clear" w:color="auto" w:fill="FFFFFF" w:themeFill="background1"/>
                <w:lang w:val="en-US" w:eastAsia="zh-CN"/>
              </w:rPr>
              <w:t>公司以超前战略眼光布局东南亚市场，构建起同业领先的跨国经营体系。首阶段成立越南子公司</w:t>
            </w:r>
            <w:r>
              <w:rPr>
                <w:rFonts w:hint="eastAsia" w:cs="宋体" w:asciiTheme="majorEastAsia" w:hAnsiTheme="majorEastAsia" w:eastAsiaTheme="majorEastAsia"/>
                <w:b w:val="0"/>
                <w:bCs w:val="0"/>
                <w:color w:val="000000"/>
                <w:kern w:val="0"/>
                <w:sz w:val="24"/>
                <w:szCs w:val="24"/>
                <w:shd w:val="clear" w:color="auto" w:fill="FFFFFF" w:themeFill="background1"/>
                <w:lang w:val="en-US" w:eastAsia="zh-CN"/>
              </w:rPr>
              <w:t>（2007年）</w:t>
            </w:r>
            <w:r>
              <w:rPr>
                <w:rFonts w:hint="default" w:cs="宋体" w:asciiTheme="majorEastAsia" w:hAnsiTheme="majorEastAsia" w:eastAsiaTheme="majorEastAsia"/>
                <w:b w:val="0"/>
                <w:bCs w:val="0"/>
                <w:color w:val="000000"/>
                <w:kern w:val="0"/>
                <w:sz w:val="24"/>
                <w:szCs w:val="24"/>
                <w:shd w:val="clear" w:color="auto" w:fill="FFFFFF" w:themeFill="background1"/>
                <w:lang w:val="en-US" w:eastAsia="zh-CN"/>
              </w:rPr>
              <w:t>，完成区域桥头堡建设；第二阶段通过马来西亚（2011年）、印尼子公司（2013年），实现多点布局；第三阶段深化区域网络，成立泰国子公司（2019年），形成覆盖东盟主要经济体的战略支点。依托苏州总部二十余年沉淀的工程管理经验体系，通过“标准化输出+本土化改造”双轨机制，实现三大核心优势：其一，构建跨国产能协同网络，移植“中国智造”经验并适配当地产业政策、劳工法规及海关税务体系；其二，培育属地化人才梯队，配备多语言服务团队深度融入当地商业文化，实现项目全周期无障碍沟通；其三，建立风险预控机制，通过实施国内采购与本土供应链建设的双轨策略，有效规避贸易壁垒，确保项目交付周期。</w:t>
            </w:r>
            <w:r>
              <w:rPr>
                <w:rFonts w:hint="eastAsia" w:cs="宋体" w:asciiTheme="majorEastAsia" w:hAnsiTheme="majorEastAsia" w:eastAsiaTheme="majorEastAsia"/>
                <w:b w:val="0"/>
                <w:bCs w:val="0"/>
                <w:color w:val="000000"/>
                <w:kern w:val="0"/>
                <w:sz w:val="24"/>
                <w:szCs w:val="24"/>
                <w:shd w:val="clear" w:color="auto" w:fill="FFFFFF" w:themeFill="background1"/>
                <w:lang w:val="en-US" w:eastAsia="zh-CN"/>
              </w:rPr>
              <w:t>公司现有经营</w:t>
            </w:r>
            <w:r>
              <w:rPr>
                <w:rFonts w:hint="default" w:cs="宋体" w:asciiTheme="majorEastAsia" w:hAnsiTheme="majorEastAsia" w:eastAsiaTheme="majorEastAsia"/>
                <w:b w:val="0"/>
                <w:bCs w:val="0"/>
                <w:color w:val="000000"/>
                <w:kern w:val="0"/>
                <w:sz w:val="24"/>
                <w:szCs w:val="24"/>
                <w:shd w:val="clear" w:color="auto" w:fill="FFFFFF" w:themeFill="background1"/>
                <w:lang w:val="en-US" w:eastAsia="zh-CN"/>
              </w:rPr>
              <w:t>团队兼具境内外工程合规与落地经验，快速适配不同区域标准，实现海内外项目同步高效推进</w:t>
            </w:r>
            <w:r>
              <w:rPr>
                <w:rFonts w:hint="eastAsia" w:cs="宋体" w:asciiTheme="majorEastAsia" w:hAnsiTheme="majorEastAsia" w:eastAsiaTheme="majorEastAsia"/>
                <w:b w:val="0"/>
                <w:bCs w:val="0"/>
                <w:color w:val="000000"/>
                <w:kern w:val="0"/>
                <w:sz w:val="24"/>
                <w:szCs w:val="24"/>
                <w:shd w:val="clear" w:color="auto" w:fill="FFFFFF" w:themeFill="background1"/>
                <w:lang w:val="en-US" w:eastAsia="zh-CN"/>
              </w:rPr>
              <w:t>。海外项目执行的难度并非技术本身，不同国家、区域的合规准入资质要求、劳工政策、供应链资源建置等因素将影响项目启动时点和执行节奏，是海外拓展中需要克服的难点。</w:t>
            </w:r>
          </w:p>
        </w:tc>
      </w:tr>
      <w:tr w14:paraId="45975B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trPr>
        <w:tc>
          <w:tcPr>
            <w:tcW w:w="1663" w:type="dxa"/>
            <w:vMerge w:val="restart"/>
            <w:vAlign w:val="center"/>
          </w:tcPr>
          <w:p w14:paraId="76DDC2D6">
            <w:pPr>
              <w:jc w:val="center"/>
              <w:rPr>
                <w:rFonts w:hint="eastAsia" w:asciiTheme="majorEastAsia" w:hAnsiTheme="majorEastAsia" w:eastAsiaTheme="majorEastAsia"/>
                <w:b/>
                <w:sz w:val="24"/>
                <w:szCs w:val="24"/>
              </w:rPr>
            </w:pPr>
          </w:p>
        </w:tc>
        <w:tc>
          <w:tcPr>
            <w:tcW w:w="7268" w:type="dxa"/>
          </w:tcPr>
          <w:p w14:paraId="3246AB32">
            <w:pPr>
              <w:spacing w:line="360" w:lineRule="auto"/>
              <w:rPr>
                <w:rFonts w:hint="default" w:cs="宋体" w:asciiTheme="majorEastAsia" w:hAnsiTheme="majorEastAsia" w:eastAsiaTheme="majorEastAsia"/>
                <w:b/>
                <w:bCs/>
                <w:color w:val="000000"/>
                <w:kern w:val="0"/>
                <w:sz w:val="24"/>
                <w:szCs w:val="24"/>
                <w:shd w:val="clear" w:color="auto" w:fill="FFFFFF" w:themeFill="background1"/>
                <w:lang w:val="en-US" w:eastAsia="zh-CN"/>
              </w:rPr>
            </w:pPr>
            <w:r>
              <w:rPr>
                <w:rFonts w:hint="eastAsia" w:cs="宋体" w:asciiTheme="majorEastAsia" w:hAnsiTheme="majorEastAsia" w:eastAsiaTheme="majorEastAsia"/>
                <w:b/>
                <w:bCs/>
                <w:color w:val="000000"/>
                <w:kern w:val="0"/>
                <w:sz w:val="24"/>
                <w:szCs w:val="24"/>
                <w:shd w:val="clear" w:color="auto" w:fill="FFFFFF" w:themeFill="background1"/>
                <w:lang w:val="en-US" w:eastAsia="zh-CN"/>
              </w:rPr>
              <w:t>13、公司目前现有人力情况，全年的人力增长预期</w:t>
            </w:r>
          </w:p>
          <w:p w14:paraId="2E93135C">
            <w:pPr>
              <w:spacing w:line="360" w:lineRule="auto"/>
              <w:rPr>
                <w:rFonts w:hint="eastAsia" w:cs="宋体" w:asciiTheme="majorEastAsia" w:hAnsiTheme="majorEastAsia" w:eastAsiaTheme="majorEastAsia"/>
                <w:b/>
                <w:bCs/>
                <w:color w:val="000000"/>
                <w:kern w:val="0"/>
                <w:sz w:val="24"/>
                <w:szCs w:val="24"/>
                <w:shd w:val="clear" w:color="auto" w:fill="FFFFFF" w:themeFill="background1"/>
                <w:lang w:val="en-US" w:eastAsia="zh-CN"/>
              </w:rPr>
            </w:pPr>
            <w:r>
              <w:rPr>
                <w:rFonts w:hint="eastAsia" w:cs="宋体" w:asciiTheme="majorEastAsia" w:hAnsiTheme="majorEastAsia" w:eastAsiaTheme="majorEastAsia"/>
                <w:b/>
                <w:bCs/>
                <w:color w:val="000000"/>
                <w:kern w:val="0"/>
                <w:sz w:val="24"/>
                <w:szCs w:val="24"/>
                <w:shd w:val="clear" w:color="auto" w:fill="FFFFFF" w:themeFill="background1"/>
                <w:lang w:val="en-US" w:eastAsia="zh-CN"/>
              </w:rPr>
              <w:t xml:space="preserve">答: </w:t>
            </w:r>
            <w:r>
              <w:rPr>
                <w:rFonts w:hint="eastAsia" w:cs="宋体" w:asciiTheme="majorEastAsia" w:hAnsiTheme="majorEastAsia" w:eastAsiaTheme="majorEastAsia"/>
                <w:b w:val="0"/>
                <w:bCs w:val="0"/>
                <w:color w:val="000000"/>
                <w:kern w:val="0"/>
                <w:sz w:val="24"/>
                <w:szCs w:val="24"/>
                <w:shd w:val="clear" w:color="auto" w:fill="FFFFFF" w:themeFill="background1"/>
                <w:lang w:val="en-US" w:eastAsia="zh-CN"/>
              </w:rPr>
              <w:t>截至2026年半年度，公司拥有员工总数838人(其中工程技术人员716人，占比85.44%），较2025年底增加9.97%。第三季度公司持续在进行工程技术人员的招聘，预计今年整体较去年同期将维持15%-20%左右的增幅进行人员扩充，扩充计划也会随公司业务进展状况进行调整，以适配项目人力所需。</w:t>
            </w:r>
          </w:p>
        </w:tc>
      </w:tr>
      <w:tr w14:paraId="76AA31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trPr>
        <w:tc>
          <w:tcPr>
            <w:tcW w:w="1663" w:type="dxa"/>
            <w:vMerge w:val="continue"/>
            <w:vAlign w:val="center"/>
          </w:tcPr>
          <w:p w14:paraId="693DAEDC">
            <w:pPr>
              <w:jc w:val="center"/>
              <w:rPr>
                <w:rFonts w:hint="eastAsia" w:asciiTheme="majorEastAsia" w:hAnsiTheme="majorEastAsia" w:eastAsiaTheme="majorEastAsia"/>
                <w:b/>
                <w:sz w:val="24"/>
                <w:szCs w:val="24"/>
              </w:rPr>
            </w:pPr>
          </w:p>
        </w:tc>
        <w:tc>
          <w:tcPr>
            <w:tcW w:w="7268" w:type="dxa"/>
          </w:tcPr>
          <w:p w14:paraId="51CF104C">
            <w:pPr>
              <w:spacing w:line="360" w:lineRule="auto"/>
              <w:rPr>
                <w:rFonts w:hint="eastAsia" w:cs="宋体" w:asciiTheme="majorEastAsia" w:hAnsiTheme="majorEastAsia" w:eastAsiaTheme="majorEastAsia"/>
                <w:b/>
                <w:bCs/>
                <w:color w:val="000000"/>
                <w:kern w:val="0"/>
                <w:sz w:val="24"/>
                <w:szCs w:val="24"/>
                <w:shd w:val="clear" w:color="auto" w:fill="FFFFFF" w:themeFill="background1"/>
                <w:lang w:val="en-US" w:eastAsia="zh-CN"/>
              </w:rPr>
            </w:pPr>
            <w:r>
              <w:rPr>
                <w:rFonts w:hint="eastAsia" w:cs="宋体" w:asciiTheme="majorEastAsia" w:hAnsiTheme="majorEastAsia" w:eastAsiaTheme="majorEastAsia"/>
                <w:b/>
                <w:bCs/>
                <w:color w:val="000000"/>
                <w:kern w:val="0"/>
                <w:sz w:val="24"/>
                <w:szCs w:val="24"/>
                <w:shd w:val="clear" w:color="auto" w:fill="FFFFFF" w:themeFill="background1"/>
                <w:lang w:val="en-US" w:eastAsia="zh-CN"/>
              </w:rPr>
              <w:t xml:space="preserve">问题14、公司预计安排赴美人员的数量、签证办理及业务进展情况 </w:t>
            </w:r>
          </w:p>
          <w:p w14:paraId="32D1B22C">
            <w:pPr>
              <w:spacing w:line="360" w:lineRule="auto"/>
              <w:rPr>
                <w:rFonts w:hint="eastAsia" w:cs="宋体" w:asciiTheme="majorEastAsia" w:hAnsiTheme="majorEastAsia" w:eastAsiaTheme="majorEastAsia"/>
                <w:b/>
                <w:bCs/>
                <w:color w:val="000000"/>
                <w:kern w:val="0"/>
                <w:sz w:val="24"/>
                <w:szCs w:val="24"/>
                <w:shd w:val="clear" w:color="auto" w:fill="FFFFFF" w:themeFill="background1"/>
                <w:lang w:val="en-US" w:eastAsia="zh-CN"/>
              </w:rPr>
            </w:pPr>
            <w:r>
              <w:rPr>
                <w:rFonts w:hint="eastAsia" w:cs="宋体" w:asciiTheme="majorEastAsia" w:hAnsiTheme="majorEastAsia" w:eastAsiaTheme="majorEastAsia"/>
                <w:b/>
                <w:bCs/>
                <w:color w:val="000000"/>
                <w:kern w:val="0"/>
                <w:sz w:val="24"/>
                <w:szCs w:val="24"/>
                <w:shd w:val="clear" w:color="auto" w:fill="FFFFFF" w:themeFill="background1"/>
                <w:lang w:val="en-US" w:eastAsia="zh-CN"/>
              </w:rPr>
              <w:t>答：</w:t>
            </w:r>
            <w:r>
              <w:rPr>
                <w:rFonts w:hint="eastAsia" w:cs="宋体" w:asciiTheme="majorEastAsia" w:hAnsiTheme="majorEastAsia" w:eastAsiaTheme="majorEastAsia"/>
                <w:b w:val="0"/>
                <w:bCs w:val="0"/>
                <w:color w:val="000000"/>
                <w:kern w:val="0"/>
                <w:sz w:val="24"/>
                <w:szCs w:val="24"/>
                <w:shd w:val="clear" w:color="auto" w:fill="FFFFFF" w:themeFill="background1"/>
                <w:lang w:val="en-US" w:eastAsia="zh-CN"/>
              </w:rPr>
              <w:t>签证目前持续送件，同仁陆续通过中，公司将持续关注办理进展。预计人员数量会配合集团的实际需求进行调度、调整。台湾圣晖美国子公司目前主要在做前期的设计规划与商务的洽谈准备、供应链的搭建、本土化人才的招聘、熟悉当地的法律法规及产业政策等等。北美等海外市场业务的开展存在诸多不确定因素，若有后续进展，公司将及时履行信息披露义务。</w:t>
            </w:r>
          </w:p>
        </w:tc>
      </w:tr>
      <w:tr w14:paraId="6BB60A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trPr>
        <w:tc>
          <w:tcPr>
            <w:tcW w:w="1663" w:type="dxa"/>
            <w:vAlign w:val="center"/>
          </w:tcPr>
          <w:p w14:paraId="12E5016D">
            <w:pPr>
              <w:jc w:val="center"/>
              <w:rPr>
                <w:rFonts w:hint="eastAsia" w:asciiTheme="majorEastAsia" w:hAnsiTheme="majorEastAsia" w:eastAsiaTheme="majorEastAsia"/>
                <w:b/>
                <w:sz w:val="24"/>
                <w:szCs w:val="24"/>
              </w:rPr>
            </w:pPr>
            <w:r>
              <w:rPr>
                <w:rFonts w:hint="eastAsia" w:asciiTheme="majorEastAsia" w:hAnsiTheme="majorEastAsia" w:eastAsiaTheme="majorEastAsia"/>
                <w:b/>
                <w:sz w:val="24"/>
                <w:szCs w:val="24"/>
              </w:rPr>
              <w:t>日期</w:t>
            </w:r>
          </w:p>
        </w:tc>
        <w:tc>
          <w:tcPr>
            <w:tcW w:w="7268" w:type="dxa"/>
          </w:tcPr>
          <w:p w14:paraId="76746E3D">
            <w:pPr>
              <w:spacing w:line="480" w:lineRule="auto"/>
              <w:jc w:val="left"/>
              <w:rPr>
                <w:rFonts w:hint="eastAsia" w:cs="宋体" w:asciiTheme="majorEastAsia" w:hAnsiTheme="majorEastAsia" w:eastAsiaTheme="majorEastAsia"/>
                <w:bCs/>
                <w:color w:val="000000"/>
                <w:kern w:val="0"/>
                <w:sz w:val="24"/>
                <w:szCs w:val="24"/>
              </w:rPr>
            </w:pPr>
            <w:r>
              <w:rPr>
                <w:rFonts w:hint="eastAsia" w:cs="宋体" w:asciiTheme="majorEastAsia" w:hAnsiTheme="majorEastAsia" w:eastAsiaTheme="majorEastAsia"/>
                <w:bCs/>
                <w:color w:val="000000"/>
                <w:kern w:val="0"/>
                <w:sz w:val="24"/>
                <w:szCs w:val="24"/>
              </w:rPr>
              <w:t>2</w:t>
            </w:r>
            <w:r>
              <w:rPr>
                <w:rFonts w:cs="宋体" w:asciiTheme="majorEastAsia" w:hAnsiTheme="majorEastAsia" w:eastAsiaTheme="majorEastAsia"/>
                <w:bCs/>
                <w:color w:val="000000"/>
                <w:kern w:val="0"/>
                <w:sz w:val="24"/>
                <w:szCs w:val="24"/>
              </w:rPr>
              <w:t>026</w:t>
            </w:r>
            <w:r>
              <w:rPr>
                <w:rFonts w:hint="eastAsia" w:cs="宋体" w:asciiTheme="majorEastAsia" w:hAnsiTheme="majorEastAsia" w:eastAsiaTheme="majorEastAsia"/>
                <w:bCs/>
                <w:color w:val="000000"/>
                <w:kern w:val="0"/>
                <w:sz w:val="24"/>
                <w:szCs w:val="24"/>
              </w:rPr>
              <w:t>年</w:t>
            </w:r>
            <w:r>
              <w:rPr>
                <w:rFonts w:hint="eastAsia" w:cs="宋体" w:asciiTheme="majorEastAsia" w:hAnsiTheme="majorEastAsia" w:eastAsiaTheme="majorEastAsia"/>
                <w:bCs/>
                <w:color w:val="000000"/>
                <w:kern w:val="0"/>
                <w:sz w:val="24"/>
                <w:szCs w:val="24"/>
                <w:lang w:val="en-US" w:eastAsia="zh-CN"/>
              </w:rPr>
              <w:t>10</w:t>
            </w:r>
            <w:r>
              <w:rPr>
                <w:rFonts w:hint="eastAsia" w:cs="宋体" w:asciiTheme="majorEastAsia" w:hAnsiTheme="majorEastAsia" w:eastAsiaTheme="majorEastAsia"/>
                <w:bCs/>
                <w:color w:val="000000"/>
                <w:kern w:val="0"/>
                <w:sz w:val="24"/>
                <w:szCs w:val="24"/>
              </w:rPr>
              <w:t>月汇总</w:t>
            </w:r>
          </w:p>
        </w:tc>
      </w:tr>
    </w:tbl>
    <w:p w14:paraId="6F861744"/>
    <w:p w14:paraId="3570139C">
      <w:pPr>
        <w:widowControl/>
        <w:jc w:val="left"/>
      </w:pPr>
      <w:r>
        <w:br w:type="page"/>
      </w:r>
    </w:p>
    <w:p w14:paraId="3B52596C">
      <w:pPr>
        <w:widowControl/>
        <w:rPr>
          <w:b/>
        </w:rPr>
      </w:pPr>
      <w:r>
        <w:rPr>
          <w:rFonts w:hint="eastAsia"/>
          <w:b/>
          <w:sz w:val="28"/>
        </w:rPr>
        <w:t>附件清单：参会人员名单</w:t>
      </w:r>
    </w:p>
    <w:tbl>
      <w:tblPr>
        <w:tblStyle w:val="7"/>
        <w:tblW w:w="95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2693"/>
        <w:gridCol w:w="6109"/>
      </w:tblGrid>
      <w:tr w14:paraId="5A31D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04" w:type="dxa"/>
            <w:noWrap/>
            <w:vAlign w:val="bottom"/>
          </w:tcPr>
          <w:p w14:paraId="613D5F7F">
            <w:pPr>
              <w:widowControl/>
              <w:jc w:val="center"/>
              <w:rPr>
                <w:rFonts w:hint="eastAsia" w:cs="Arial" w:asciiTheme="majorEastAsia" w:hAnsiTheme="majorEastAsia" w:eastAsiaTheme="majorEastAsia"/>
                <w:b/>
                <w:bCs/>
                <w:kern w:val="0"/>
                <w:szCs w:val="21"/>
              </w:rPr>
            </w:pPr>
            <w:r>
              <w:rPr>
                <w:rFonts w:hint="eastAsia" w:cs="Arial" w:asciiTheme="majorEastAsia" w:hAnsiTheme="majorEastAsia" w:eastAsiaTheme="majorEastAsia"/>
                <w:b/>
                <w:bCs/>
                <w:kern w:val="0"/>
                <w:szCs w:val="21"/>
              </w:rPr>
              <w:t>序号</w:t>
            </w:r>
          </w:p>
        </w:tc>
        <w:tc>
          <w:tcPr>
            <w:tcW w:w="2693" w:type="dxa"/>
            <w:noWrap/>
            <w:vAlign w:val="bottom"/>
          </w:tcPr>
          <w:p w14:paraId="0A856E1F">
            <w:pPr>
              <w:widowControl/>
              <w:jc w:val="center"/>
              <w:rPr>
                <w:rFonts w:hint="eastAsia" w:cs="Arial" w:asciiTheme="majorEastAsia" w:hAnsiTheme="majorEastAsia" w:eastAsiaTheme="majorEastAsia"/>
                <w:b/>
                <w:bCs/>
                <w:kern w:val="0"/>
                <w:szCs w:val="21"/>
              </w:rPr>
            </w:pPr>
            <w:r>
              <w:rPr>
                <w:rFonts w:hint="eastAsia" w:cs="Arial" w:asciiTheme="majorEastAsia" w:hAnsiTheme="majorEastAsia" w:eastAsiaTheme="majorEastAsia"/>
                <w:b/>
                <w:bCs/>
                <w:kern w:val="0"/>
                <w:szCs w:val="21"/>
              </w:rPr>
              <w:t>姓名</w:t>
            </w:r>
          </w:p>
        </w:tc>
        <w:tc>
          <w:tcPr>
            <w:tcW w:w="6109" w:type="dxa"/>
            <w:noWrap/>
            <w:vAlign w:val="bottom"/>
          </w:tcPr>
          <w:p w14:paraId="3BDE4CB7">
            <w:pPr>
              <w:widowControl/>
              <w:jc w:val="center"/>
              <w:rPr>
                <w:rFonts w:hint="eastAsia" w:cs="Arial" w:asciiTheme="majorEastAsia" w:hAnsiTheme="majorEastAsia" w:eastAsiaTheme="majorEastAsia"/>
                <w:b/>
                <w:bCs/>
                <w:kern w:val="0"/>
                <w:szCs w:val="21"/>
              </w:rPr>
            </w:pPr>
            <w:r>
              <w:rPr>
                <w:rFonts w:hint="eastAsia" w:cs="Arial" w:asciiTheme="majorEastAsia" w:hAnsiTheme="majorEastAsia" w:eastAsiaTheme="majorEastAsia"/>
                <w:b/>
                <w:bCs/>
                <w:kern w:val="0"/>
                <w:szCs w:val="21"/>
              </w:rPr>
              <w:t>机构名单</w:t>
            </w:r>
          </w:p>
        </w:tc>
      </w:tr>
      <w:tr w14:paraId="251B6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04" w:type="dxa"/>
            <w:noWrap/>
            <w:vAlign w:val="center"/>
          </w:tcPr>
          <w:p w14:paraId="2D830489">
            <w:pPr>
              <w:pStyle w:val="20"/>
              <w:widowControl/>
              <w:numPr>
                <w:ilvl w:val="0"/>
                <w:numId w:val="2"/>
              </w:numPr>
              <w:ind w:firstLineChars="0"/>
              <w:jc w:val="center"/>
              <w:rPr>
                <w:rFonts w:hint="eastAsia" w:cs="Arial" w:asciiTheme="majorEastAsia" w:hAnsiTheme="majorEastAsia" w:eastAsiaTheme="majorEastAsia"/>
                <w:kern w:val="0"/>
                <w:sz w:val="21"/>
                <w:szCs w:val="21"/>
              </w:rPr>
            </w:pPr>
          </w:p>
        </w:tc>
        <w:tc>
          <w:tcPr>
            <w:tcW w:w="2693" w:type="dxa"/>
            <w:noWrap/>
            <w:vAlign w:val="center"/>
          </w:tcPr>
          <w:p w14:paraId="1651B8FD">
            <w:pPr>
              <w:adjustRightInd w:val="0"/>
              <w:snapToGrid w:val="0"/>
              <w:spacing w:before="156" w:beforeLines="50" w:after="156" w:afterLines="50"/>
              <w:jc w:val="center"/>
              <w:rPr>
                <w:rFonts w:hint="eastAsia" w:asciiTheme="majorEastAsia" w:hAnsiTheme="majorEastAsia" w:eastAsiaTheme="majorEastAsia"/>
                <w:sz w:val="21"/>
                <w:szCs w:val="21"/>
              </w:rPr>
            </w:pPr>
            <w:r>
              <w:rPr>
                <w:rFonts w:hint="eastAsia"/>
                <w:sz w:val="21"/>
                <w:szCs w:val="21"/>
              </w:rPr>
              <w:t>陈怡洁</w:t>
            </w:r>
          </w:p>
        </w:tc>
        <w:tc>
          <w:tcPr>
            <w:tcW w:w="6109" w:type="dxa"/>
            <w:noWrap/>
            <w:vAlign w:val="center"/>
          </w:tcPr>
          <w:p w14:paraId="583284BF">
            <w:pPr>
              <w:adjustRightInd w:val="0"/>
              <w:snapToGrid w:val="0"/>
              <w:spacing w:before="156" w:beforeLines="50" w:after="156" w:afterLines="50"/>
              <w:jc w:val="center"/>
              <w:rPr>
                <w:rFonts w:hint="eastAsia" w:asciiTheme="majorEastAsia" w:hAnsiTheme="majorEastAsia" w:eastAsiaTheme="majorEastAsia"/>
                <w:sz w:val="21"/>
                <w:szCs w:val="21"/>
              </w:rPr>
            </w:pPr>
            <w:r>
              <w:rPr>
                <w:rFonts w:hint="eastAsia"/>
                <w:sz w:val="21"/>
                <w:szCs w:val="21"/>
              </w:rPr>
              <w:t>广发证券</w:t>
            </w:r>
          </w:p>
        </w:tc>
      </w:tr>
      <w:tr w14:paraId="38E08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04" w:type="dxa"/>
            <w:noWrap/>
            <w:vAlign w:val="bottom"/>
          </w:tcPr>
          <w:p w14:paraId="5141501B">
            <w:pPr>
              <w:pStyle w:val="20"/>
              <w:widowControl/>
              <w:numPr>
                <w:ilvl w:val="0"/>
                <w:numId w:val="2"/>
              </w:numPr>
              <w:ind w:firstLineChars="0"/>
              <w:jc w:val="center"/>
              <w:rPr>
                <w:rFonts w:hint="eastAsia" w:cs="Arial" w:asciiTheme="majorEastAsia" w:hAnsiTheme="majorEastAsia" w:eastAsiaTheme="majorEastAsia"/>
                <w:kern w:val="0"/>
                <w:sz w:val="21"/>
                <w:szCs w:val="21"/>
              </w:rPr>
            </w:pPr>
          </w:p>
        </w:tc>
        <w:tc>
          <w:tcPr>
            <w:tcW w:w="2693" w:type="dxa"/>
            <w:noWrap/>
            <w:vAlign w:val="center"/>
          </w:tcPr>
          <w:p w14:paraId="51AB0070">
            <w:pPr>
              <w:adjustRightInd w:val="0"/>
              <w:snapToGrid w:val="0"/>
              <w:spacing w:before="156" w:beforeLines="50" w:after="156" w:afterLines="50"/>
              <w:jc w:val="center"/>
              <w:rPr>
                <w:rFonts w:hint="eastAsia" w:asciiTheme="majorEastAsia" w:hAnsiTheme="majorEastAsia" w:eastAsiaTheme="majorEastAsia"/>
                <w:sz w:val="21"/>
                <w:szCs w:val="21"/>
              </w:rPr>
            </w:pPr>
            <w:r>
              <w:rPr>
                <w:rFonts w:hint="eastAsia" w:eastAsiaTheme="minorEastAsia"/>
                <w:sz w:val="21"/>
                <w:szCs w:val="21"/>
              </w:rPr>
              <w:t>叶繁</w:t>
            </w:r>
          </w:p>
        </w:tc>
        <w:tc>
          <w:tcPr>
            <w:tcW w:w="6109" w:type="dxa"/>
            <w:noWrap/>
            <w:vAlign w:val="center"/>
          </w:tcPr>
          <w:p w14:paraId="283CA05B">
            <w:pPr>
              <w:adjustRightInd w:val="0"/>
              <w:snapToGrid w:val="0"/>
              <w:spacing w:before="156" w:beforeLines="50" w:after="156" w:afterLines="50"/>
              <w:jc w:val="center"/>
              <w:rPr>
                <w:rFonts w:hint="eastAsia" w:asciiTheme="majorEastAsia" w:hAnsiTheme="majorEastAsia" w:eastAsiaTheme="majorEastAsia"/>
                <w:sz w:val="21"/>
                <w:szCs w:val="21"/>
              </w:rPr>
            </w:pPr>
            <w:r>
              <w:rPr>
                <w:rFonts w:hint="eastAsia"/>
                <w:sz w:val="21"/>
                <w:szCs w:val="21"/>
              </w:rPr>
              <w:t>汇丰晋信基金管理有限公司</w:t>
            </w:r>
          </w:p>
        </w:tc>
      </w:tr>
      <w:tr w14:paraId="3005F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04" w:type="dxa"/>
            <w:noWrap/>
            <w:vAlign w:val="bottom"/>
          </w:tcPr>
          <w:p w14:paraId="192CD50B">
            <w:pPr>
              <w:pStyle w:val="20"/>
              <w:widowControl/>
              <w:numPr>
                <w:ilvl w:val="0"/>
                <w:numId w:val="2"/>
              </w:numPr>
              <w:ind w:firstLineChars="0"/>
              <w:jc w:val="center"/>
              <w:rPr>
                <w:rFonts w:hint="eastAsia" w:cs="Arial" w:asciiTheme="majorEastAsia" w:hAnsiTheme="majorEastAsia" w:eastAsiaTheme="majorEastAsia"/>
                <w:kern w:val="0"/>
                <w:sz w:val="21"/>
                <w:szCs w:val="21"/>
              </w:rPr>
            </w:pPr>
          </w:p>
        </w:tc>
        <w:tc>
          <w:tcPr>
            <w:tcW w:w="2693" w:type="dxa"/>
            <w:noWrap/>
            <w:vAlign w:val="center"/>
          </w:tcPr>
          <w:p w14:paraId="67F5CA5B">
            <w:pPr>
              <w:adjustRightInd w:val="0"/>
              <w:snapToGrid w:val="0"/>
              <w:spacing w:before="156" w:beforeLines="50" w:after="156" w:afterLines="50"/>
              <w:jc w:val="center"/>
              <w:rPr>
                <w:rFonts w:hint="eastAsia" w:asciiTheme="majorEastAsia" w:hAnsiTheme="majorEastAsia" w:eastAsiaTheme="majorEastAsia"/>
                <w:sz w:val="21"/>
                <w:szCs w:val="21"/>
              </w:rPr>
            </w:pPr>
            <w:r>
              <w:rPr>
                <w:sz w:val="21"/>
                <w:szCs w:val="21"/>
              </w:rPr>
              <w:t>吴卓凡</w:t>
            </w:r>
          </w:p>
        </w:tc>
        <w:tc>
          <w:tcPr>
            <w:tcW w:w="6109" w:type="dxa"/>
            <w:noWrap/>
            <w:vAlign w:val="center"/>
          </w:tcPr>
          <w:p w14:paraId="5B60EA36">
            <w:pPr>
              <w:adjustRightInd w:val="0"/>
              <w:snapToGrid w:val="0"/>
              <w:spacing w:before="156" w:beforeLines="50" w:after="156" w:afterLines="50"/>
              <w:jc w:val="center"/>
              <w:rPr>
                <w:rFonts w:hint="eastAsia" w:asciiTheme="majorEastAsia" w:hAnsiTheme="majorEastAsia" w:eastAsiaTheme="majorEastAsia"/>
                <w:sz w:val="21"/>
                <w:szCs w:val="21"/>
              </w:rPr>
            </w:pPr>
            <w:r>
              <w:rPr>
                <w:sz w:val="21"/>
                <w:szCs w:val="21"/>
              </w:rPr>
              <w:t>华富基金</w:t>
            </w:r>
            <w:r>
              <w:rPr>
                <w:rFonts w:hint="eastAsia"/>
                <w:sz w:val="21"/>
                <w:szCs w:val="21"/>
              </w:rPr>
              <w:t>管理有限公司</w:t>
            </w:r>
          </w:p>
        </w:tc>
      </w:tr>
      <w:tr w14:paraId="34638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04" w:type="dxa"/>
            <w:noWrap/>
            <w:vAlign w:val="center"/>
          </w:tcPr>
          <w:p w14:paraId="7095D2F2">
            <w:pPr>
              <w:pStyle w:val="20"/>
              <w:widowControl/>
              <w:numPr>
                <w:ilvl w:val="0"/>
                <w:numId w:val="2"/>
              </w:numPr>
              <w:ind w:firstLineChars="0"/>
              <w:jc w:val="center"/>
              <w:rPr>
                <w:rFonts w:hint="eastAsia" w:cs="Arial" w:asciiTheme="majorEastAsia" w:hAnsiTheme="majorEastAsia" w:eastAsiaTheme="majorEastAsia"/>
                <w:kern w:val="0"/>
                <w:sz w:val="21"/>
                <w:szCs w:val="21"/>
              </w:rPr>
            </w:pPr>
          </w:p>
        </w:tc>
        <w:tc>
          <w:tcPr>
            <w:tcW w:w="2693" w:type="dxa"/>
            <w:noWrap/>
            <w:vAlign w:val="center"/>
          </w:tcPr>
          <w:p w14:paraId="3ECA94B6">
            <w:pPr>
              <w:adjustRightInd w:val="0"/>
              <w:snapToGrid w:val="0"/>
              <w:spacing w:before="156" w:beforeLines="50" w:after="156" w:afterLines="50"/>
              <w:jc w:val="center"/>
              <w:rPr>
                <w:rFonts w:hint="eastAsia" w:asciiTheme="majorEastAsia" w:hAnsiTheme="majorEastAsia" w:eastAsiaTheme="majorEastAsia"/>
                <w:sz w:val="21"/>
                <w:szCs w:val="21"/>
              </w:rPr>
            </w:pPr>
            <w:r>
              <w:rPr>
                <w:sz w:val="21"/>
                <w:szCs w:val="21"/>
              </w:rPr>
              <w:t>乔钢</w:t>
            </w:r>
          </w:p>
        </w:tc>
        <w:tc>
          <w:tcPr>
            <w:tcW w:w="6109" w:type="dxa"/>
            <w:noWrap/>
            <w:vAlign w:val="center"/>
          </w:tcPr>
          <w:p w14:paraId="7CB7DB43">
            <w:pPr>
              <w:adjustRightInd w:val="0"/>
              <w:snapToGrid w:val="0"/>
              <w:spacing w:before="156" w:beforeLines="50" w:after="156" w:afterLines="50"/>
              <w:jc w:val="center"/>
              <w:rPr>
                <w:rFonts w:hint="eastAsia" w:asciiTheme="majorEastAsia" w:hAnsiTheme="majorEastAsia" w:eastAsiaTheme="majorEastAsia"/>
                <w:sz w:val="21"/>
                <w:szCs w:val="21"/>
              </w:rPr>
            </w:pPr>
            <w:r>
              <w:rPr>
                <w:rFonts w:hint="eastAsia"/>
                <w:sz w:val="21"/>
                <w:szCs w:val="21"/>
              </w:rPr>
              <w:t>永赢基金管理有限公司</w:t>
            </w:r>
          </w:p>
        </w:tc>
      </w:tr>
      <w:tr w14:paraId="3CCA3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04" w:type="dxa"/>
            <w:noWrap/>
            <w:vAlign w:val="center"/>
          </w:tcPr>
          <w:p w14:paraId="6A656E11">
            <w:pPr>
              <w:pStyle w:val="20"/>
              <w:widowControl/>
              <w:numPr>
                <w:ilvl w:val="0"/>
                <w:numId w:val="2"/>
              </w:numPr>
              <w:ind w:firstLineChars="0"/>
              <w:jc w:val="center"/>
              <w:rPr>
                <w:rFonts w:hint="eastAsia" w:cs="Arial" w:asciiTheme="majorEastAsia" w:hAnsiTheme="majorEastAsia" w:eastAsiaTheme="majorEastAsia"/>
                <w:kern w:val="0"/>
                <w:sz w:val="21"/>
                <w:szCs w:val="21"/>
              </w:rPr>
            </w:pPr>
          </w:p>
        </w:tc>
        <w:tc>
          <w:tcPr>
            <w:tcW w:w="2693" w:type="dxa"/>
            <w:noWrap/>
            <w:vAlign w:val="center"/>
          </w:tcPr>
          <w:p w14:paraId="503C7F9B">
            <w:pPr>
              <w:adjustRightInd w:val="0"/>
              <w:snapToGrid w:val="0"/>
              <w:spacing w:before="156" w:beforeLines="50" w:after="156" w:afterLines="50"/>
              <w:jc w:val="center"/>
              <w:rPr>
                <w:rFonts w:hint="eastAsia" w:asciiTheme="majorEastAsia" w:hAnsiTheme="majorEastAsia" w:eastAsiaTheme="majorEastAsia"/>
                <w:sz w:val="21"/>
                <w:szCs w:val="21"/>
              </w:rPr>
            </w:pPr>
            <w:r>
              <w:rPr>
                <w:sz w:val="21"/>
                <w:szCs w:val="21"/>
              </w:rPr>
              <w:t>朱烨</w:t>
            </w:r>
          </w:p>
        </w:tc>
        <w:tc>
          <w:tcPr>
            <w:tcW w:w="6109" w:type="dxa"/>
            <w:noWrap/>
            <w:vAlign w:val="center"/>
          </w:tcPr>
          <w:p w14:paraId="3BF839B2">
            <w:pPr>
              <w:adjustRightInd w:val="0"/>
              <w:snapToGrid w:val="0"/>
              <w:spacing w:before="156" w:beforeLines="50" w:after="156" w:afterLines="50"/>
              <w:jc w:val="center"/>
              <w:rPr>
                <w:rFonts w:hint="eastAsia" w:asciiTheme="majorEastAsia" w:hAnsiTheme="majorEastAsia" w:eastAsiaTheme="majorEastAsia"/>
                <w:sz w:val="21"/>
                <w:szCs w:val="21"/>
              </w:rPr>
            </w:pPr>
            <w:r>
              <w:rPr>
                <w:sz w:val="21"/>
                <w:szCs w:val="21"/>
              </w:rPr>
              <w:t>光大保德信</w:t>
            </w:r>
            <w:r>
              <w:rPr>
                <w:rFonts w:hint="eastAsia"/>
                <w:sz w:val="21"/>
                <w:szCs w:val="21"/>
              </w:rPr>
              <w:t>基金管理有限公司</w:t>
            </w:r>
          </w:p>
        </w:tc>
      </w:tr>
      <w:tr w14:paraId="4D591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04" w:type="dxa"/>
            <w:noWrap/>
            <w:vAlign w:val="center"/>
          </w:tcPr>
          <w:p w14:paraId="0BBC8149">
            <w:pPr>
              <w:pStyle w:val="20"/>
              <w:widowControl/>
              <w:numPr>
                <w:ilvl w:val="0"/>
                <w:numId w:val="2"/>
              </w:numPr>
              <w:ind w:firstLineChars="0"/>
              <w:jc w:val="center"/>
              <w:rPr>
                <w:rFonts w:hint="eastAsia" w:cs="Arial" w:asciiTheme="majorEastAsia" w:hAnsiTheme="majorEastAsia" w:eastAsiaTheme="majorEastAsia"/>
                <w:kern w:val="0"/>
                <w:sz w:val="21"/>
                <w:szCs w:val="21"/>
              </w:rPr>
            </w:pPr>
          </w:p>
        </w:tc>
        <w:tc>
          <w:tcPr>
            <w:tcW w:w="2693" w:type="dxa"/>
            <w:noWrap/>
            <w:vAlign w:val="center"/>
          </w:tcPr>
          <w:p w14:paraId="59B894ED">
            <w:pPr>
              <w:adjustRightInd w:val="0"/>
              <w:snapToGrid w:val="0"/>
              <w:spacing w:before="156" w:beforeLines="50" w:after="156" w:afterLines="50"/>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张馨婷</w:t>
            </w:r>
          </w:p>
        </w:tc>
        <w:tc>
          <w:tcPr>
            <w:tcW w:w="6109" w:type="dxa"/>
            <w:noWrap/>
            <w:vAlign w:val="center"/>
          </w:tcPr>
          <w:p w14:paraId="193625E9">
            <w:pPr>
              <w:adjustRightInd w:val="0"/>
              <w:snapToGrid w:val="0"/>
              <w:spacing w:before="156" w:beforeLines="50" w:after="156" w:afterLines="50"/>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国投证券</w:t>
            </w:r>
          </w:p>
        </w:tc>
      </w:tr>
      <w:tr w14:paraId="73B45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04" w:type="dxa"/>
            <w:noWrap/>
            <w:vAlign w:val="bottom"/>
          </w:tcPr>
          <w:p w14:paraId="6F074E84">
            <w:pPr>
              <w:pStyle w:val="20"/>
              <w:widowControl/>
              <w:numPr>
                <w:ilvl w:val="0"/>
                <w:numId w:val="2"/>
              </w:numPr>
              <w:ind w:firstLineChars="0"/>
              <w:jc w:val="center"/>
              <w:rPr>
                <w:rFonts w:hint="eastAsia" w:cs="Arial" w:asciiTheme="majorEastAsia" w:hAnsiTheme="majorEastAsia" w:eastAsiaTheme="majorEastAsia"/>
                <w:kern w:val="0"/>
                <w:sz w:val="21"/>
                <w:szCs w:val="21"/>
              </w:rPr>
            </w:pPr>
          </w:p>
        </w:tc>
        <w:tc>
          <w:tcPr>
            <w:tcW w:w="2693" w:type="dxa"/>
            <w:noWrap/>
            <w:vAlign w:val="center"/>
          </w:tcPr>
          <w:p w14:paraId="065C000A">
            <w:pPr>
              <w:adjustRightInd w:val="0"/>
              <w:snapToGrid w:val="0"/>
              <w:spacing w:before="156" w:beforeLines="50" w:after="156" w:afterLines="50"/>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林蔚先</w:t>
            </w:r>
          </w:p>
        </w:tc>
        <w:tc>
          <w:tcPr>
            <w:tcW w:w="6109" w:type="dxa"/>
            <w:noWrap/>
            <w:vAlign w:val="center"/>
          </w:tcPr>
          <w:p w14:paraId="127A2A45">
            <w:pPr>
              <w:adjustRightInd w:val="0"/>
              <w:snapToGrid w:val="0"/>
              <w:spacing w:before="156" w:beforeLines="50" w:after="156" w:afterLines="50"/>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江西彼得明奇私募基金管理有限公司</w:t>
            </w:r>
          </w:p>
        </w:tc>
      </w:tr>
      <w:tr w14:paraId="1E316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04" w:type="dxa"/>
            <w:noWrap/>
            <w:vAlign w:val="center"/>
          </w:tcPr>
          <w:p w14:paraId="68F18AC2">
            <w:pPr>
              <w:pStyle w:val="20"/>
              <w:widowControl/>
              <w:numPr>
                <w:ilvl w:val="0"/>
                <w:numId w:val="2"/>
              </w:numPr>
              <w:ind w:firstLineChars="0"/>
              <w:jc w:val="center"/>
              <w:rPr>
                <w:rFonts w:hint="eastAsia" w:cs="Arial" w:asciiTheme="majorEastAsia" w:hAnsiTheme="majorEastAsia" w:eastAsiaTheme="majorEastAsia"/>
                <w:kern w:val="0"/>
                <w:sz w:val="21"/>
                <w:szCs w:val="21"/>
              </w:rPr>
            </w:pPr>
          </w:p>
        </w:tc>
        <w:tc>
          <w:tcPr>
            <w:tcW w:w="2693" w:type="dxa"/>
            <w:noWrap/>
            <w:vAlign w:val="center"/>
          </w:tcPr>
          <w:p w14:paraId="1565234C">
            <w:pPr>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樊星辰</w:t>
            </w:r>
          </w:p>
        </w:tc>
        <w:tc>
          <w:tcPr>
            <w:tcW w:w="6109" w:type="dxa"/>
            <w:noWrap/>
            <w:vAlign w:val="center"/>
          </w:tcPr>
          <w:p w14:paraId="6407E6E2">
            <w:pPr>
              <w:adjustRightInd w:val="0"/>
              <w:snapToGrid w:val="0"/>
              <w:spacing w:before="156" w:beforeLines="50" w:after="156" w:afterLines="50"/>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华泰证券</w:t>
            </w:r>
          </w:p>
        </w:tc>
      </w:tr>
      <w:tr w14:paraId="56EE6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04" w:type="dxa"/>
            <w:noWrap/>
            <w:vAlign w:val="bottom"/>
          </w:tcPr>
          <w:p w14:paraId="054A7B86">
            <w:pPr>
              <w:pStyle w:val="20"/>
              <w:widowControl/>
              <w:numPr>
                <w:ilvl w:val="0"/>
                <w:numId w:val="2"/>
              </w:numPr>
              <w:ind w:firstLineChars="0"/>
              <w:jc w:val="center"/>
              <w:rPr>
                <w:rFonts w:hint="eastAsia" w:cs="Arial" w:asciiTheme="majorEastAsia" w:hAnsiTheme="majorEastAsia" w:eastAsiaTheme="majorEastAsia"/>
                <w:kern w:val="0"/>
                <w:szCs w:val="21"/>
              </w:rPr>
            </w:pPr>
          </w:p>
        </w:tc>
        <w:tc>
          <w:tcPr>
            <w:tcW w:w="2693" w:type="dxa"/>
            <w:noWrap/>
            <w:vAlign w:val="center"/>
          </w:tcPr>
          <w:p w14:paraId="157174C3">
            <w:pPr>
              <w:adjustRightInd w:val="0"/>
              <w:snapToGrid w:val="0"/>
              <w:spacing w:before="156" w:beforeLines="50" w:after="156" w:afterLines="50"/>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薛浩洲</w:t>
            </w:r>
          </w:p>
        </w:tc>
        <w:tc>
          <w:tcPr>
            <w:tcW w:w="6109" w:type="dxa"/>
            <w:noWrap/>
            <w:vAlign w:val="center"/>
          </w:tcPr>
          <w:p w14:paraId="3C990F58">
            <w:pPr>
              <w:adjustRightInd w:val="0"/>
              <w:snapToGrid w:val="0"/>
              <w:spacing w:before="156" w:beforeLines="50" w:after="156" w:afterLines="50"/>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上海敦颐资产管理有限公司</w:t>
            </w:r>
          </w:p>
        </w:tc>
      </w:tr>
      <w:tr w14:paraId="59E82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04" w:type="dxa"/>
            <w:noWrap/>
            <w:vAlign w:val="center"/>
          </w:tcPr>
          <w:p w14:paraId="12E9C8E5">
            <w:pPr>
              <w:pStyle w:val="20"/>
              <w:widowControl/>
              <w:numPr>
                <w:ilvl w:val="0"/>
                <w:numId w:val="2"/>
              </w:numPr>
              <w:ind w:firstLineChars="0"/>
              <w:jc w:val="center"/>
              <w:rPr>
                <w:rFonts w:hint="eastAsia" w:cs="Arial" w:asciiTheme="majorEastAsia" w:hAnsiTheme="majorEastAsia" w:eastAsiaTheme="majorEastAsia"/>
                <w:kern w:val="0"/>
                <w:szCs w:val="21"/>
              </w:rPr>
            </w:pPr>
          </w:p>
        </w:tc>
        <w:tc>
          <w:tcPr>
            <w:tcW w:w="2693" w:type="dxa"/>
            <w:noWrap/>
            <w:vAlign w:val="center"/>
          </w:tcPr>
          <w:p w14:paraId="2DCCC28C">
            <w:pPr>
              <w:adjustRightInd w:val="0"/>
              <w:snapToGrid w:val="0"/>
              <w:spacing w:before="156" w:beforeLines="50" w:after="156" w:afterLines="50"/>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樊子豪</w:t>
            </w:r>
          </w:p>
        </w:tc>
        <w:tc>
          <w:tcPr>
            <w:tcW w:w="6109" w:type="dxa"/>
            <w:noWrap/>
            <w:vAlign w:val="center"/>
          </w:tcPr>
          <w:p w14:paraId="23504808">
            <w:pPr>
              <w:adjustRightInd w:val="0"/>
              <w:snapToGrid w:val="0"/>
              <w:spacing w:before="156" w:beforeLines="50" w:after="156" w:afterLines="50"/>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凯恩基金</w:t>
            </w:r>
          </w:p>
        </w:tc>
      </w:tr>
      <w:tr w14:paraId="4D9D0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04" w:type="dxa"/>
            <w:noWrap/>
            <w:vAlign w:val="bottom"/>
          </w:tcPr>
          <w:p w14:paraId="3A0EAE26">
            <w:pPr>
              <w:pStyle w:val="20"/>
              <w:widowControl/>
              <w:numPr>
                <w:ilvl w:val="0"/>
                <w:numId w:val="2"/>
              </w:numPr>
              <w:ind w:firstLineChars="0"/>
              <w:jc w:val="center"/>
              <w:rPr>
                <w:rFonts w:hint="eastAsia" w:cs="Arial" w:asciiTheme="majorEastAsia" w:hAnsiTheme="majorEastAsia" w:eastAsiaTheme="majorEastAsia"/>
                <w:kern w:val="0"/>
                <w:szCs w:val="21"/>
              </w:rPr>
            </w:pPr>
          </w:p>
        </w:tc>
        <w:tc>
          <w:tcPr>
            <w:tcW w:w="2693" w:type="dxa"/>
            <w:noWrap/>
            <w:vAlign w:val="center"/>
          </w:tcPr>
          <w:p w14:paraId="603BBB0C">
            <w:pPr>
              <w:adjustRightInd w:val="0"/>
              <w:snapToGrid w:val="0"/>
              <w:spacing w:before="156" w:beforeLines="50" w:after="156" w:afterLines="50"/>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唐沁怡</w:t>
            </w:r>
          </w:p>
        </w:tc>
        <w:tc>
          <w:tcPr>
            <w:tcW w:w="6109" w:type="dxa"/>
            <w:noWrap/>
            <w:vAlign w:val="center"/>
          </w:tcPr>
          <w:p w14:paraId="6E83B3FE">
            <w:pPr>
              <w:adjustRightInd w:val="0"/>
              <w:snapToGrid w:val="0"/>
              <w:spacing w:before="156" w:beforeLines="50" w:after="156" w:afterLines="50"/>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华源证券</w:t>
            </w:r>
          </w:p>
        </w:tc>
      </w:tr>
      <w:tr w14:paraId="69E24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04" w:type="dxa"/>
            <w:noWrap/>
            <w:vAlign w:val="center"/>
          </w:tcPr>
          <w:p w14:paraId="1B645A0F">
            <w:pPr>
              <w:pStyle w:val="20"/>
              <w:widowControl/>
              <w:numPr>
                <w:ilvl w:val="0"/>
                <w:numId w:val="2"/>
              </w:numPr>
              <w:ind w:firstLineChars="0"/>
              <w:jc w:val="center"/>
              <w:rPr>
                <w:rFonts w:hint="eastAsia" w:cs="Arial" w:asciiTheme="majorEastAsia" w:hAnsiTheme="majorEastAsia" w:eastAsiaTheme="majorEastAsia"/>
                <w:kern w:val="0"/>
                <w:szCs w:val="21"/>
              </w:rPr>
            </w:pPr>
          </w:p>
        </w:tc>
        <w:tc>
          <w:tcPr>
            <w:tcW w:w="2693" w:type="dxa"/>
            <w:noWrap/>
            <w:vAlign w:val="center"/>
          </w:tcPr>
          <w:p w14:paraId="73DFA0CD">
            <w:pPr>
              <w:adjustRightInd w:val="0"/>
              <w:snapToGrid w:val="0"/>
              <w:spacing w:before="156" w:beforeLines="50" w:after="156" w:afterLines="50"/>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color w:val="000000"/>
                <w:sz w:val="21"/>
                <w:szCs w:val="21"/>
              </w:rPr>
              <w:t>李明</w:t>
            </w:r>
          </w:p>
        </w:tc>
        <w:tc>
          <w:tcPr>
            <w:tcW w:w="6109" w:type="dxa"/>
            <w:noWrap/>
            <w:vAlign w:val="center"/>
          </w:tcPr>
          <w:p w14:paraId="6528D0E1">
            <w:pPr>
              <w:adjustRightInd w:val="0"/>
              <w:snapToGrid w:val="0"/>
              <w:spacing w:before="156" w:beforeLines="50" w:after="156" w:afterLines="50"/>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color w:val="000000"/>
                <w:sz w:val="21"/>
                <w:szCs w:val="21"/>
              </w:rPr>
              <w:t>兴业证券</w:t>
            </w:r>
          </w:p>
        </w:tc>
      </w:tr>
      <w:tr w14:paraId="52F74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04" w:type="dxa"/>
            <w:noWrap/>
            <w:vAlign w:val="bottom"/>
          </w:tcPr>
          <w:p w14:paraId="285940F3">
            <w:pPr>
              <w:pStyle w:val="20"/>
              <w:widowControl/>
              <w:numPr>
                <w:ilvl w:val="0"/>
                <w:numId w:val="2"/>
              </w:numPr>
              <w:ind w:firstLineChars="0"/>
              <w:jc w:val="center"/>
              <w:rPr>
                <w:rFonts w:hint="eastAsia" w:cs="Arial" w:asciiTheme="majorEastAsia" w:hAnsiTheme="majorEastAsia" w:eastAsiaTheme="majorEastAsia"/>
                <w:kern w:val="0"/>
                <w:szCs w:val="21"/>
              </w:rPr>
            </w:pPr>
          </w:p>
        </w:tc>
        <w:tc>
          <w:tcPr>
            <w:tcW w:w="2693" w:type="dxa"/>
            <w:noWrap/>
            <w:vAlign w:val="center"/>
          </w:tcPr>
          <w:p w14:paraId="031D73C9">
            <w:pPr>
              <w:adjustRightInd w:val="0"/>
              <w:snapToGrid w:val="0"/>
              <w:spacing w:before="156" w:beforeLines="50" w:after="156" w:afterLines="50"/>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李逸凡</w:t>
            </w:r>
          </w:p>
        </w:tc>
        <w:tc>
          <w:tcPr>
            <w:tcW w:w="6109" w:type="dxa"/>
            <w:noWrap/>
            <w:vAlign w:val="center"/>
          </w:tcPr>
          <w:p w14:paraId="1BEFA0C4">
            <w:pPr>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长江证券</w:t>
            </w:r>
          </w:p>
        </w:tc>
      </w:tr>
      <w:tr w14:paraId="257BD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04" w:type="dxa"/>
            <w:noWrap/>
            <w:vAlign w:val="center"/>
          </w:tcPr>
          <w:p w14:paraId="72B60AFC">
            <w:pPr>
              <w:pStyle w:val="20"/>
              <w:widowControl/>
              <w:numPr>
                <w:ilvl w:val="0"/>
                <w:numId w:val="2"/>
              </w:numPr>
              <w:ind w:firstLineChars="0"/>
              <w:jc w:val="center"/>
              <w:rPr>
                <w:rFonts w:hint="eastAsia" w:cs="Arial" w:asciiTheme="majorEastAsia" w:hAnsiTheme="majorEastAsia" w:eastAsiaTheme="majorEastAsia"/>
                <w:kern w:val="0"/>
                <w:szCs w:val="21"/>
              </w:rPr>
            </w:pPr>
          </w:p>
        </w:tc>
        <w:tc>
          <w:tcPr>
            <w:tcW w:w="2693" w:type="dxa"/>
            <w:noWrap/>
            <w:vAlign w:val="center"/>
          </w:tcPr>
          <w:p w14:paraId="4CD04F0C">
            <w:pPr>
              <w:adjustRightInd w:val="0"/>
              <w:snapToGrid w:val="0"/>
              <w:spacing w:before="156" w:beforeLines="50" w:after="156" w:afterLines="50"/>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钱坤</w:t>
            </w:r>
          </w:p>
        </w:tc>
        <w:tc>
          <w:tcPr>
            <w:tcW w:w="6109" w:type="dxa"/>
            <w:noWrap/>
            <w:vAlign w:val="center"/>
          </w:tcPr>
          <w:p w14:paraId="6E754F9B">
            <w:pPr>
              <w:adjustRightInd w:val="0"/>
              <w:snapToGrid w:val="0"/>
              <w:spacing w:before="156" w:beforeLines="50" w:after="156" w:afterLines="50"/>
              <w:jc w:val="center"/>
              <w:rPr>
                <w:rFonts w:hint="default"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rPr>
              <w:t>华安基金</w:t>
            </w:r>
            <w:r>
              <w:rPr>
                <w:rFonts w:hint="eastAsia" w:asciiTheme="majorEastAsia" w:hAnsiTheme="majorEastAsia" w:eastAsiaTheme="majorEastAsia" w:cstheme="majorEastAsia"/>
                <w:sz w:val="21"/>
                <w:szCs w:val="21"/>
                <w:lang w:val="en-US" w:eastAsia="zh-CN"/>
              </w:rPr>
              <w:t>管理有限公司</w:t>
            </w:r>
          </w:p>
        </w:tc>
      </w:tr>
      <w:tr w14:paraId="0FAC1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04" w:type="dxa"/>
            <w:noWrap/>
            <w:vAlign w:val="bottom"/>
          </w:tcPr>
          <w:p w14:paraId="4C25A910">
            <w:pPr>
              <w:pStyle w:val="20"/>
              <w:widowControl/>
              <w:numPr>
                <w:ilvl w:val="0"/>
                <w:numId w:val="2"/>
              </w:numPr>
              <w:ind w:firstLineChars="0"/>
              <w:jc w:val="center"/>
              <w:rPr>
                <w:rFonts w:hint="eastAsia" w:cs="Arial" w:asciiTheme="majorEastAsia" w:hAnsiTheme="majorEastAsia" w:eastAsiaTheme="majorEastAsia"/>
                <w:kern w:val="0"/>
                <w:szCs w:val="21"/>
              </w:rPr>
            </w:pPr>
          </w:p>
        </w:tc>
        <w:tc>
          <w:tcPr>
            <w:tcW w:w="2693" w:type="dxa"/>
            <w:noWrap/>
            <w:vAlign w:val="center"/>
          </w:tcPr>
          <w:p w14:paraId="5BD3B522">
            <w:pPr>
              <w:adjustRightInd w:val="0"/>
              <w:snapToGrid w:val="0"/>
              <w:spacing w:before="156" w:beforeLines="50" w:after="156" w:afterLines="50"/>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朱陈星</w:t>
            </w:r>
          </w:p>
        </w:tc>
        <w:tc>
          <w:tcPr>
            <w:tcW w:w="6109" w:type="dxa"/>
            <w:noWrap/>
            <w:vAlign w:val="center"/>
          </w:tcPr>
          <w:p w14:paraId="63D8CFE3">
            <w:pPr>
              <w:adjustRightInd w:val="0"/>
              <w:snapToGrid w:val="0"/>
              <w:spacing w:before="156" w:beforeLines="50" w:after="156" w:afterLines="50"/>
              <w:jc w:val="center"/>
              <w:rPr>
                <w:rFonts w:hint="default"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rPr>
              <w:t>恒越基金</w:t>
            </w:r>
            <w:r>
              <w:rPr>
                <w:rFonts w:hint="eastAsia" w:asciiTheme="majorEastAsia" w:hAnsiTheme="majorEastAsia" w:eastAsiaTheme="majorEastAsia" w:cstheme="majorEastAsia"/>
                <w:sz w:val="21"/>
                <w:szCs w:val="21"/>
                <w:lang w:val="en-US" w:eastAsia="zh-CN"/>
              </w:rPr>
              <w:t>管理有限公司</w:t>
            </w:r>
          </w:p>
        </w:tc>
      </w:tr>
      <w:tr w14:paraId="7DDDE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04" w:type="dxa"/>
            <w:noWrap/>
            <w:vAlign w:val="center"/>
          </w:tcPr>
          <w:p w14:paraId="592BD778">
            <w:pPr>
              <w:pStyle w:val="20"/>
              <w:widowControl/>
              <w:numPr>
                <w:ilvl w:val="0"/>
                <w:numId w:val="2"/>
              </w:numPr>
              <w:ind w:firstLineChars="0"/>
              <w:jc w:val="center"/>
              <w:rPr>
                <w:rFonts w:hint="eastAsia" w:cs="Arial" w:asciiTheme="majorEastAsia" w:hAnsiTheme="majorEastAsia" w:eastAsiaTheme="majorEastAsia"/>
                <w:kern w:val="0"/>
                <w:szCs w:val="21"/>
              </w:rPr>
            </w:pPr>
          </w:p>
        </w:tc>
        <w:tc>
          <w:tcPr>
            <w:tcW w:w="2693" w:type="dxa"/>
            <w:noWrap/>
            <w:vAlign w:val="center"/>
          </w:tcPr>
          <w:p w14:paraId="01F60139">
            <w:pPr>
              <w:adjustRightInd w:val="0"/>
              <w:snapToGrid w:val="0"/>
              <w:spacing w:before="156" w:beforeLines="50" w:after="156" w:afterLines="50"/>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张运平</w:t>
            </w:r>
          </w:p>
        </w:tc>
        <w:tc>
          <w:tcPr>
            <w:tcW w:w="6109" w:type="dxa"/>
            <w:noWrap/>
            <w:vAlign w:val="center"/>
          </w:tcPr>
          <w:p w14:paraId="55998707">
            <w:pPr>
              <w:adjustRightInd w:val="0"/>
              <w:snapToGrid w:val="0"/>
              <w:spacing w:before="156" w:beforeLines="50" w:after="156" w:afterLines="50"/>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个人投资者</w:t>
            </w:r>
          </w:p>
        </w:tc>
      </w:tr>
      <w:tr w14:paraId="22CF6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04" w:type="dxa"/>
            <w:noWrap/>
            <w:vAlign w:val="bottom"/>
          </w:tcPr>
          <w:p w14:paraId="4614EA31">
            <w:pPr>
              <w:pStyle w:val="20"/>
              <w:widowControl/>
              <w:numPr>
                <w:ilvl w:val="0"/>
                <w:numId w:val="2"/>
              </w:numPr>
              <w:ind w:firstLineChars="0"/>
              <w:jc w:val="center"/>
              <w:rPr>
                <w:rFonts w:hint="eastAsia" w:cs="Arial" w:asciiTheme="majorEastAsia" w:hAnsiTheme="majorEastAsia" w:eastAsiaTheme="majorEastAsia"/>
                <w:kern w:val="0"/>
                <w:szCs w:val="21"/>
              </w:rPr>
            </w:pPr>
          </w:p>
        </w:tc>
        <w:tc>
          <w:tcPr>
            <w:tcW w:w="2693" w:type="dxa"/>
            <w:noWrap/>
            <w:vAlign w:val="center"/>
          </w:tcPr>
          <w:p w14:paraId="2B692D59">
            <w:pPr>
              <w:adjustRightInd w:val="0"/>
              <w:snapToGrid w:val="0"/>
              <w:spacing w:before="156" w:beforeLines="50" w:after="156" w:afterLines="50"/>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卢思宇</w:t>
            </w:r>
          </w:p>
        </w:tc>
        <w:tc>
          <w:tcPr>
            <w:tcW w:w="6109" w:type="dxa"/>
            <w:noWrap/>
            <w:vAlign w:val="center"/>
          </w:tcPr>
          <w:p w14:paraId="7CFD771C">
            <w:pPr>
              <w:adjustRightInd w:val="0"/>
              <w:snapToGrid w:val="0"/>
              <w:spacing w:before="156" w:beforeLines="50" w:after="156" w:afterLines="50"/>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color w:val="000000"/>
                <w:sz w:val="21"/>
                <w:szCs w:val="21"/>
              </w:rPr>
              <w:t>招商证券</w:t>
            </w:r>
          </w:p>
        </w:tc>
      </w:tr>
      <w:tr w14:paraId="07BF9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04" w:type="dxa"/>
            <w:noWrap/>
            <w:vAlign w:val="center"/>
          </w:tcPr>
          <w:p w14:paraId="0AB50CD9">
            <w:pPr>
              <w:pStyle w:val="20"/>
              <w:widowControl/>
              <w:numPr>
                <w:ilvl w:val="0"/>
                <w:numId w:val="2"/>
              </w:numPr>
              <w:ind w:firstLineChars="0"/>
              <w:jc w:val="center"/>
              <w:rPr>
                <w:rFonts w:hint="eastAsia" w:cs="Arial" w:asciiTheme="majorEastAsia" w:hAnsiTheme="majorEastAsia" w:eastAsiaTheme="majorEastAsia"/>
                <w:kern w:val="0"/>
                <w:szCs w:val="21"/>
              </w:rPr>
            </w:pPr>
          </w:p>
        </w:tc>
        <w:tc>
          <w:tcPr>
            <w:tcW w:w="2693" w:type="dxa"/>
            <w:noWrap/>
            <w:vAlign w:val="center"/>
          </w:tcPr>
          <w:p w14:paraId="5EBAA876">
            <w:pPr>
              <w:adjustRightInd w:val="0"/>
              <w:snapToGrid w:val="0"/>
              <w:spacing w:before="156" w:beforeLines="50" w:after="156" w:afterLines="50"/>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李家明</w:t>
            </w:r>
          </w:p>
        </w:tc>
        <w:tc>
          <w:tcPr>
            <w:tcW w:w="6109" w:type="dxa"/>
            <w:noWrap/>
            <w:vAlign w:val="center"/>
          </w:tcPr>
          <w:p w14:paraId="39DDA995">
            <w:pPr>
              <w:adjustRightInd w:val="0"/>
              <w:snapToGrid w:val="0"/>
              <w:spacing w:before="156" w:beforeLines="50" w:after="156" w:afterLines="50"/>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中信证券</w:t>
            </w:r>
          </w:p>
        </w:tc>
      </w:tr>
      <w:tr w14:paraId="5A649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04" w:type="dxa"/>
            <w:noWrap/>
            <w:vAlign w:val="bottom"/>
          </w:tcPr>
          <w:p w14:paraId="5BFD1FB0">
            <w:pPr>
              <w:pStyle w:val="20"/>
              <w:widowControl/>
              <w:numPr>
                <w:ilvl w:val="0"/>
                <w:numId w:val="2"/>
              </w:numPr>
              <w:ind w:firstLineChars="0"/>
              <w:jc w:val="center"/>
              <w:rPr>
                <w:rFonts w:hint="eastAsia" w:cs="Arial" w:asciiTheme="majorEastAsia" w:hAnsiTheme="majorEastAsia" w:eastAsiaTheme="majorEastAsia"/>
                <w:kern w:val="0"/>
                <w:szCs w:val="21"/>
              </w:rPr>
            </w:pPr>
          </w:p>
        </w:tc>
        <w:tc>
          <w:tcPr>
            <w:tcW w:w="2693" w:type="dxa"/>
            <w:noWrap/>
            <w:vAlign w:val="center"/>
          </w:tcPr>
          <w:p w14:paraId="18B57A75">
            <w:pPr>
              <w:adjustRightInd w:val="0"/>
              <w:snapToGrid w:val="0"/>
              <w:spacing w:before="156" w:beforeLines="50" w:after="156" w:afterLines="50"/>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李天雄</w:t>
            </w:r>
          </w:p>
        </w:tc>
        <w:tc>
          <w:tcPr>
            <w:tcW w:w="6109" w:type="dxa"/>
            <w:noWrap/>
            <w:vAlign w:val="center"/>
          </w:tcPr>
          <w:p w14:paraId="052793FA">
            <w:pPr>
              <w:adjustRightInd w:val="0"/>
              <w:snapToGrid w:val="0"/>
              <w:spacing w:before="156" w:beforeLines="50" w:after="156" w:afterLines="50"/>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中信证券</w:t>
            </w:r>
          </w:p>
        </w:tc>
      </w:tr>
      <w:tr w14:paraId="0ACDA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04" w:type="dxa"/>
            <w:noWrap/>
            <w:vAlign w:val="center"/>
          </w:tcPr>
          <w:p w14:paraId="60FB6D33">
            <w:pPr>
              <w:pStyle w:val="20"/>
              <w:widowControl/>
              <w:numPr>
                <w:ilvl w:val="0"/>
                <w:numId w:val="2"/>
              </w:numPr>
              <w:ind w:firstLineChars="0"/>
              <w:jc w:val="center"/>
              <w:rPr>
                <w:rFonts w:hint="eastAsia" w:cs="Arial" w:asciiTheme="majorEastAsia" w:hAnsiTheme="majorEastAsia" w:eastAsiaTheme="majorEastAsia"/>
                <w:kern w:val="0"/>
                <w:szCs w:val="21"/>
              </w:rPr>
            </w:pPr>
          </w:p>
        </w:tc>
        <w:tc>
          <w:tcPr>
            <w:tcW w:w="2693" w:type="dxa"/>
            <w:noWrap/>
            <w:vAlign w:val="center"/>
          </w:tcPr>
          <w:p w14:paraId="289929BA">
            <w:pPr>
              <w:adjustRightInd w:val="0"/>
              <w:snapToGrid w:val="0"/>
              <w:spacing w:before="156" w:beforeLines="50" w:after="156" w:afterLines="50"/>
              <w:jc w:val="center"/>
              <w:rPr>
                <w:rFonts w:hint="eastAsia" w:asciiTheme="majorEastAsia" w:hAnsiTheme="majorEastAsia" w:eastAsiaTheme="majorEastAsia" w:cstheme="majorEastAsia"/>
                <w:color w:val="000000"/>
                <w:sz w:val="21"/>
                <w:szCs w:val="21"/>
              </w:rPr>
            </w:pPr>
            <w:r>
              <w:rPr>
                <w:rFonts w:hint="eastAsia" w:asciiTheme="majorEastAsia" w:hAnsiTheme="majorEastAsia" w:eastAsiaTheme="majorEastAsia" w:cstheme="majorEastAsia"/>
                <w:sz w:val="21"/>
                <w:szCs w:val="21"/>
              </w:rPr>
              <w:t>李嘉璎</w:t>
            </w:r>
          </w:p>
        </w:tc>
        <w:tc>
          <w:tcPr>
            <w:tcW w:w="6109" w:type="dxa"/>
            <w:noWrap/>
            <w:vAlign w:val="center"/>
          </w:tcPr>
          <w:p w14:paraId="16E28323">
            <w:pPr>
              <w:adjustRightInd w:val="0"/>
              <w:snapToGrid w:val="0"/>
              <w:spacing w:before="156" w:beforeLines="50" w:after="156" w:afterLines="50"/>
              <w:jc w:val="center"/>
              <w:rPr>
                <w:rFonts w:hint="eastAsia" w:asciiTheme="majorEastAsia" w:hAnsiTheme="majorEastAsia" w:eastAsiaTheme="majorEastAsia" w:cstheme="majorEastAsia"/>
                <w:color w:val="000000"/>
                <w:sz w:val="21"/>
                <w:szCs w:val="21"/>
              </w:rPr>
            </w:pPr>
            <w:r>
              <w:rPr>
                <w:rFonts w:hint="eastAsia" w:asciiTheme="majorEastAsia" w:hAnsiTheme="majorEastAsia" w:eastAsiaTheme="majorEastAsia" w:cstheme="majorEastAsia"/>
                <w:sz w:val="21"/>
                <w:szCs w:val="21"/>
              </w:rPr>
              <w:t>上海合晟资产管理股份有限公司</w:t>
            </w:r>
          </w:p>
        </w:tc>
      </w:tr>
      <w:tr w14:paraId="5C749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04" w:type="dxa"/>
            <w:noWrap/>
            <w:vAlign w:val="center"/>
          </w:tcPr>
          <w:p w14:paraId="0DEEE21E">
            <w:pPr>
              <w:pStyle w:val="20"/>
              <w:widowControl/>
              <w:numPr>
                <w:ilvl w:val="0"/>
                <w:numId w:val="2"/>
              </w:numPr>
              <w:ind w:firstLineChars="0"/>
              <w:jc w:val="center"/>
              <w:rPr>
                <w:rFonts w:hint="eastAsia" w:cs="Arial" w:asciiTheme="majorEastAsia" w:hAnsiTheme="majorEastAsia" w:eastAsiaTheme="majorEastAsia"/>
                <w:kern w:val="0"/>
                <w:szCs w:val="21"/>
              </w:rPr>
            </w:pPr>
          </w:p>
        </w:tc>
        <w:tc>
          <w:tcPr>
            <w:tcW w:w="2693" w:type="dxa"/>
            <w:noWrap/>
            <w:vAlign w:val="center"/>
          </w:tcPr>
          <w:p w14:paraId="206551D9">
            <w:pPr>
              <w:adjustRightInd w:val="0"/>
              <w:snapToGrid w:val="0"/>
              <w:spacing w:before="156" w:beforeLines="50" w:after="156" w:afterLines="50"/>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徐婧华</w:t>
            </w:r>
          </w:p>
        </w:tc>
        <w:tc>
          <w:tcPr>
            <w:tcW w:w="6109" w:type="dxa"/>
            <w:noWrap/>
            <w:vAlign w:val="center"/>
          </w:tcPr>
          <w:p w14:paraId="6A01A71B">
            <w:pPr>
              <w:adjustRightInd w:val="0"/>
              <w:snapToGrid w:val="0"/>
              <w:spacing w:before="156" w:beforeLines="50" w:after="156" w:afterLines="50"/>
              <w:jc w:val="center"/>
              <w:rPr>
                <w:rFonts w:hint="default"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财通基金管理有限公司</w:t>
            </w:r>
          </w:p>
        </w:tc>
      </w:tr>
      <w:tr w14:paraId="6A904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04" w:type="dxa"/>
            <w:noWrap/>
            <w:vAlign w:val="center"/>
          </w:tcPr>
          <w:p w14:paraId="7FB59846">
            <w:pPr>
              <w:pStyle w:val="20"/>
              <w:widowControl/>
              <w:numPr>
                <w:ilvl w:val="0"/>
                <w:numId w:val="2"/>
              </w:numPr>
              <w:ind w:firstLineChars="0"/>
              <w:jc w:val="center"/>
              <w:rPr>
                <w:rFonts w:hint="eastAsia" w:cs="Arial" w:asciiTheme="majorEastAsia" w:hAnsiTheme="majorEastAsia" w:eastAsiaTheme="majorEastAsia"/>
                <w:kern w:val="0"/>
                <w:szCs w:val="21"/>
              </w:rPr>
            </w:pPr>
          </w:p>
        </w:tc>
        <w:tc>
          <w:tcPr>
            <w:tcW w:w="2693" w:type="dxa"/>
            <w:noWrap/>
            <w:vAlign w:val="center"/>
          </w:tcPr>
          <w:p w14:paraId="749FB302">
            <w:pPr>
              <w:adjustRightInd w:val="0"/>
              <w:snapToGrid w:val="0"/>
              <w:spacing w:before="156" w:beforeLines="50" w:after="156" w:afterLines="50"/>
              <w:jc w:val="center"/>
              <w:rPr>
                <w:rFonts w:hint="eastAsia" w:asciiTheme="majorEastAsia" w:hAnsiTheme="majorEastAsia" w:eastAsiaTheme="majorEastAsia"/>
                <w:szCs w:val="21"/>
                <w:lang w:val="en-US" w:eastAsia="zh-CN"/>
              </w:rPr>
            </w:pPr>
            <w:r>
              <w:rPr>
                <w:rFonts w:hint="eastAsia" w:asciiTheme="majorEastAsia" w:hAnsiTheme="majorEastAsia" w:eastAsiaTheme="majorEastAsia"/>
                <w:szCs w:val="21"/>
                <w:lang w:val="en-US" w:eastAsia="zh-CN"/>
              </w:rPr>
              <w:t>李枫婷</w:t>
            </w:r>
          </w:p>
        </w:tc>
        <w:tc>
          <w:tcPr>
            <w:tcW w:w="6109" w:type="dxa"/>
            <w:noWrap/>
            <w:vAlign w:val="center"/>
          </w:tcPr>
          <w:p w14:paraId="2DA33E0D">
            <w:pPr>
              <w:jc w:val="center"/>
              <w:rPr>
                <w:rFonts w:hint="eastAsia" w:asciiTheme="majorEastAsia" w:hAnsiTheme="majorEastAsia" w:eastAsiaTheme="majorEastAsia"/>
                <w:szCs w:val="21"/>
                <w:lang w:val="en-US" w:eastAsia="zh-CN"/>
              </w:rPr>
            </w:pPr>
            <w:r>
              <w:rPr>
                <w:rFonts w:hint="eastAsia" w:asciiTheme="majorEastAsia" w:hAnsiTheme="majorEastAsia" w:eastAsiaTheme="majorEastAsia"/>
                <w:szCs w:val="21"/>
                <w:lang w:val="en-US" w:eastAsia="zh-CN"/>
              </w:rPr>
              <w:t>国盛证券</w:t>
            </w:r>
          </w:p>
        </w:tc>
      </w:tr>
      <w:tr w14:paraId="7AF3F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04" w:type="dxa"/>
            <w:noWrap/>
            <w:vAlign w:val="center"/>
          </w:tcPr>
          <w:p w14:paraId="3C4C408A">
            <w:pPr>
              <w:pStyle w:val="20"/>
              <w:widowControl/>
              <w:numPr>
                <w:ilvl w:val="0"/>
                <w:numId w:val="2"/>
              </w:numPr>
              <w:ind w:firstLineChars="0"/>
              <w:jc w:val="center"/>
              <w:rPr>
                <w:rFonts w:hint="eastAsia" w:cs="Arial" w:asciiTheme="majorEastAsia" w:hAnsiTheme="majorEastAsia" w:eastAsiaTheme="majorEastAsia"/>
                <w:kern w:val="0"/>
                <w:szCs w:val="21"/>
              </w:rPr>
            </w:pPr>
          </w:p>
        </w:tc>
        <w:tc>
          <w:tcPr>
            <w:tcW w:w="2693" w:type="dxa"/>
            <w:noWrap/>
            <w:vAlign w:val="center"/>
          </w:tcPr>
          <w:p w14:paraId="5454BDEE">
            <w:pPr>
              <w:adjustRightInd w:val="0"/>
              <w:snapToGrid w:val="0"/>
              <w:spacing w:before="156" w:beforeLines="50" w:after="156" w:afterLines="50"/>
              <w:jc w:val="center"/>
              <w:rPr>
                <w:rFonts w:hint="default" w:asciiTheme="majorEastAsia" w:hAnsiTheme="majorEastAsia" w:eastAsiaTheme="majorEastAsia"/>
                <w:szCs w:val="21"/>
                <w:lang w:val="en-US" w:eastAsia="zh-CN"/>
              </w:rPr>
            </w:pPr>
            <w:r>
              <w:rPr>
                <w:rFonts w:hint="eastAsia" w:asciiTheme="majorEastAsia" w:hAnsiTheme="majorEastAsia" w:eastAsiaTheme="majorEastAsia"/>
                <w:szCs w:val="21"/>
                <w:lang w:val="en-US" w:eastAsia="zh-CN"/>
              </w:rPr>
              <w:t>刘淑生</w:t>
            </w:r>
          </w:p>
        </w:tc>
        <w:tc>
          <w:tcPr>
            <w:tcW w:w="6109" w:type="dxa"/>
            <w:noWrap/>
            <w:vAlign w:val="center"/>
          </w:tcPr>
          <w:p w14:paraId="52073E75">
            <w:pPr>
              <w:adjustRightInd w:val="0"/>
              <w:snapToGrid w:val="0"/>
              <w:spacing w:before="156" w:beforeLines="50" w:after="156" w:afterLines="50"/>
              <w:jc w:val="center"/>
              <w:rPr>
                <w:rFonts w:hint="default" w:asciiTheme="majorEastAsia" w:hAnsiTheme="majorEastAsia" w:eastAsiaTheme="majorEastAsia"/>
                <w:szCs w:val="21"/>
                <w:lang w:val="en-US" w:eastAsia="zh-CN"/>
              </w:rPr>
            </w:pPr>
            <w:r>
              <w:rPr>
                <w:rFonts w:hint="eastAsia" w:asciiTheme="majorEastAsia" w:hAnsiTheme="majorEastAsia" w:eastAsiaTheme="majorEastAsia" w:cstheme="majorEastAsia"/>
                <w:sz w:val="21"/>
                <w:szCs w:val="21"/>
              </w:rPr>
              <w:t>华安基金</w:t>
            </w:r>
            <w:r>
              <w:rPr>
                <w:rFonts w:hint="eastAsia" w:asciiTheme="majorEastAsia" w:hAnsiTheme="majorEastAsia" w:eastAsiaTheme="majorEastAsia" w:cstheme="majorEastAsia"/>
                <w:sz w:val="21"/>
                <w:szCs w:val="21"/>
                <w:lang w:val="en-US" w:eastAsia="zh-CN"/>
              </w:rPr>
              <w:t>管理有限公司</w:t>
            </w:r>
          </w:p>
        </w:tc>
      </w:tr>
      <w:tr w14:paraId="6BB4B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04" w:type="dxa"/>
            <w:noWrap/>
            <w:vAlign w:val="center"/>
          </w:tcPr>
          <w:p w14:paraId="76C7D260">
            <w:pPr>
              <w:pStyle w:val="20"/>
              <w:widowControl/>
              <w:numPr>
                <w:ilvl w:val="0"/>
                <w:numId w:val="2"/>
              </w:numPr>
              <w:ind w:firstLineChars="0"/>
              <w:jc w:val="center"/>
              <w:rPr>
                <w:rFonts w:hint="eastAsia" w:cs="Arial" w:asciiTheme="majorEastAsia" w:hAnsiTheme="majorEastAsia" w:eastAsiaTheme="majorEastAsia"/>
                <w:kern w:val="0"/>
                <w:szCs w:val="21"/>
              </w:rPr>
            </w:pPr>
          </w:p>
        </w:tc>
        <w:tc>
          <w:tcPr>
            <w:tcW w:w="2693" w:type="dxa"/>
            <w:noWrap/>
            <w:vAlign w:val="center"/>
          </w:tcPr>
          <w:p w14:paraId="6ADE9FD0">
            <w:pPr>
              <w:adjustRightInd w:val="0"/>
              <w:snapToGrid w:val="0"/>
              <w:spacing w:before="156" w:beforeLines="50" w:after="156" w:afterLines="50"/>
              <w:jc w:val="center"/>
              <w:rPr>
                <w:rFonts w:hint="eastAsia" w:asciiTheme="majorEastAsia" w:hAnsiTheme="majorEastAsia" w:eastAsiaTheme="majorEastAsia"/>
                <w:szCs w:val="21"/>
                <w:lang w:val="en-US" w:eastAsia="zh-CN"/>
              </w:rPr>
            </w:pPr>
            <w:r>
              <w:rPr>
                <w:rFonts w:hint="eastAsia" w:asciiTheme="majorEastAsia" w:hAnsiTheme="majorEastAsia" w:eastAsiaTheme="majorEastAsia"/>
                <w:szCs w:val="21"/>
                <w:lang w:val="en-US" w:eastAsia="zh-CN"/>
              </w:rPr>
              <w:t>贺国荣</w:t>
            </w:r>
          </w:p>
        </w:tc>
        <w:tc>
          <w:tcPr>
            <w:tcW w:w="6109" w:type="dxa"/>
            <w:noWrap/>
            <w:vAlign w:val="center"/>
          </w:tcPr>
          <w:p w14:paraId="79A5E0FA">
            <w:pPr>
              <w:jc w:val="center"/>
              <w:rPr>
                <w:rFonts w:hint="eastAsia" w:asciiTheme="majorEastAsia" w:hAnsiTheme="majorEastAsia" w:eastAsiaTheme="majorEastAsia"/>
                <w:szCs w:val="21"/>
                <w:lang w:val="en-US" w:eastAsia="zh-CN"/>
              </w:rPr>
            </w:pPr>
            <w:r>
              <w:rPr>
                <w:rFonts w:hint="eastAsia" w:asciiTheme="majorEastAsia" w:hAnsiTheme="majorEastAsia" w:eastAsiaTheme="majorEastAsia"/>
                <w:szCs w:val="21"/>
                <w:lang w:val="en-US" w:eastAsia="zh-CN"/>
              </w:rPr>
              <w:t>“我是股东”走进上市公司个人投资者</w:t>
            </w:r>
          </w:p>
        </w:tc>
      </w:tr>
      <w:tr w14:paraId="533D6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04" w:type="dxa"/>
            <w:noWrap/>
            <w:vAlign w:val="center"/>
          </w:tcPr>
          <w:p w14:paraId="10067CD5">
            <w:pPr>
              <w:pStyle w:val="20"/>
              <w:widowControl/>
              <w:numPr>
                <w:ilvl w:val="0"/>
                <w:numId w:val="2"/>
              </w:numPr>
              <w:ind w:firstLineChars="0"/>
              <w:jc w:val="center"/>
              <w:rPr>
                <w:rFonts w:hint="eastAsia" w:cs="Arial" w:asciiTheme="majorEastAsia" w:hAnsiTheme="majorEastAsia" w:eastAsiaTheme="majorEastAsia"/>
                <w:kern w:val="0"/>
                <w:szCs w:val="21"/>
              </w:rPr>
            </w:pPr>
          </w:p>
        </w:tc>
        <w:tc>
          <w:tcPr>
            <w:tcW w:w="2693" w:type="dxa"/>
            <w:noWrap/>
            <w:vAlign w:val="center"/>
          </w:tcPr>
          <w:p w14:paraId="63EFA9F4">
            <w:pPr>
              <w:adjustRightInd w:val="0"/>
              <w:snapToGrid w:val="0"/>
              <w:spacing w:before="156" w:beforeLines="50" w:after="156" w:afterLines="50"/>
              <w:jc w:val="center"/>
              <w:rPr>
                <w:rFonts w:hint="eastAsia" w:asciiTheme="majorEastAsia" w:hAnsiTheme="majorEastAsia" w:eastAsiaTheme="majorEastAsia"/>
                <w:szCs w:val="21"/>
                <w:lang w:val="en-US" w:eastAsia="zh-CN"/>
              </w:rPr>
            </w:pPr>
            <w:r>
              <w:rPr>
                <w:rFonts w:hint="eastAsia" w:asciiTheme="majorEastAsia" w:hAnsiTheme="majorEastAsia" w:eastAsiaTheme="majorEastAsia"/>
                <w:szCs w:val="21"/>
                <w:lang w:val="en-US" w:eastAsia="zh-CN"/>
              </w:rPr>
              <w:t>王新瑜</w:t>
            </w:r>
          </w:p>
        </w:tc>
        <w:tc>
          <w:tcPr>
            <w:tcW w:w="6109" w:type="dxa"/>
            <w:noWrap/>
            <w:vAlign w:val="center"/>
          </w:tcPr>
          <w:p w14:paraId="7C57E6C7">
            <w:pPr>
              <w:jc w:val="center"/>
              <w:rPr>
                <w:rFonts w:hint="eastAsia" w:asciiTheme="majorEastAsia" w:hAnsiTheme="majorEastAsia" w:eastAsiaTheme="majorEastAsia"/>
                <w:szCs w:val="21"/>
                <w:lang w:val="en-US" w:eastAsia="zh-CN"/>
              </w:rPr>
            </w:pPr>
            <w:r>
              <w:rPr>
                <w:rFonts w:hint="eastAsia" w:asciiTheme="majorEastAsia" w:hAnsiTheme="majorEastAsia" w:eastAsiaTheme="majorEastAsia"/>
                <w:szCs w:val="21"/>
                <w:lang w:val="en-US" w:eastAsia="zh-CN"/>
              </w:rPr>
              <w:t>“我是股东”走进上市公司个人投资者</w:t>
            </w:r>
          </w:p>
        </w:tc>
      </w:tr>
      <w:tr w14:paraId="4CCDC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04" w:type="dxa"/>
            <w:noWrap/>
            <w:vAlign w:val="center"/>
          </w:tcPr>
          <w:p w14:paraId="04B782AB">
            <w:pPr>
              <w:pStyle w:val="20"/>
              <w:widowControl/>
              <w:numPr>
                <w:ilvl w:val="0"/>
                <w:numId w:val="2"/>
              </w:numPr>
              <w:ind w:firstLineChars="0"/>
              <w:jc w:val="center"/>
              <w:rPr>
                <w:rFonts w:hint="eastAsia" w:cs="Arial" w:asciiTheme="majorEastAsia" w:hAnsiTheme="majorEastAsia" w:eastAsiaTheme="majorEastAsia"/>
                <w:kern w:val="0"/>
                <w:szCs w:val="21"/>
              </w:rPr>
            </w:pPr>
          </w:p>
        </w:tc>
        <w:tc>
          <w:tcPr>
            <w:tcW w:w="2693" w:type="dxa"/>
            <w:noWrap/>
            <w:vAlign w:val="center"/>
          </w:tcPr>
          <w:p w14:paraId="0F1C7D7E">
            <w:pPr>
              <w:adjustRightInd w:val="0"/>
              <w:snapToGrid w:val="0"/>
              <w:spacing w:before="156" w:beforeLines="50" w:after="156" w:afterLines="50"/>
              <w:jc w:val="center"/>
              <w:rPr>
                <w:rFonts w:hint="eastAsia" w:asciiTheme="majorEastAsia" w:hAnsiTheme="majorEastAsia" w:eastAsiaTheme="majorEastAsia"/>
                <w:szCs w:val="21"/>
                <w:lang w:val="en-US" w:eastAsia="zh-CN"/>
              </w:rPr>
            </w:pPr>
            <w:r>
              <w:rPr>
                <w:rFonts w:hint="eastAsia" w:asciiTheme="majorEastAsia" w:hAnsiTheme="majorEastAsia" w:eastAsiaTheme="majorEastAsia"/>
                <w:szCs w:val="21"/>
                <w:lang w:val="en-US" w:eastAsia="zh-CN"/>
              </w:rPr>
              <w:t>曹中硕</w:t>
            </w:r>
          </w:p>
        </w:tc>
        <w:tc>
          <w:tcPr>
            <w:tcW w:w="6109" w:type="dxa"/>
            <w:noWrap/>
            <w:vAlign w:val="center"/>
          </w:tcPr>
          <w:p w14:paraId="5306F40F">
            <w:pPr>
              <w:jc w:val="center"/>
              <w:rPr>
                <w:rFonts w:hint="eastAsia" w:asciiTheme="majorEastAsia" w:hAnsiTheme="majorEastAsia" w:eastAsiaTheme="majorEastAsia"/>
                <w:szCs w:val="21"/>
                <w:lang w:val="en-US" w:eastAsia="zh-CN"/>
              </w:rPr>
            </w:pPr>
            <w:r>
              <w:rPr>
                <w:rFonts w:hint="eastAsia" w:asciiTheme="majorEastAsia" w:hAnsiTheme="majorEastAsia" w:eastAsiaTheme="majorEastAsia"/>
                <w:szCs w:val="21"/>
                <w:lang w:val="en-US" w:eastAsia="zh-CN"/>
              </w:rPr>
              <w:t>“我是股东”走进上市公司个人投资者</w:t>
            </w:r>
          </w:p>
        </w:tc>
      </w:tr>
      <w:tr w14:paraId="76B8C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04" w:type="dxa"/>
            <w:noWrap/>
            <w:vAlign w:val="center"/>
          </w:tcPr>
          <w:p w14:paraId="0C5F2BFF">
            <w:pPr>
              <w:pStyle w:val="20"/>
              <w:widowControl/>
              <w:numPr>
                <w:ilvl w:val="0"/>
                <w:numId w:val="2"/>
              </w:numPr>
              <w:ind w:firstLineChars="0"/>
              <w:jc w:val="center"/>
              <w:rPr>
                <w:rFonts w:hint="eastAsia" w:cs="Arial" w:asciiTheme="majorEastAsia" w:hAnsiTheme="majorEastAsia" w:eastAsiaTheme="majorEastAsia"/>
                <w:kern w:val="0"/>
                <w:szCs w:val="21"/>
              </w:rPr>
            </w:pPr>
          </w:p>
        </w:tc>
        <w:tc>
          <w:tcPr>
            <w:tcW w:w="2693" w:type="dxa"/>
            <w:noWrap/>
            <w:vAlign w:val="center"/>
          </w:tcPr>
          <w:p w14:paraId="3A279746">
            <w:pPr>
              <w:adjustRightInd w:val="0"/>
              <w:snapToGrid w:val="0"/>
              <w:spacing w:before="156" w:beforeLines="50" w:after="156" w:afterLines="50"/>
              <w:jc w:val="center"/>
              <w:rPr>
                <w:rFonts w:hint="eastAsia" w:asciiTheme="majorEastAsia" w:hAnsiTheme="majorEastAsia" w:eastAsiaTheme="majorEastAsia"/>
                <w:szCs w:val="21"/>
                <w:lang w:val="en-US" w:eastAsia="zh-CN"/>
              </w:rPr>
            </w:pPr>
            <w:r>
              <w:rPr>
                <w:rFonts w:hint="eastAsia" w:asciiTheme="majorEastAsia" w:hAnsiTheme="majorEastAsia" w:eastAsiaTheme="majorEastAsia"/>
                <w:szCs w:val="21"/>
                <w:lang w:val="en-US" w:eastAsia="zh-CN"/>
              </w:rPr>
              <w:t>张予𧅥</w:t>
            </w:r>
          </w:p>
        </w:tc>
        <w:tc>
          <w:tcPr>
            <w:tcW w:w="6109" w:type="dxa"/>
            <w:noWrap/>
            <w:vAlign w:val="center"/>
          </w:tcPr>
          <w:p w14:paraId="1BE336C4">
            <w:pPr>
              <w:jc w:val="center"/>
              <w:rPr>
                <w:rFonts w:hint="eastAsia" w:asciiTheme="majorEastAsia" w:hAnsiTheme="majorEastAsia" w:eastAsiaTheme="majorEastAsia"/>
                <w:szCs w:val="21"/>
                <w:lang w:val="en-US" w:eastAsia="zh-CN"/>
              </w:rPr>
            </w:pPr>
            <w:r>
              <w:rPr>
                <w:rFonts w:hint="eastAsia" w:asciiTheme="majorEastAsia" w:hAnsiTheme="majorEastAsia" w:eastAsiaTheme="majorEastAsia"/>
                <w:szCs w:val="21"/>
                <w:lang w:val="en-US" w:eastAsia="zh-CN"/>
              </w:rPr>
              <w:t>“我是股东”走进上市公司个人投资者</w:t>
            </w:r>
          </w:p>
        </w:tc>
      </w:tr>
      <w:tr w14:paraId="1DC04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04" w:type="dxa"/>
            <w:noWrap/>
            <w:vAlign w:val="center"/>
          </w:tcPr>
          <w:p w14:paraId="2A4FC77E">
            <w:pPr>
              <w:pStyle w:val="20"/>
              <w:widowControl/>
              <w:numPr>
                <w:ilvl w:val="0"/>
                <w:numId w:val="2"/>
              </w:numPr>
              <w:ind w:firstLineChars="0"/>
              <w:jc w:val="center"/>
              <w:rPr>
                <w:rFonts w:hint="eastAsia" w:cs="Arial" w:asciiTheme="majorEastAsia" w:hAnsiTheme="majorEastAsia" w:eastAsiaTheme="majorEastAsia"/>
                <w:kern w:val="0"/>
                <w:szCs w:val="21"/>
              </w:rPr>
            </w:pPr>
          </w:p>
        </w:tc>
        <w:tc>
          <w:tcPr>
            <w:tcW w:w="2693" w:type="dxa"/>
            <w:noWrap/>
            <w:vAlign w:val="center"/>
          </w:tcPr>
          <w:p w14:paraId="51A4EB30">
            <w:pPr>
              <w:adjustRightInd w:val="0"/>
              <w:snapToGrid w:val="0"/>
              <w:spacing w:before="156" w:beforeLines="50" w:after="156" w:afterLines="50"/>
              <w:jc w:val="center"/>
              <w:rPr>
                <w:rFonts w:hint="eastAsia" w:asciiTheme="majorEastAsia" w:hAnsiTheme="majorEastAsia" w:eastAsiaTheme="majorEastAsia"/>
                <w:szCs w:val="21"/>
                <w:lang w:val="en-US" w:eastAsia="zh-CN"/>
              </w:rPr>
            </w:pPr>
            <w:r>
              <w:rPr>
                <w:rFonts w:hint="eastAsia" w:asciiTheme="majorEastAsia" w:hAnsiTheme="majorEastAsia" w:eastAsiaTheme="majorEastAsia"/>
                <w:szCs w:val="21"/>
                <w:lang w:val="en-US" w:eastAsia="zh-CN"/>
              </w:rPr>
              <w:t>张雨</w:t>
            </w:r>
          </w:p>
        </w:tc>
        <w:tc>
          <w:tcPr>
            <w:tcW w:w="6109" w:type="dxa"/>
            <w:noWrap/>
            <w:vAlign w:val="center"/>
          </w:tcPr>
          <w:p w14:paraId="3EDF760A">
            <w:pPr>
              <w:jc w:val="center"/>
              <w:rPr>
                <w:rFonts w:hint="eastAsia" w:asciiTheme="majorEastAsia" w:hAnsiTheme="majorEastAsia" w:eastAsiaTheme="majorEastAsia"/>
                <w:szCs w:val="21"/>
                <w:lang w:val="en-US" w:eastAsia="zh-CN"/>
              </w:rPr>
            </w:pPr>
            <w:r>
              <w:rPr>
                <w:rFonts w:hint="eastAsia" w:asciiTheme="majorEastAsia" w:hAnsiTheme="majorEastAsia" w:eastAsiaTheme="majorEastAsia"/>
                <w:szCs w:val="21"/>
                <w:lang w:val="en-US" w:eastAsia="zh-CN"/>
              </w:rPr>
              <w:t>“我是股东”走进上市公司个人投资者</w:t>
            </w:r>
          </w:p>
        </w:tc>
      </w:tr>
      <w:tr w14:paraId="4E396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jc w:val="center"/>
        </w:trPr>
        <w:tc>
          <w:tcPr>
            <w:tcW w:w="704" w:type="dxa"/>
            <w:noWrap/>
            <w:vAlign w:val="center"/>
          </w:tcPr>
          <w:p w14:paraId="73DD5A74">
            <w:pPr>
              <w:pStyle w:val="20"/>
              <w:widowControl/>
              <w:numPr>
                <w:ilvl w:val="0"/>
                <w:numId w:val="2"/>
              </w:numPr>
              <w:ind w:firstLineChars="0"/>
              <w:jc w:val="center"/>
              <w:rPr>
                <w:rFonts w:hint="eastAsia" w:cs="Arial" w:asciiTheme="majorEastAsia" w:hAnsiTheme="majorEastAsia" w:eastAsiaTheme="majorEastAsia"/>
                <w:kern w:val="0"/>
                <w:szCs w:val="21"/>
              </w:rPr>
            </w:pPr>
          </w:p>
        </w:tc>
        <w:tc>
          <w:tcPr>
            <w:tcW w:w="2693" w:type="dxa"/>
            <w:noWrap/>
            <w:vAlign w:val="center"/>
          </w:tcPr>
          <w:p w14:paraId="0DE3F6D3">
            <w:pPr>
              <w:adjustRightInd w:val="0"/>
              <w:snapToGrid w:val="0"/>
              <w:spacing w:before="156" w:beforeLines="50" w:after="156" w:afterLines="50"/>
              <w:jc w:val="center"/>
              <w:rPr>
                <w:rFonts w:hint="eastAsia" w:asciiTheme="majorEastAsia" w:hAnsiTheme="majorEastAsia" w:eastAsiaTheme="majorEastAsia"/>
                <w:szCs w:val="21"/>
                <w:lang w:val="en-US" w:eastAsia="zh-CN"/>
              </w:rPr>
            </w:pPr>
            <w:r>
              <w:rPr>
                <w:rFonts w:hint="eastAsia" w:asciiTheme="majorEastAsia" w:hAnsiTheme="majorEastAsia" w:eastAsiaTheme="majorEastAsia"/>
                <w:szCs w:val="21"/>
                <w:lang w:val="en-US" w:eastAsia="zh-CN"/>
              </w:rPr>
              <w:t>曾路</w:t>
            </w:r>
          </w:p>
        </w:tc>
        <w:tc>
          <w:tcPr>
            <w:tcW w:w="6109" w:type="dxa"/>
            <w:noWrap/>
            <w:vAlign w:val="center"/>
          </w:tcPr>
          <w:p w14:paraId="7D80B8AB">
            <w:pPr>
              <w:jc w:val="center"/>
              <w:rPr>
                <w:rFonts w:hint="eastAsia" w:asciiTheme="majorEastAsia" w:hAnsiTheme="majorEastAsia" w:eastAsiaTheme="majorEastAsia"/>
                <w:szCs w:val="21"/>
                <w:lang w:val="en-US" w:eastAsia="zh-CN"/>
              </w:rPr>
            </w:pPr>
            <w:r>
              <w:rPr>
                <w:rFonts w:hint="eastAsia" w:asciiTheme="majorEastAsia" w:hAnsiTheme="majorEastAsia" w:eastAsiaTheme="majorEastAsia"/>
                <w:szCs w:val="21"/>
                <w:lang w:val="en-US" w:eastAsia="zh-CN"/>
              </w:rPr>
              <w:t>“我是股东”走进上市公司个人投资者</w:t>
            </w:r>
          </w:p>
        </w:tc>
      </w:tr>
      <w:tr w14:paraId="63CF0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04" w:type="dxa"/>
            <w:noWrap/>
            <w:vAlign w:val="center"/>
          </w:tcPr>
          <w:p w14:paraId="0AE15B53">
            <w:pPr>
              <w:pStyle w:val="20"/>
              <w:widowControl/>
              <w:numPr>
                <w:ilvl w:val="0"/>
                <w:numId w:val="2"/>
              </w:numPr>
              <w:ind w:firstLineChars="0"/>
              <w:jc w:val="center"/>
              <w:rPr>
                <w:rFonts w:hint="eastAsia" w:cs="Arial" w:asciiTheme="majorEastAsia" w:hAnsiTheme="majorEastAsia" w:eastAsiaTheme="majorEastAsia"/>
                <w:kern w:val="0"/>
                <w:szCs w:val="21"/>
              </w:rPr>
            </w:pPr>
          </w:p>
        </w:tc>
        <w:tc>
          <w:tcPr>
            <w:tcW w:w="2693" w:type="dxa"/>
            <w:noWrap/>
            <w:vAlign w:val="center"/>
          </w:tcPr>
          <w:p w14:paraId="02792B5D">
            <w:pPr>
              <w:adjustRightInd w:val="0"/>
              <w:snapToGrid w:val="0"/>
              <w:spacing w:before="156" w:beforeLines="50" w:after="156" w:afterLines="50"/>
              <w:jc w:val="center"/>
              <w:rPr>
                <w:rFonts w:hint="eastAsia" w:asciiTheme="majorEastAsia" w:hAnsiTheme="majorEastAsia" w:eastAsiaTheme="majorEastAsia"/>
                <w:szCs w:val="21"/>
                <w:lang w:val="en-US" w:eastAsia="zh-CN"/>
              </w:rPr>
            </w:pPr>
            <w:r>
              <w:rPr>
                <w:rFonts w:hint="eastAsia" w:asciiTheme="majorEastAsia" w:hAnsiTheme="majorEastAsia" w:eastAsiaTheme="majorEastAsia"/>
                <w:szCs w:val="21"/>
                <w:lang w:val="en-US" w:eastAsia="zh-CN"/>
              </w:rPr>
              <w:t>王昱昊</w:t>
            </w:r>
          </w:p>
        </w:tc>
        <w:tc>
          <w:tcPr>
            <w:tcW w:w="6109" w:type="dxa"/>
            <w:noWrap/>
            <w:vAlign w:val="center"/>
          </w:tcPr>
          <w:p w14:paraId="7D8148B4">
            <w:pPr>
              <w:jc w:val="center"/>
              <w:rPr>
                <w:rFonts w:hint="eastAsia" w:asciiTheme="majorEastAsia" w:hAnsiTheme="majorEastAsia" w:eastAsiaTheme="majorEastAsia"/>
                <w:szCs w:val="21"/>
                <w:lang w:val="en-US" w:eastAsia="zh-CN"/>
              </w:rPr>
            </w:pPr>
            <w:r>
              <w:rPr>
                <w:rFonts w:hint="eastAsia" w:asciiTheme="majorEastAsia" w:hAnsiTheme="majorEastAsia" w:eastAsiaTheme="majorEastAsia"/>
                <w:szCs w:val="21"/>
                <w:lang w:val="en-US" w:eastAsia="zh-CN"/>
              </w:rPr>
              <w:t>“我是股东”走进上市公司个人投资者</w:t>
            </w:r>
          </w:p>
        </w:tc>
      </w:tr>
      <w:tr w14:paraId="51647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04" w:type="dxa"/>
            <w:noWrap/>
            <w:vAlign w:val="center"/>
          </w:tcPr>
          <w:p w14:paraId="18E1B428">
            <w:pPr>
              <w:pStyle w:val="20"/>
              <w:widowControl/>
              <w:numPr>
                <w:ilvl w:val="0"/>
                <w:numId w:val="2"/>
              </w:numPr>
              <w:ind w:firstLineChars="0"/>
              <w:jc w:val="center"/>
              <w:rPr>
                <w:rFonts w:hint="eastAsia" w:cs="Arial" w:asciiTheme="majorEastAsia" w:hAnsiTheme="majorEastAsia" w:eastAsiaTheme="majorEastAsia"/>
                <w:kern w:val="0"/>
                <w:szCs w:val="21"/>
              </w:rPr>
            </w:pPr>
          </w:p>
        </w:tc>
        <w:tc>
          <w:tcPr>
            <w:tcW w:w="2693" w:type="dxa"/>
            <w:noWrap/>
            <w:vAlign w:val="center"/>
          </w:tcPr>
          <w:p w14:paraId="25C92884">
            <w:pPr>
              <w:adjustRightInd w:val="0"/>
              <w:snapToGrid w:val="0"/>
              <w:spacing w:before="156" w:beforeLines="50" w:after="156" w:afterLines="50"/>
              <w:jc w:val="center"/>
              <w:rPr>
                <w:rFonts w:hint="eastAsia" w:asciiTheme="majorEastAsia" w:hAnsiTheme="majorEastAsia" w:eastAsiaTheme="majorEastAsia"/>
                <w:szCs w:val="21"/>
                <w:lang w:val="en-US" w:eastAsia="zh-CN"/>
              </w:rPr>
            </w:pPr>
            <w:r>
              <w:rPr>
                <w:rFonts w:hint="eastAsia" w:asciiTheme="majorEastAsia" w:hAnsiTheme="majorEastAsia" w:eastAsiaTheme="majorEastAsia"/>
                <w:szCs w:val="21"/>
                <w:lang w:val="en-US" w:eastAsia="zh-CN"/>
              </w:rPr>
              <w:t>尚勇华</w:t>
            </w:r>
          </w:p>
        </w:tc>
        <w:tc>
          <w:tcPr>
            <w:tcW w:w="6109" w:type="dxa"/>
            <w:noWrap/>
            <w:vAlign w:val="center"/>
          </w:tcPr>
          <w:p w14:paraId="31241C75">
            <w:pPr>
              <w:jc w:val="center"/>
              <w:rPr>
                <w:rFonts w:hint="eastAsia" w:asciiTheme="majorEastAsia" w:hAnsiTheme="majorEastAsia" w:eastAsiaTheme="majorEastAsia"/>
                <w:szCs w:val="21"/>
                <w:lang w:val="en-US" w:eastAsia="zh-CN"/>
              </w:rPr>
            </w:pPr>
            <w:r>
              <w:rPr>
                <w:rFonts w:hint="eastAsia" w:asciiTheme="majorEastAsia" w:hAnsiTheme="majorEastAsia" w:eastAsiaTheme="majorEastAsia"/>
                <w:szCs w:val="21"/>
                <w:lang w:val="en-US" w:eastAsia="zh-CN"/>
              </w:rPr>
              <w:t>“我是股东”走进上市公司个人投资者</w:t>
            </w:r>
          </w:p>
        </w:tc>
      </w:tr>
      <w:tr w14:paraId="06673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04" w:type="dxa"/>
            <w:noWrap/>
            <w:vAlign w:val="center"/>
          </w:tcPr>
          <w:p w14:paraId="16939BBA">
            <w:pPr>
              <w:pStyle w:val="20"/>
              <w:widowControl/>
              <w:numPr>
                <w:ilvl w:val="0"/>
                <w:numId w:val="2"/>
              </w:numPr>
              <w:ind w:firstLineChars="0"/>
              <w:jc w:val="center"/>
              <w:rPr>
                <w:rFonts w:hint="eastAsia" w:cs="Arial" w:asciiTheme="majorEastAsia" w:hAnsiTheme="majorEastAsia" w:eastAsiaTheme="majorEastAsia"/>
                <w:kern w:val="0"/>
                <w:szCs w:val="21"/>
              </w:rPr>
            </w:pPr>
          </w:p>
        </w:tc>
        <w:tc>
          <w:tcPr>
            <w:tcW w:w="2693" w:type="dxa"/>
            <w:noWrap/>
            <w:vAlign w:val="center"/>
          </w:tcPr>
          <w:p w14:paraId="37C9E079">
            <w:pPr>
              <w:adjustRightInd w:val="0"/>
              <w:snapToGrid w:val="0"/>
              <w:spacing w:before="156" w:beforeLines="50" w:after="156" w:afterLines="50"/>
              <w:jc w:val="center"/>
              <w:rPr>
                <w:rFonts w:hint="eastAsia" w:asciiTheme="majorEastAsia" w:hAnsiTheme="majorEastAsia" w:eastAsiaTheme="majorEastAsia"/>
                <w:szCs w:val="21"/>
                <w:lang w:val="en-US" w:eastAsia="zh-CN"/>
              </w:rPr>
            </w:pPr>
            <w:r>
              <w:rPr>
                <w:rFonts w:hint="eastAsia" w:asciiTheme="majorEastAsia" w:hAnsiTheme="majorEastAsia" w:eastAsiaTheme="majorEastAsia"/>
                <w:szCs w:val="21"/>
                <w:lang w:val="en-US" w:eastAsia="zh-CN"/>
              </w:rPr>
              <w:t>钱巍</w:t>
            </w:r>
          </w:p>
        </w:tc>
        <w:tc>
          <w:tcPr>
            <w:tcW w:w="6109" w:type="dxa"/>
            <w:noWrap/>
            <w:vAlign w:val="center"/>
          </w:tcPr>
          <w:p w14:paraId="56B55ABF">
            <w:pPr>
              <w:jc w:val="center"/>
              <w:rPr>
                <w:rFonts w:hint="eastAsia" w:asciiTheme="majorEastAsia" w:hAnsiTheme="majorEastAsia" w:eastAsiaTheme="majorEastAsia"/>
                <w:szCs w:val="21"/>
                <w:lang w:val="en-US" w:eastAsia="zh-CN"/>
              </w:rPr>
            </w:pPr>
            <w:r>
              <w:rPr>
                <w:rFonts w:hint="eastAsia" w:asciiTheme="majorEastAsia" w:hAnsiTheme="majorEastAsia" w:eastAsiaTheme="majorEastAsia"/>
                <w:szCs w:val="21"/>
                <w:lang w:val="en-US" w:eastAsia="zh-CN"/>
              </w:rPr>
              <w:t>“我是股东”走进上市公司个人投资者</w:t>
            </w:r>
          </w:p>
        </w:tc>
      </w:tr>
      <w:tr w14:paraId="0DBC1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04" w:type="dxa"/>
            <w:noWrap/>
            <w:vAlign w:val="center"/>
          </w:tcPr>
          <w:p w14:paraId="40597194">
            <w:pPr>
              <w:pStyle w:val="20"/>
              <w:widowControl/>
              <w:numPr>
                <w:ilvl w:val="0"/>
                <w:numId w:val="2"/>
              </w:numPr>
              <w:ind w:firstLineChars="0"/>
              <w:jc w:val="center"/>
              <w:rPr>
                <w:rFonts w:hint="eastAsia" w:cs="Arial" w:asciiTheme="majorEastAsia" w:hAnsiTheme="majorEastAsia" w:eastAsiaTheme="majorEastAsia"/>
                <w:kern w:val="0"/>
                <w:szCs w:val="21"/>
              </w:rPr>
            </w:pPr>
          </w:p>
        </w:tc>
        <w:tc>
          <w:tcPr>
            <w:tcW w:w="2693" w:type="dxa"/>
            <w:noWrap/>
            <w:vAlign w:val="center"/>
          </w:tcPr>
          <w:p w14:paraId="426703BF">
            <w:pPr>
              <w:adjustRightInd w:val="0"/>
              <w:snapToGrid w:val="0"/>
              <w:spacing w:before="156" w:beforeLines="50" w:after="156" w:afterLines="50"/>
              <w:jc w:val="center"/>
              <w:rPr>
                <w:rFonts w:hint="eastAsia" w:asciiTheme="majorEastAsia" w:hAnsiTheme="majorEastAsia" w:eastAsiaTheme="majorEastAsia"/>
                <w:szCs w:val="21"/>
                <w:lang w:val="en-US" w:eastAsia="zh-CN"/>
              </w:rPr>
            </w:pPr>
            <w:r>
              <w:rPr>
                <w:rFonts w:hint="eastAsia" w:asciiTheme="majorEastAsia" w:hAnsiTheme="majorEastAsia" w:eastAsiaTheme="majorEastAsia"/>
                <w:szCs w:val="21"/>
                <w:lang w:val="en-US" w:eastAsia="zh-CN"/>
              </w:rPr>
              <w:t>张哲阳</w:t>
            </w:r>
          </w:p>
        </w:tc>
        <w:tc>
          <w:tcPr>
            <w:tcW w:w="6109" w:type="dxa"/>
            <w:noWrap/>
            <w:vAlign w:val="center"/>
          </w:tcPr>
          <w:p w14:paraId="05078D15">
            <w:pPr>
              <w:jc w:val="center"/>
              <w:rPr>
                <w:rFonts w:hint="eastAsia" w:asciiTheme="majorEastAsia" w:hAnsiTheme="majorEastAsia" w:eastAsiaTheme="majorEastAsia"/>
                <w:szCs w:val="21"/>
                <w:lang w:val="en-US" w:eastAsia="zh-CN"/>
              </w:rPr>
            </w:pPr>
            <w:r>
              <w:rPr>
                <w:rFonts w:hint="eastAsia" w:asciiTheme="majorEastAsia" w:hAnsiTheme="majorEastAsia" w:eastAsiaTheme="majorEastAsia"/>
                <w:szCs w:val="21"/>
                <w:lang w:val="en-US" w:eastAsia="zh-CN"/>
              </w:rPr>
              <w:t>“我是股东”走进上市公司个人投资者</w:t>
            </w:r>
          </w:p>
        </w:tc>
      </w:tr>
      <w:tr w14:paraId="73EC1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04" w:type="dxa"/>
            <w:noWrap/>
            <w:vAlign w:val="center"/>
          </w:tcPr>
          <w:p w14:paraId="03F83D02">
            <w:pPr>
              <w:pStyle w:val="20"/>
              <w:widowControl/>
              <w:numPr>
                <w:ilvl w:val="0"/>
                <w:numId w:val="2"/>
              </w:numPr>
              <w:ind w:firstLineChars="0"/>
              <w:jc w:val="center"/>
              <w:rPr>
                <w:rFonts w:hint="eastAsia" w:cs="Arial" w:asciiTheme="majorEastAsia" w:hAnsiTheme="majorEastAsia" w:eastAsiaTheme="majorEastAsia"/>
                <w:kern w:val="0"/>
                <w:szCs w:val="21"/>
              </w:rPr>
            </w:pPr>
          </w:p>
        </w:tc>
        <w:tc>
          <w:tcPr>
            <w:tcW w:w="2693" w:type="dxa"/>
            <w:noWrap/>
            <w:vAlign w:val="center"/>
          </w:tcPr>
          <w:p w14:paraId="65493437">
            <w:pPr>
              <w:adjustRightInd w:val="0"/>
              <w:snapToGrid w:val="0"/>
              <w:spacing w:before="156" w:beforeLines="50" w:after="156" w:afterLines="50"/>
              <w:jc w:val="center"/>
              <w:rPr>
                <w:rFonts w:hint="eastAsia" w:asciiTheme="majorEastAsia" w:hAnsiTheme="majorEastAsia" w:eastAsiaTheme="majorEastAsia"/>
                <w:szCs w:val="21"/>
                <w:lang w:val="en-US" w:eastAsia="zh-CN"/>
              </w:rPr>
            </w:pPr>
            <w:r>
              <w:rPr>
                <w:rFonts w:hint="eastAsia" w:asciiTheme="majorEastAsia" w:hAnsiTheme="majorEastAsia" w:eastAsiaTheme="majorEastAsia"/>
                <w:szCs w:val="21"/>
                <w:lang w:val="en-US" w:eastAsia="zh-CN"/>
              </w:rPr>
              <w:t>骆抒怡</w:t>
            </w:r>
          </w:p>
        </w:tc>
        <w:tc>
          <w:tcPr>
            <w:tcW w:w="6109" w:type="dxa"/>
            <w:noWrap/>
            <w:vAlign w:val="center"/>
          </w:tcPr>
          <w:p w14:paraId="44650E8D">
            <w:pPr>
              <w:jc w:val="center"/>
              <w:rPr>
                <w:rFonts w:hint="eastAsia" w:asciiTheme="majorEastAsia" w:hAnsiTheme="majorEastAsia" w:eastAsiaTheme="majorEastAsia"/>
                <w:szCs w:val="21"/>
                <w:lang w:val="en-US" w:eastAsia="zh-CN"/>
              </w:rPr>
            </w:pPr>
            <w:r>
              <w:rPr>
                <w:rFonts w:hint="eastAsia" w:asciiTheme="majorEastAsia" w:hAnsiTheme="majorEastAsia" w:eastAsiaTheme="majorEastAsia"/>
                <w:szCs w:val="21"/>
                <w:lang w:val="en-US" w:eastAsia="zh-CN"/>
              </w:rPr>
              <w:t>“我是股东”走进上市公司个人投资者</w:t>
            </w:r>
          </w:p>
        </w:tc>
      </w:tr>
      <w:tr w14:paraId="74A70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04" w:type="dxa"/>
            <w:noWrap/>
            <w:vAlign w:val="center"/>
          </w:tcPr>
          <w:p w14:paraId="4379B76C">
            <w:pPr>
              <w:pStyle w:val="20"/>
              <w:widowControl/>
              <w:numPr>
                <w:ilvl w:val="0"/>
                <w:numId w:val="2"/>
              </w:numPr>
              <w:ind w:firstLineChars="0"/>
              <w:jc w:val="center"/>
              <w:rPr>
                <w:rFonts w:hint="eastAsia" w:cs="Arial" w:asciiTheme="majorEastAsia" w:hAnsiTheme="majorEastAsia" w:eastAsiaTheme="majorEastAsia"/>
                <w:kern w:val="0"/>
                <w:szCs w:val="21"/>
              </w:rPr>
            </w:pPr>
          </w:p>
        </w:tc>
        <w:tc>
          <w:tcPr>
            <w:tcW w:w="2693" w:type="dxa"/>
            <w:noWrap/>
            <w:vAlign w:val="center"/>
          </w:tcPr>
          <w:p w14:paraId="2F7E8978">
            <w:pPr>
              <w:adjustRightInd w:val="0"/>
              <w:snapToGrid w:val="0"/>
              <w:spacing w:before="156" w:beforeLines="50" w:after="156" w:afterLines="50"/>
              <w:jc w:val="center"/>
              <w:rPr>
                <w:rFonts w:hint="eastAsia" w:asciiTheme="majorEastAsia" w:hAnsiTheme="majorEastAsia" w:eastAsiaTheme="majorEastAsia"/>
                <w:szCs w:val="21"/>
                <w:lang w:val="en-US" w:eastAsia="zh-CN"/>
              </w:rPr>
            </w:pPr>
            <w:r>
              <w:rPr>
                <w:rFonts w:hint="eastAsia" w:asciiTheme="majorEastAsia" w:hAnsiTheme="majorEastAsia" w:eastAsiaTheme="majorEastAsia"/>
                <w:szCs w:val="21"/>
                <w:lang w:val="en-US" w:eastAsia="zh-CN"/>
              </w:rPr>
              <w:t>张毅</w:t>
            </w:r>
          </w:p>
        </w:tc>
        <w:tc>
          <w:tcPr>
            <w:tcW w:w="6109" w:type="dxa"/>
            <w:noWrap/>
            <w:vAlign w:val="center"/>
          </w:tcPr>
          <w:p w14:paraId="246C9544">
            <w:pPr>
              <w:jc w:val="center"/>
              <w:rPr>
                <w:rFonts w:hint="eastAsia" w:asciiTheme="majorEastAsia" w:hAnsiTheme="majorEastAsia" w:eastAsiaTheme="majorEastAsia"/>
                <w:szCs w:val="21"/>
                <w:lang w:val="en-US" w:eastAsia="zh-CN"/>
              </w:rPr>
            </w:pPr>
            <w:r>
              <w:rPr>
                <w:rFonts w:hint="eastAsia" w:asciiTheme="majorEastAsia" w:hAnsiTheme="majorEastAsia" w:eastAsiaTheme="majorEastAsia"/>
                <w:szCs w:val="21"/>
                <w:lang w:val="en-US" w:eastAsia="zh-CN"/>
              </w:rPr>
              <w:t>东吴证券</w:t>
            </w:r>
          </w:p>
        </w:tc>
      </w:tr>
      <w:tr w14:paraId="7A326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04" w:type="dxa"/>
            <w:noWrap/>
            <w:vAlign w:val="center"/>
          </w:tcPr>
          <w:p w14:paraId="47F43692">
            <w:pPr>
              <w:pStyle w:val="20"/>
              <w:widowControl/>
              <w:numPr>
                <w:ilvl w:val="0"/>
                <w:numId w:val="2"/>
              </w:numPr>
              <w:ind w:firstLineChars="0"/>
              <w:jc w:val="center"/>
              <w:rPr>
                <w:rFonts w:hint="eastAsia" w:cs="Arial" w:asciiTheme="majorEastAsia" w:hAnsiTheme="majorEastAsia" w:eastAsiaTheme="majorEastAsia"/>
                <w:kern w:val="0"/>
                <w:szCs w:val="21"/>
              </w:rPr>
            </w:pPr>
          </w:p>
        </w:tc>
        <w:tc>
          <w:tcPr>
            <w:tcW w:w="2693" w:type="dxa"/>
            <w:noWrap/>
            <w:vAlign w:val="center"/>
          </w:tcPr>
          <w:p w14:paraId="7EDE59C6">
            <w:pPr>
              <w:adjustRightInd w:val="0"/>
              <w:snapToGrid w:val="0"/>
              <w:spacing w:before="156" w:beforeLines="50" w:after="156" w:afterLines="50"/>
              <w:jc w:val="center"/>
              <w:rPr>
                <w:rFonts w:hint="eastAsia" w:asciiTheme="majorEastAsia" w:hAnsiTheme="majorEastAsia" w:eastAsiaTheme="majorEastAsia"/>
                <w:szCs w:val="21"/>
                <w:lang w:val="en-US" w:eastAsia="zh-CN"/>
              </w:rPr>
            </w:pPr>
            <w:r>
              <w:rPr>
                <w:rFonts w:hint="eastAsia" w:asciiTheme="majorEastAsia" w:hAnsiTheme="majorEastAsia" w:eastAsiaTheme="majorEastAsia"/>
                <w:szCs w:val="21"/>
                <w:lang w:val="en-US" w:eastAsia="zh-CN"/>
              </w:rPr>
              <w:t>吴尧</w:t>
            </w:r>
          </w:p>
        </w:tc>
        <w:tc>
          <w:tcPr>
            <w:tcW w:w="6109" w:type="dxa"/>
            <w:noWrap/>
            <w:vAlign w:val="center"/>
          </w:tcPr>
          <w:p w14:paraId="3326FFDC">
            <w:pPr>
              <w:jc w:val="center"/>
              <w:rPr>
                <w:rFonts w:hint="eastAsia" w:asciiTheme="majorEastAsia" w:hAnsiTheme="majorEastAsia" w:eastAsiaTheme="majorEastAsia"/>
                <w:szCs w:val="21"/>
                <w:lang w:val="en-US" w:eastAsia="zh-CN"/>
              </w:rPr>
            </w:pPr>
            <w:r>
              <w:rPr>
                <w:rFonts w:hint="eastAsia" w:asciiTheme="majorEastAsia" w:hAnsiTheme="majorEastAsia" w:eastAsiaTheme="majorEastAsia"/>
                <w:szCs w:val="21"/>
                <w:lang w:val="en-US" w:eastAsia="zh-CN"/>
              </w:rPr>
              <w:t>东吴证券</w:t>
            </w:r>
          </w:p>
        </w:tc>
      </w:tr>
    </w:tbl>
    <w:p w14:paraId="4584AFBA"/>
    <w:p w14:paraId="0F3347E4">
      <w:pPr>
        <w:widowControl/>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imSun-ExtB">
    <w:panose1 w:val="02010609060101010101"/>
    <w:charset w:val="86"/>
    <w:family w:val="auto"/>
    <w:pitch w:val="default"/>
    <w:sig w:usb0="00000001" w:usb1="02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3D9DF3"/>
    <w:multiLevelType w:val="singleLevel"/>
    <w:tmpl w:val="EA3D9DF3"/>
    <w:lvl w:ilvl="0" w:tentative="0">
      <w:start w:val="10"/>
      <w:numFmt w:val="decimal"/>
      <w:suff w:val="nothing"/>
      <w:lvlText w:val="%1、"/>
      <w:lvlJc w:val="left"/>
    </w:lvl>
  </w:abstractNum>
  <w:abstractNum w:abstractNumId="1">
    <w:nsid w:val="00F8541B"/>
    <w:multiLevelType w:val="multilevel"/>
    <w:tmpl w:val="00F8541B"/>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I3NTlhNGJhZTk1YmZkMTc2MTM0MTg2MGI3NTFmMTEifQ=="/>
  </w:docVars>
  <w:rsids>
    <w:rsidRoot w:val="00567BC5"/>
    <w:rsid w:val="00013BD9"/>
    <w:rsid w:val="00026237"/>
    <w:rsid w:val="000315A6"/>
    <w:rsid w:val="00034B84"/>
    <w:rsid w:val="00034FA7"/>
    <w:rsid w:val="00035BCD"/>
    <w:rsid w:val="00036F06"/>
    <w:rsid w:val="000409D1"/>
    <w:rsid w:val="00042246"/>
    <w:rsid w:val="000449A8"/>
    <w:rsid w:val="00045480"/>
    <w:rsid w:val="00046C48"/>
    <w:rsid w:val="0005022E"/>
    <w:rsid w:val="00052229"/>
    <w:rsid w:val="00064283"/>
    <w:rsid w:val="00066280"/>
    <w:rsid w:val="0007166D"/>
    <w:rsid w:val="000769BA"/>
    <w:rsid w:val="00084BB6"/>
    <w:rsid w:val="00095BA8"/>
    <w:rsid w:val="00097AC0"/>
    <w:rsid w:val="000A0516"/>
    <w:rsid w:val="000A2349"/>
    <w:rsid w:val="000A3AAC"/>
    <w:rsid w:val="000A60C9"/>
    <w:rsid w:val="000B23D5"/>
    <w:rsid w:val="000B65BC"/>
    <w:rsid w:val="000B726F"/>
    <w:rsid w:val="000D418C"/>
    <w:rsid w:val="000D66A9"/>
    <w:rsid w:val="000D7E04"/>
    <w:rsid w:val="000D7F90"/>
    <w:rsid w:val="000E21F4"/>
    <w:rsid w:val="000E4916"/>
    <w:rsid w:val="000E533F"/>
    <w:rsid w:val="000E6659"/>
    <w:rsid w:val="000F01B2"/>
    <w:rsid w:val="000F4528"/>
    <w:rsid w:val="000F4DE6"/>
    <w:rsid w:val="00100012"/>
    <w:rsid w:val="00102A74"/>
    <w:rsid w:val="00103A46"/>
    <w:rsid w:val="001046F0"/>
    <w:rsid w:val="0010631C"/>
    <w:rsid w:val="00107CBF"/>
    <w:rsid w:val="00116CC6"/>
    <w:rsid w:val="001170ED"/>
    <w:rsid w:val="0012066A"/>
    <w:rsid w:val="0012140A"/>
    <w:rsid w:val="0012297D"/>
    <w:rsid w:val="00122A2F"/>
    <w:rsid w:val="001252F6"/>
    <w:rsid w:val="00125F75"/>
    <w:rsid w:val="001344AB"/>
    <w:rsid w:val="00141362"/>
    <w:rsid w:val="001535F0"/>
    <w:rsid w:val="00162EE6"/>
    <w:rsid w:val="0016609B"/>
    <w:rsid w:val="00170609"/>
    <w:rsid w:val="00180805"/>
    <w:rsid w:val="00185ACD"/>
    <w:rsid w:val="001903FE"/>
    <w:rsid w:val="00193759"/>
    <w:rsid w:val="00195B92"/>
    <w:rsid w:val="001971B8"/>
    <w:rsid w:val="001A50A6"/>
    <w:rsid w:val="001A754C"/>
    <w:rsid w:val="001B72CB"/>
    <w:rsid w:val="001C22CC"/>
    <w:rsid w:val="001C2D42"/>
    <w:rsid w:val="001C5C2B"/>
    <w:rsid w:val="001C654F"/>
    <w:rsid w:val="001D0557"/>
    <w:rsid w:val="001D451C"/>
    <w:rsid w:val="001D6CD8"/>
    <w:rsid w:val="001E3A3D"/>
    <w:rsid w:val="001E6705"/>
    <w:rsid w:val="001E6CE9"/>
    <w:rsid w:val="001F2434"/>
    <w:rsid w:val="001F2744"/>
    <w:rsid w:val="001F4FB0"/>
    <w:rsid w:val="001F716E"/>
    <w:rsid w:val="001F7885"/>
    <w:rsid w:val="00202D0A"/>
    <w:rsid w:val="00203308"/>
    <w:rsid w:val="00204038"/>
    <w:rsid w:val="00204C93"/>
    <w:rsid w:val="0022140C"/>
    <w:rsid w:val="0022258B"/>
    <w:rsid w:val="00230B78"/>
    <w:rsid w:val="00230C2F"/>
    <w:rsid w:val="00235F68"/>
    <w:rsid w:val="00246B58"/>
    <w:rsid w:val="002475FE"/>
    <w:rsid w:val="00252339"/>
    <w:rsid w:val="002568FA"/>
    <w:rsid w:val="00257423"/>
    <w:rsid w:val="00257F6E"/>
    <w:rsid w:val="002654A0"/>
    <w:rsid w:val="002731A5"/>
    <w:rsid w:val="00273D21"/>
    <w:rsid w:val="00275754"/>
    <w:rsid w:val="00276195"/>
    <w:rsid w:val="0028273E"/>
    <w:rsid w:val="00284ED9"/>
    <w:rsid w:val="00294472"/>
    <w:rsid w:val="00297875"/>
    <w:rsid w:val="002A073A"/>
    <w:rsid w:val="002A0FEF"/>
    <w:rsid w:val="002A20A8"/>
    <w:rsid w:val="002A5ACE"/>
    <w:rsid w:val="002B076B"/>
    <w:rsid w:val="002B57CD"/>
    <w:rsid w:val="002B7BC9"/>
    <w:rsid w:val="002C0AC7"/>
    <w:rsid w:val="002D534C"/>
    <w:rsid w:val="002E237B"/>
    <w:rsid w:val="002E369A"/>
    <w:rsid w:val="002F028A"/>
    <w:rsid w:val="002F3B05"/>
    <w:rsid w:val="0030071F"/>
    <w:rsid w:val="0030311F"/>
    <w:rsid w:val="00310E05"/>
    <w:rsid w:val="00317ADB"/>
    <w:rsid w:val="00325ADB"/>
    <w:rsid w:val="0032784B"/>
    <w:rsid w:val="00336393"/>
    <w:rsid w:val="00336A38"/>
    <w:rsid w:val="00341250"/>
    <w:rsid w:val="003421E8"/>
    <w:rsid w:val="003433A4"/>
    <w:rsid w:val="00347E38"/>
    <w:rsid w:val="003544DE"/>
    <w:rsid w:val="00355232"/>
    <w:rsid w:val="00360AFA"/>
    <w:rsid w:val="003645FD"/>
    <w:rsid w:val="00365283"/>
    <w:rsid w:val="00366574"/>
    <w:rsid w:val="003673C6"/>
    <w:rsid w:val="003732C0"/>
    <w:rsid w:val="00395C29"/>
    <w:rsid w:val="003971C1"/>
    <w:rsid w:val="003A266F"/>
    <w:rsid w:val="003A54CD"/>
    <w:rsid w:val="003B0E10"/>
    <w:rsid w:val="003C3E0D"/>
    <w:rsid w:val="003D737D"/>
    <w:rsid w:val="003E1680"/>
    <w:rsid w:val="003E479E"/>
    <w:rsid w:val="003F5254"/>
    <w:rsid w:val="003F7426"/>
    <w:rsid w:val="00401036"/>
    <w:rsid w:val="00404AB1"/>
    <w:rsid w:val="00415ADD"/>
    <w:rsid w:val="00424729"/>
    <w:rsid w:val="00424C2A"/>
    <w:rsid w:val="00425C2E"/>
    <w:rsid w:val="004350BB"/>
    <w:rsid w:val="0044428F"/>
    <w:rsid w:val="004445E6"/>
    <w:rsid w:val="00446D5C"/>
    <w:rsid w:val="004513A7"/>
    <w:rsid w:val="00454798"/>
    <w:rsid w:val="00464581"/>
    <w:rsid w:val="004646D4"/>
    <w:rsid w:val="00465537"/>
    <w:rsid w:val="004704C1"/>
    <w:rsid w:val="00471ADF"/>
    <w:rsid w:val="00471DE8"/>
    <w:rsid w:val="00471F95"/>
    <w:rsid w:val="00472FD4"/>
    <w:rsid w:val="00475227"/>
    <w:rsid w:val="0048014E"/>
    <w:rsid w:val="00480550"/>
    <w:rsid w:val="00484901"/>
    <w:rsid w:val="0048570F"/>
    <w:rsid w:val="00486A88"/>
    <w:rsid w:val="0049321A"/>
    <w:rsid w:val="004956CD"/>
    <w:rsid w:val="004A1829"/>
    <w:rsid w:val="004A396C"/>
    <w:rsid w:val="004A4B70"/>
    <w:rsid w:val="004A72E0"/>
    <w:rsid w:val="004B5F24"/>
    <w:rsid w:val="004B77DA"/>
    <w:rsid w:val="004C3960"/>
    <w:rsid w:val="004C4FC7"/>
    <w:rsid w:val="004D272A"/>
    <w:rsid w:val="004D2DEB"/>
    <w:rsid w:val="004D3B48"/>
    <w:rsid w:val="004D43A7"/>
    <w:rsid w:val="004D6EEB"/>
    <w:rsid w:val="004D6F16"/>
    <w:rsid w:val="004D748B"/>
    <w:rsid w:val="004E7540"/>
    <w:rsid w:val="004F13FB"/>
    <w:rsid w:val="004F5FC6"/>
    <w:rsid w:val="00500513"/>
    <w:rsid w:val="005047FC"/>
    <w:rsid w:val="005142C0"/>
    <w:rsid w:val="005221BC"/>
    <w:rsid w:val="00523227"/>
    <w:rsid w:val="00540422"/>
    <w:rsid w:val="00540DCD"/>
    <w:rsid w:val="00541F17"/>
    <w:rsid w:val="005520D2"/>
    <w:rsid w:val="00554A0B"/>
    <w:rsid w:val="00555EB8"/>
    <w:rsid w:val="00560275"/>
    <w:rsid w:val="00566C76"/>
    <w:rsid w:val="00567AF6"/>
    <w:rsid w:val="00567BC5"/>
    <w:rsid w:val="0057000F"/>
    <w:rsid w:val="00572A45"/>
    <w:rsid w:val="0057397B"/>
    <w:rsid w:val="0058329B"/>
    <w:rsid w:val="00584394"/>
    <w:rsid w:val="00585080"/>
    <w:rsid w:val="00585D0B"/>
    <w:rsid w:val="0059304D"/>
    <w:rsid w:val="00593461"/>
    <w:rsid w:val="005945AF"/>
    <w:rsid w:val="005A60F4"/>
    <w:rsid w:val="005B0274"/>
    <w:rsid w:val="005B113D"/>
    <w:rsid w:val="005B2970"/>
    <w:rsid w:val="005B5CA1"/>
    <w:rsid w:val="005C4F2A"/>
    <w:rsid w:val="005C5391"/>
    <w:rsid w:val="005D3198"/>
    <w:rsid w:val="005D62D7"/>
    <w:rsid w:val="005E01E5"/>
    <w:rsid w:val="005E0B66"/>
    <w:rsid w:val="005E18F1"/>
    <w:rsid w:val="005E6126"/>
    <w:rsid w:val="005F2D7D"/>
    <w:rsid w:val="005F38CD"/>
    <w:rsid w:val="005F4FD0"/>
    <w:rsid w:val="00600D5F"/>
    <w:rsid w:val="006039AF"/>
    <w:rsid w:val="006107B9"/>
    <w:rsid w:val="00612DD2"/>
    <w:rsid w:val="006153C6"/>
    <w:rsid w:val="00615872"/>
    <w:rsid w:val="00622ECE"/>
    <w:rsid w:val="00623C13"/>
    <w:rsid w:val="006301CE"/>
    <w:rsid w:val="0064098C"/>
    <w:rsid w:val="00641720"/>
    <w:rsid w:val="006468D1"/>
    <w:rsid w:val="00647BB1"/>
    <w:rsid w:val="00652A7E"/>
    <w:rsid w:val="006541C9"/>
    <w:rsid w:val="0066113C"/>
    <w:rsid w:val="00663984"/>
    <w:rsid w:val="00667429"/>
    <w:rsid w:val="00670E58"/>
    <w:rsid w:val="006714AD"/>
    <w:rsid w:val="00671C61"/>
    <w:rsid w:val="00673E36"/>
    <w:rsid w:val="00681B8F"/>
    <w:rsid w:val="006845DF"/>
    <w:rsid w:val="0068586E"/>
    <w:rsid w:val="006B6818"/>
    <w:rsid w:val="006C1088"/>
    <w:rsid w:val="006C1A7E"/>
    <w:rsid w:val="006E6CC8"/>
    <w:rsid w:val="006F6933"/>
    <w:rsid w:val="00703494"/>
    <w:rsid w:val="00704387"/>
    <w:rsid w:val="007112CB"/>
    <w:rsid w:val="007133C8"/>
    <w:rsid w:val="0072701B"/>
    <w:rsid w:val="00737CA3"/>
    <w:rsid w:val="00743E1F"/>
    <w:rsid w:val="00746D46"/>
    <w:rsid w:val="00755670"/>
    <w:rsid w:val="00755872"/>
    <w:rsid w:val="0077544E"/>
    <w:rsid w:val="00782F4B"/>
    <w:rsid w:val="00790E7B"/>
    <w:rsid w:val="00794F83"/>
    <w:rsid w:val="00796418"/>
    <w:rsid w:val="00796F5F"/>
    <w:rsid w:val="007A3ED9"/>
    <w:rsid w:val="007A4129"/>
    <w:rsid w:val="007A6E73"/>
    <w:rsid w:val="007A78AA"/>
    <w:rsid w:val="007B1579"/>
    <w:rsid w:val="007B28B1"/>
    <w:rsid w:val="007B3BF9"/>
    <w:rsid w:val="007C3843"/>
    <w:rsid w:val="007C6009"/>
    <w:rsid w:val="007C77BD"/>
    <w:rsid w:val="007D5782"/>
    <w:rsid w:val="007D6F1F"/>
    <w:rsid w:val="007E5979"/>
    <w:rsid w:val="007F1AD3"/>
    <w:rsid w:val="007F7E5F"/>
    <w:rsid w:val="008013D4"/>
    <w:rsid w:val="008139B7"/>
    <w:rsid w:val="0081408A"/>
    <w:rsid w:val="0082010F"/>
    <w:rsid w:val="00827F2A"/>
    <w:rsid w:val="00835E93"/>
    <w:rsid w:val="00837611"/>
    <w:rsid w:val="00837CCE"/>
    <w:rsid w:val="00840B1F"/>
    <w:rsid w:val="008415FA"/>
    <w:rsid w:val="008725AF"/>
    <w:rsid w:val="00872957"/>
    <w:rsid w:val="00874462"/>
    <w:rsid w:val="00874783"/>
    <w:rsid w:val="00877C69"/>
    <w:rsid w:val="00881B18"/>
    <w:rsid w:val="0088213F"/>
    <w:rsid w:val="0088237D"/>
    <w:rsid w:val="00882B0E"/>
    <w:rsid w:val="00883782"/>
    <w:rsid w:val="00884F2A"/>
    <w:rsid w:val="00886FF0"/>
    <w:rsid w:val="00891825"/>
    <w:rsid w:val="00893AE3"/>
    <w:rsid w:val="008A004A"/>
    <w:rsid w:val="008A10D7"/>
    <w:rsid w:val="008A54DA"/>
    <w:rsid w:val="008B7644"/>
    <w:rsid w:val="008B7798"/>
    <w:rsid w:val="008C725B"/>
    <w:rsid w:val="008D373D"/>
    <w:rsid w:val="008F27F2"/>
    <w:rsid w:val="008F58B1"/>
    <w:rsid w:val="008F5A9B"/>
    <w:rsid w:val="008F706B"/>
    <w:rsid w:val="00902B02"/>
    <w:rsid w:val="00904D84"/>
    <w:rsid w:val="00907856"/>
    <w:rsid w:val="00907DD8"/>
    <w:rsid w:val="0091156C"/>
    <w:rsid w:val="00911D9D"/>
    <w:rsid w:val="00913EC4"/>
    <w:rsid w:val="00916F39"/>
    <w:rsid w:val="009170C2"/>
    <w:rsid w:val="00923FD0"/>
    <w:rsid w:val="009320F3"/>
    <w:rsid w:val="009419A4"/>
    <w:rsid w:val="00944898"/>
    <w:rsid w:val="00944D84"/>
    <w:rsid w:val="0094509B"/>
    <w:rsid w:val="00950BFA"/>
    <w:rsid w:val="00956334"/>
    <w:rsid w:val="009602AA"/>
    <w:rsid w:val="00964B6C"/>
    <w:rsid w:val="009758E7"/>
    <w:rsid w:val="00975E62"/>
    <w:rsid w:val="009765FA"/>
    <w:rsid w:val="009806F4"/>
    <w:rsid w:val="00980EDD"/>
    <w:rsid w:val="00984008"/>
    <w:rsid w:val="00984D05"/>
    <w:rsid w:val="00985420"/>
    <w:rsid w:val="00987EAA"/>
    <w:rsid w:val="00991FF4"/>
    <w:rsid w:val="009A0687"/>
    <w:rsid w:val="009A0DDB"/>
    <w:rsid w:val="009A3FED"/>
    <w:rsid w:val="009A4EAB"/>
    <w:rsid w:val="009B0BDD"/>
    <w:rsid w:val="009B3081"/>
    <w:rsid w:val="009E0C07"/>
    <w:rsid w:val="009E1C9C"/>
    <w:rsid w:val="009E293A"/>
    <w:rsid w:val="009E3030"/>
    <w:rsid w:val="009E339F"/>
    <w:rsid w:val="009F6C8A"/>
    <w:rsid w:val="009F6D7D"/>
    <w:rsid w:val="00A0127A"/>
    <w:rsid w:val="00A01779"/>
    <w:rsid w:val="00A02B98"/>
    <w:rsid w:val="00A032E6"/>
    <w:rsid w:val="00A05AAC"/>
    <w:rsid w:val="00A13DDE"/>
    <w:rsid w:val="00A22396"/>
    <w:rsid w:val="00A23851"/>
    <w:rsid w:val="00A27E9E"/>
    <w:rsid w:val="00A3710B"/>
    <w:rsid w:val="00A40111"/>
    <w:rsid w:val="00A40E76"/>
    <w:rsid w:val="00A45F6A"/>
    <w:rsid w:val="00A47735"/>
    <w:rsid w:val="00A5523A"/>
    <w:rsid w:val="00A57F8D"/>
    <w:rsid w:val="00A634E1"/>
    <w:rsid w:val="00A647EF"/>
    <w:rsid w:val="00A72B25"/>
    <w:rsid w:val="00A852CC"/>
    <w:rsid w:val="00A8578C"/>
    <w:rsid w:val="00A947CA"/>
    <w:rsid w:val="00A97853"/>
    <w:rsid w:val="00AB2454"/>
    <w:rsid w:val="00AB3624"/>
    <w:rsid w:val="00AC0F15"/>
    <w:rsid w:val="00AC5955"/>
    <w:rsid w:val="00AD2B4A"/>
    <w:rsid w:val="00AD76E8"/>
    <w:rsid w:val="00AE0B03"/>
    <w:rsid w:val="00AE1428"/>
    <w:rsid w:val="00AE4DB3"/>
    <w:rsid w:val="00AE5801"/>
    <w:rsid w:val="00AF3F3D"/>
    <w:rsid w:val="00B02180"/>
    <w:rsid w:val="00B061FA"/>
    <w:rsid w:val="00B070DD"/>
    <w:rsid w:val="00B11C48"/>
    <w:rsid w:val="00B13BA1"/>
    <w:rsid w:val="00B1453B"/>
    <w:rsid w:val="00B15A0F"/>
    <w:rsid w:val="00B15E41"/>
    <w:rsid w:val="00B203D3"/>
    <w:rsid w:val="00B2060D"/>
    <w:rsid w:val="00B22B60"/>
    <w:rsid w:val="00B36C5D"/>
    <w:rsid w:val="00B45ACA"/>
    <w:rsid w:val="00B53E8C"/>
    <w:rsid w:val="00B55D33"/>
    <w:rsid w:val="00B612D1"/>
    <w:rsid w:val="00B62CAC"/>
    <w:rsid w:val="00B67245"/>
    <w:rsid w:val="00B7231F"/>
    <w:rsid w:val="00B82B98"/>
    <w:rsid w:val="00B859B5"/>
    <w:rsid w:val="00B85BC6"/>
    <w:rsid w:val="00B9498D"/>
    <w:rsid w:val="00BA54F9"/>
    <w:rsid w:val="00BA7171"/>
    <w:rsid w:val="00BA7924"/>
    <w:rsid w:val="00BB127E"/>
    <w:rsid w:val="00BB3308"/>
    <w:rsid w:val="00BB39AF"/>
    <w:rsid w:val="00BB3CD6"/>
    <w:rsid w:val="00BB7CC7"/>
    <w:rsid w:val="00BC203E"/>
    <w:rsid w:val="00BC5A05"/>
    <w:rsid w:val="00BC7D50"/>
    <w:rsid w:val="00BC7E6D"/>
    <w:rsid w:val="00BE1344"/>
    <w:rsid w:val="00BE616C"/>
    <w:rsid w:val="00BF762D"/>
    <w:rsid w:val="00C03A72"/>
    <w:rsid w:val="00C069A3"/>
    <w:rsid w:val="00C06D22"/>
    <w:rsid w:val="00C0726D"/>
    <w:rsid w:val="00C125B9"/>
    <w:rsid w:val="00C13652"/>
    <w:rsid w:val="00C2041D"/>
    <w:rsid w:val="00C2128D"/>
    <w:rsid w:val="00C23FAB"/>
    <w:rsid w:val="00C24061"/>
    <w:rsid w:val="00C271DC"/>
    <w:rsid w:val="00C32B74"/>
    <w:rsid w:val="00C40C0B"/>
    <w:rsid w:val="00C40E58"/>
    <w:rsid w:val="00C42216"/>
    <w:rsid w:val="00C45EE7"/>
    <w:rsid w:val="00C52CFE"/>
    <w:rsid w:val="00C55B08"/>
    <w:rsid w:val="00C57E0B"/>
    <w:rsid w:val="00C66768"/>
    <w:rsid w:val="00C81707"/>
    <w:rsid w:val="00C856D7"/>
    <w:rsid w:val="00C902F7"/>
    <w:rsid w:val="00C97158"/>
    <w:rsid w:val="00CA68FC"/>
    <w:rsid w:val="00CB0A33"/>
    <w:rsid w:val="00CB1CF7"/>
    <w:rsid w:val="00CB52C4"/>
    <w:rsid w:val="00CB7845"/>
    <w:rsid w:val="00CC095B"/>
    <w:rsid w:val="00CC0BF7"/>
    <w:rsid w:val="00CC6653"/>
    <w:rsid w:val="00CD138B"/>
    <w:rsid w:val="00CD429C"/>
    <w:rsid w:val="00CD6E03"/>
    <w:rsid w:val="00CD7879"/>
    <w:rsid w:val="00CE0DD5"/>
    <w:rsid w:val="00CE1AF0"/>
    <w:rsid w:val="00CE7FB6"/>
    <w:rsid w:val="00CF0317"/>
    <w:rsid w:val="00CF2154"/>
    <w:rsid w:val="00CF261D"/>
    <w:rsid w:val="00CF3563"/>
    <w:rsid w:val="00CF5E39"/>
    <w:rsid w:val="00D024E8"/>
    <w:rsid w:val="00D07151"/>
    <w:rsid w:val="00D4039C"/>
    <w:rsid w:val="00D40850"/>
    <w:rsid w:val="00D41FD4"/>
    <w:rsid w:val="00D47FCA"/>
    <w:rsid w:val="00D502B7"/>
    <w:rsid w:val="00D537B3"/>
    <w:rsid w:val="00D6040C"/>
    <w:rsid w:val="00D654F2"/>
    <w:rsid w:val="00D70A2F"/>
    <w:rsid w:val="00D74A81"/>
    <w:rsid w:val="00D7742B"/>
    <w:rsid w:val="00D81E47"/>
    <w:rsid w:val="00D85917"/>
    <w:rsid w:val="00D92EBB"/>
    <w:rsid w:val="00D93431"/>
    <w:rsid w:val="00DA6A25"/>
    <w:rsid w:val="00DB1629"/>
    <w:rsid w:val="00DB6312"/>
    <w:rsid w:val="00DB69B3"/>
    <w:rsid w:val="00DC14B0"/>
    <w:rsid w:val="00DC411D"/>
    <w:rsid w:val="00DC7793"/>
    <w:rsid w:val="00DC796C"/>
    <w:rsid w:val="00DD1B44"/>
    <w:rsid w:val="00DE0E2C"/>
    <w:rsid w:val="00DE522F"/>
    <w:rsid w:val="00DF306C"/>
    <w:rsid w:val="00DF5229"/>
    <w:rsid w:val="00DF72FA"/>
    <w:rsid w:val="00E0018D"/>
    <w:rsid w:val="00E01B88"/>
    <w:rsid w:val="00E0219C"/>
    <w:rsid w:val="00E11AAD"/>
    <w:rsid w:val="00E16590"/>
    <w:rsid w:val="00E16C07"/>
    <w:rsid w:val="00E17E95"/>
    <w:rsid w:val="00E234C5"/>
    <w:rsid w:val="00E2584E"/>
    <w:rsid w:val="00E25F6C"/>
    <w:rsid w:val="00E2626D"/>
    <w:rsid w:val="00E31D52"/>
    <w:rsid w:val="00E3210E"/>
    <w:rsid w:val="00E407AD"/>
    <w:rsid w:val="00E4637C"/>
    <w:rsid w:val="00E50917"/>
    <w:rsid w:val="00E54996"/>
    <w:rsid w:val="00E571B3"/>
    <w:rsid w:val="00E61218"/>
    <w:rsid w:val="00E638FD"/>
    <w:rsid w:val="00E676BB"/>
    <w:rsid w:val="00E67ECF"/>
    <w:rsid w:val="00E70E5C"/>
    <w:rsid w:val="00E71DF8"/>
    <w:rsid w:val="00E75572"/>
    <w:rsid w:val="00E75736"/>
    <w:rsid w:val="00E81EB5"/>
    <w:rsid w:val="00E87283"/>
    <w:rsid w:val="00E87C8D"/>
    <w:rsid w:val="00E92713"/>
    <w:rsid w:val="00EA104C"/>
    <w:rsid w:val="00EA219F"/>
    <w:rsid w:val="00EA46D2"/>
    <w:rsid w:val="00EA4A7B"/>
    <w:rsid w:val="00EA5825"/>
    <w:rsid w:val="00EA76D0"/>
    <w:rsid w:val="00EB19E3"/>
    <w:rsid w:val="00EB1D0A"/>
    <w:rsid w:val="00ED127F"/>
    <w:rsid w:val="00ED5B93"/>
    <w:rsid w:val="00EE08BF"/>
    <w:rsid w:val="00EE7EC3"/>
    <w:rsid w:val="00EF4C9F"/>
    <w:rsid w:val="00F025A7"/>
    <w:rsid w:val="00F04195"/>
    <w:rsid w:val="00F07840"/>
    <w:rsid w:val="00F11898"/>
    <w:rsid w:val="00F216CD"/>
    <w:rsid w:val="00F30B87"/>
    <w:rsid w:val="00F37318"/>
    <w:rsid w:val="00F375D5"/>
    <w:rsid w:val="00F37C87"/>
    <w:rsid w:val="00F40390"/>
    <w:rsid w:val="00F4147D"/>
    <w:rsid w:val="00F42170"/>
    <w:rsid w:val="00F4367E"/>
    <w:rsid w:val="00F46F19"/>
    <w:rsid w:val="00F52CD3"/>
    <w:rsid w:val="00F6265C"/>
    <w:rsid w:val="00F63001"/>
    <w:rsid w:val="00F647A6"/>
    <w:rsid w:val="00F66F02"/>
    <w:rsid w:val="00F7029D"/>
    <w:rsid w:val="00F70D61"/>
    <w:rsid w:val="00F732FF"/>
    <w:rsid w:val="00F76185"/>
    <w:rsid w:val="00F8134D"/>
    <w:rsid w:val="00F820FA"/>
    <w:rsid w:val="00F861BE"/>
    <w:rsid w:val="00F932E2"/>
    <w:rsid w:val="00F973D9"/>
    <w:rsid w:val="00F97A0D"/>
    <w:rsid w:val="00FA4E14"/>
    <w:rsid w:val="00FB7109"/>
    <w:rsid w:val="00FC1901"/>
    <w:rsid w:val="00FD0D00"/>
    <w:rsid w:val="00FD1572"/>
    <w:rsid w:val="00FD57FB"/>
    <w:rsid w:val="00FD6277"/>
    <w:rsid w:val="00FD7B05"/>
    <w:rsid w:val="00FE4C77"/>
    <w:rsid w:val="00FE5729"/>
    <w:rsid w:val="00FF10BF"/>
    <w:rsid w:val="00FF2729"/>
    <w:rsid w:val="00FF54BB"/>
    <w:rsid w:val="00FF5BD9"/>
    <w:rsid w:val="00FF75AB"/>
    <w:rsid w:val="01AB18E8"/>
    <w:rsid w:val="02A464AF"/>
    <w:rsid w:val="03167028"/>
    <w:rsid w:val="06530982"/>
    <w:rsid w:val="0749671C"/>
    <w:rsid w:val="0A422A2B"/>
    <w:rsid w:val="0B2538B9"/>
    <w:rsid w:val="0CC7074D"/>
    <w:rsid w:val="0D0666C1"/>
    <w:rsid w:val="14F43330"/>
    <w:rsid w:val="15CB091C"/>
    <w:rsid w:val="1CB2496B"/>
    <w:rsid w:val="1DBB460A"/>
    <w:rsid w:val="1FEC5F10"/>
    <w:rsid w:val="23A77CBC"/>
    <w:rsid w:val="23E60539"/>
    <w:rsid w:val="244D5643"/>
    <w:rsid w:val="255B3A92"/>
    <w:rsid w:val="29D67522"/>
    <w:rsid w:val="2A2A3DB0"/>
    <w:rsid w:val="2EC10FBB"/>
    <w:rsid w:val="2FA44147"/>
    <w:rsid w:val="3106646D"/>
    <w:rsid w:val="35040B26"/>
    <w:rsid w:val="3D95559F"/>
    <w:rsid w:val="3DE20E5E"/>
    <w:rsid w:val="4087311C"/>
    <w:rsid w:val="40E63BC5"/>
    <w:rsid w:val="415A3956"/>
    <w:rsid w:val="46737CA9"/>
    <w:rsid w:val="50491CAC"/>
    <w:rsid w:val="509B021B"/>
    <w:rsid w:val="50A35D9E"/>
    <w:rsid w:val="571013C8"/>
    <w:rsid w:val="57EB4976"/>
    <w:rsid w:val="5B6724EE"/>
    <w:rsid w:val="5ECC62E1"/>
    <w:rsid w:val="5FD5588F"/>
    <w:rsid w:val="60330FEF"/>
    <w:rsid w:val="61B42C51"/>
    <w:rsid w:val="62D25D26"/>
    <w:rsid w:val="670E1BEF"/>
    <w:rsid w:val="683174F5"/>
    <w:rsid w:val="6D932D73"/>
    <w:rsid w:val="6E0A29B8"/>
    <w:rsid w:val="70025A30"/>
    <w:rsid w:val="701928B5"/>
    <w:rsid w:val="7143408F"/>
    <w:rsid w:val="71E370B5"/>
    <w:rsid w:val="72C34636"/>
    <w:rsid w:val="73FF38AC"/>
    <w:rsid w:val="757403BC"/>
    <w:rsid w:val="79E578F6"/>
    <w:rsid w:val="7A221DB1"/>
    <w:rsid w:val="7C9803AA"/>
    <w:rsid w:val="7CBB0386"/>
    <w:rsid w:val="7D39777C"/>
    <w:rsid w:val="7DB11484"/>
    <w:rsid w:val="7FD873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9"/>
    <w:qFormat/>
    <w:uiPriority w:val="0"/>
    <w:pPr>
      <w:spacing w:after="120"/>
    </w:pPr>
  </w:style>
  <w:style w:type="paragraph" w:styleId="3">
    <w:name w:val="Balloon Text"/>
    <w:basedOn w:val="1"/>
    <w:link w:val="16"/>
    <w:qFormat/>
    <w:uiPriority w:val="0"/>
    <w:rPr>
      <w:sz w:val="18"/>
      <w:szCs w:val="18"/>
    </w:rPr>
  </w:style>
  <w:style w:type="paragraph" w:styleId="4">
    <w:name w:val="footer"/>
    <w:basedOn w:val="1"/>
    <w:link w:val="13"/>
    <w:qFormat/>
    <w:uiPriority w:val="0"/>
    <w:pPr>
      <w:tabs>
        <w:tab w:val="center" w:pos="4153"/>
        <w:tab w:val="right" w:pos="8306"/>
      </w:tabs>
      <w:snapToGrid w:val="0"/>
      <w:jc w:val="left"/>
    </w:pPr>
    <w:rPr>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table" w:styleId="8">
    <w:name w:val="Table Grid"/>
    <w:basedOn w:val="7"/>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
    <w:name w:val="Strong"/>
    <w:basedOn w:val="9"/>
    <w:qFormat/>
    <w:uiPriority w:val="22"/>
    <w:rPr>
      <w:b/>
      <w:bCs/>
    </w:rPr>
  </w:style>
  <w:style w:type="character" w:styleId="11">
    <w:name w:val="Hyperlink"/>
    <w:basedOn w:val="9"/>
    <w:unhideWhenUsed/>
    <w:qFormat/>
    <w:uiPriority w:val="99"/>
    <w:rPr>
      <w:color w:val="0563C1"/>
      <w:u w:val="single"/>
    </w:rPr>
  </w:style>
  <w:style w:type="paragraph" w:customStyle="1" w:styleId="12">
    <w:name w:val="_Style 6"/>
    <w:basedOn w:val="1"/>
    <w:qFormat/>
    <w:uiPriority w:val="34"/>
    <w:pPr>
      <w:ind w:firstLine="420" w:firstLineChars="200"/>
    </w:pPr>
  </w:style>
  <w:style w:type="character" w:customStyle="1" w:styleId="13">
    <w:name w:val="页脚 字符"/>
    <w:basedOn w:val="9"/>
    <w:link w:val="4"/>
    <w:qFormat/>
    <w:uiPriority w:val="0"/>
    <w:rPr>
      <w:kern w:val="2"/>
      <w:sz w:val="18"/>
      <w:szCs w:val="18"/>
    </w:rPr>
  </w:style>
  <w:style w:type="paragraph" w:customStyle="1" w:styleId="14">
    <w:name w:val="ds-markdown-paragraph"/>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5">
    <w:name w:val="fontstyle01"/>
    <w:basedOn w:val="9"/>
    <w:qFormat/>
    <w:uiPriority w:val="0"/>
    <w:rPr>
      <w:rFonts w:hint="eastAsia" w:ascii="宋体" w:hAnsi="宋体" w:eastAsia="宋体"/>
      <w:color w:val="000000"/>
      <w:sz w:val="22"/>
      <w:szCs w:val="22"/>
    </w:rPr>
  </w:style>
  <w:style w:type="character" w:customStyle="1" w:styleId="16">
    <w:name w:val="批注框文本 字符"/>
    <w:basedOn w:val="9"/>
    <w:link w:val="3"/>
    <w:qFormat/>
    <w:uiPriority w:val="0"/>
    <w:rPr>
      <w:kern w:val="2"/>
      <w:sz w:val="18"/>
      <w:szCs w:val="18"/>
    </w:rPr>
  </w:style>
  <w:style w:type="paragraph" w:customStyle="1" w:styleId="17">
    <w:name w:val="修订1"/>
    <w:hidden/>
    <w:semiHidden/>
    <w:qFormat/>
    <w:uiPriority w:val="99"/>
    <w:rPr>
      <w:rFonts w:ascii="Calibri" w:hAnsi="Calibri" w:eastAsia="宋体" w:cs="Times New Roman"/>
      <w:kern w:val="2"/>
      <w:sz w:val="21"/>
      <w:szCs w:val="22"/>
      <w:lang w:val="en-US" w:eastAsia="zh-CN" w:bidi="ar-SA"/>
    </w:rPr>
  </w:style>
  <w:style w:type="paragraph" w:customStyle="1" w:styleId="18">
    <w:name w:val="Compact"/>
    <w:basedOn w:val="2"/>
    <w:qFormat/>
    <w:uiPriority w:val="0"/>
    <w:pPr>
      <w:widowControl/>
      <w:spacing w:before="36" w:after="36"/>
      <w:jc w:val="left"/>
    </w:pPr>
    <w:rPr>
      <w:rFonts w:asciiTheme="minorHAnsi" w:hAnsiTheme="minorHAnsi" w:eastAsiaTheme="minorEastAsia" w:cstheme="minorBidi"/>
      <w:kern w:val="0"/>
      <w:sz w:val="24"/>
      <w:szCs w:val="24"/>
      <w:lang w:eastAsia="en-US"/>
    </w:rPr>
  </w:style>
  <w:style w:type="character" w:customStyle="1" w:styleId="19">
    <w:name w:val="正文文本 字符"/>
    <w:basedOn w:val="9"/>
    <w:link w:val="2"/>
    <w:qFormat/>
    <w:uiPriority w:val="0"/>
    <w:rPr>
      <w:kern w:val="2"/>
      <w:sz w:val="21"/>
      <w:szCs w:val="22"/>
    </w:rPr>
  </w:style>
  <w:style w:type="paragraph" w:styleId="20">
    <w:name w:val="List Paragraph"/>
    <w:basedOn w:val="1"/>
    <w:qFormat/>
    <w:uiPriority w:val="99"/>
    <w:pPr>
      <w:ind w:firstLine="420" w:firstLineChars="200"/>
    </w:pPr>
  </w:style>
  <w:style w:type="character" w:customStyle="1" w:styleId="21">
    <w:name w:val="highlight"/>
    <w:basedOn w:val="9"/>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2814</Words>
  <Characters>2953</Characters>
  <Lines>34</Lines>
  <Paragraphs>9</Paragraphs>
  <TotalTime>151</TotalTime>
  <ScaleCrop>false</ScaleCrop>
  <LinksUpToDate>false</LinksUpToDate>
  <CharactersWithSpaces>3005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2026-09-28T07:08:00Z</dcterms:created>
  <dc:creator>Administrator</dc:creator>
  <cp:lastModifiedBy>小蜗牛</cp:lastModifiedBy>
  <cp:lastPrinted>2026-07-31T07:55:00Z</cp:lastPrinted>
  <dcterms:modified xsi:type="dcterms:W3CDTF">2026-10-30T06:06:13Z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209E8F5F19474D9B86DA58D8A53133EF</vt:lpwstr>
  </property>
  <property fmtid="{D5CDD505-2E9C-101B-9397-08002B2CF9AE}" pid="4" name="KSOTemplateDocerSaveRecord">
    <vt:lpwstr>eyJoZGlkIjoiZWUwMDJiMzgyNmFhOTc0ZTE5MmE4YTUwZWNiNDI0NWIiLCJ1c2VySWQiOiI2Nzk5MjIwMTYifQ==</vt:lpwstr>
  </property>
</Properties>
</file>