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DBB620">
      <w:pPr>
        <w:spacing w:line="342" w:lineRule="auto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证券代码：600936</w:t>
      </w:r>
      <w:r>
        <w:rPr>
          <w:rFonts w:ascii="仿宋_GB2312" w:hAnsi="仿宋_GB2312" w:eastAsia="仿宋_GB2312" w:cs="仿宋_GB2312"/>
          <w:sz w:val="32"/>
          <w:szCs w:val="32"/>
          <w:lang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证券简称：北投科技</w:t>
      </w:r>
    </w:p>
    <w:p w14:paraId="0BE6CCFC">
      <w:pPr>
        <w:spacing w:line="342" w:lineRule="auto"/>
        <w:rPr>
          <w:lang w:eastAsia="zh-CN"/>
        </w:rPr>
      </w:pPr>
    </w:p>
    <w:p w14:paraId="30528D7B">
      <w:pPr>
        <w:spacing w:line="600" w:lineRule="exact"/>
        <w:jc w:val="center"/>
        <w:rPr>
          <w:rFonts w:ascii="黑体" w:hAnsi="黑体" w:eastAsia="黑体" w:cs="黑体"/>
          <w:b/>
          <w:bCs/>
          <w:spacing w:val="15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/>
          <w:bCs/>
          <w:spacing w:val="15"/>
          <w:sz w:val="44"/>
          <w:szCs w:val="44"/>
          <w:lang w:eastAsia="zh-CN"/>
        </w:rPr>
        <w:t>广西北投科技</w:t>
      </w:r>
      <w:r>
        <w:rPr>
          <w:rFonts w:ascii="黑体" w:hAnsi="黑体" w:eastAsia="黑体" w:cs="黑体"/>
          <w:b/>
          <w:bCs/>
          <w:spacing w:val="15"/>
          <w:sz w:val="44"/>
          <w:szCs w:val="44"/>
          <w:lang w:eastAsia="zh-CN"/>
        </w:rPr>
        <w:t>股份有限公司</w:t>
      </w:r>
    </w:p>
    <w:p w14:paraId="6A0A686B">
      <w:pPr>
        <w:spacing w:line="600" w:lineRule="exact"/>
        <w:jc w:val="center"/>
        <w:rPr>
          <w:rFonts w:ascii="黑体" w:hAnsi="黑体" w:eastAsia="黑体" w:cs="黑体"/>
          <w:b/>
          <w:bCs/>
          <w:sz w:val="44"/>
          <w:szCs w:val="44"/>
          <w:lang w:eastAsia="zh-CN"/>
        </w:rPr>
      </w:pPr>
      <w:r>
        <w:rPr>
          <w:rFonts w:ascii="黑体" w:hAnsi="黑体" w:eastAsia="黑体" w:cs="黑体"/>
          <w:b/>
          <w:bCs/>
          <w:spacing w:val="15"/>
          <w:sz w:val="44"/>
          <w:szCs w:val="44"/>
          <w:lang w:eastAsia="zh-CN"/>
        </w:rPr>
        <w:t>投资</w:t>
      </w:r>
      <w:r>
        <w:rPr>
          <w:rFonts w:hint="eastAsia" w:ascii="黑体" w:hAnsi="黑体" w:eastAsia="黑体" w:cs="黑体"/>
          <w:b/>
          <w:bCs/>
          <w:spacing w:val="15"/>
          <w:sz w:val="44"/>
          <w:szCs w:val="44"/>
          <w:lang w:eastAsia="zh-CN"/>
        </w:rPr>
        <w:t>者</w:t>
      </w:r>
      <w:r>
        <w:rPr>
          <w:rFonts w:ascii="黑体" w:hAnsi="黑体" w:eastAsia="黑体" w:cs="黑体"/>
          <w:b/>
          <w:bCs/>
          <w:spacing w:val="15"/>
          <w:sz w:val="44"/>
          <w:szCs w:val="44"/>
          <w:lang w:eastAsia="zh-CN"/>
        </w:rPr>
        <w:t>关系活动</w:t>
      </w:r>
      <w:r>
        <w:rPr>
          <w:rFonts w:ascii="黑体" w:hAnsi="黑体" w:eastAsia="黑体" w:cs="黑体"/>
          <w:b/>
          <w:bCs/>
          <w:spacing w:val="2"/>
          <w:sz w:val="44"/>
          <w:szCs w:val="44"/>
          <w:lang w:eastAsia="zh-CN"/>
        </w:rPr>
        <w:t>记录表</w:t>
      </w:r>
    </w:p>
    <w:p w14:paraId="2C54CEAD">
      <w:pPr>
        <w:spacing w:before="131" w:line="224" w:lineRule="auto"/>
        <w:ind w:left="216" w:hanging="211" w:hangingChars="69"/>
        <w:jc w:val="right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7"/>
          <w:sz w:val="32"/>
          <w:szCs w:val="32"/>
          <w:lang w:eastAsia="zh-CN"/>
        </w:rPr>
        <w:t>编号：2026-002</w:t>
      </w:r>
    </w:p>
    <w:tbl>
      <w:tblPr>
        <w:tblStyle w:val="12"/>
        <w:tblW w:w="9421" w:type="dxa"/>
        <w:tblInd w:w="-18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31"/>
        <w:gridCol w:w="7790"/>
      </w:tblGrid>
      <w:tr w14:paraId="5BF493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3" w:hRule="atLeast"/>
        </w:trPr>
        <w:tc>
          <w:tcPr>
            <w:tcW w:w="1631" w:type="dxa"/>
            <w:vAlign w:val="center"/>
          </w:tcPr>
          <w:p w14:paraId="4C899BB6">
            <w:pPr>
              <w:pStyle w:val="13"/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32"/>
                <w:szCs w:val="32"/>
              </w:rPr>
              <w:t>投资者关系活动类别</w:t>
            </w:r>
          </w:p>
        </w:tc>
        <w:tc>
          <w:tcPr>
            <w:tcW w:w="7790" w:type="dxa"/>
          </w:tcPr>
          <w:p w14:paraId="56277F4A">
            <w:pPr>
              <w:pStyle w:val="13"/>
              <w:spacing w:line="560" w:lineRule="exact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32"/>
                <w:szCs w:val="32"/>
                <w:lang w:eastAsia="zh-CN"/>
              </w:rPr>
              <w:t xml:space="preserve">□特定对象调研 </w:t>
            </w:r>
            <w:r>
              <w:rPr>
                <w:rFonts w:ascii="仿宋_GB2312" w:hAnsi="仿宋_GB2312" w:eastAsia="仿宋_GB2312" w:cs="仿宋_GB2312"/>
                <w:spacing w:val="-6"/>
                <w:sz w:val="32"/>
                <w:szCs w:val="32"/>
                <w:lang w:eastAsia="zh-CN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spacing w:val="-6"/>
                <w:sz w:val="32"/>
                <w:szCs w:val="32"/>
                <w:lang w:eastAsia="zh-CN"/>
              </w:rPr>
              <w:t>□分析师会议</w:t>
            </w:r>
          </w:p>
          <w:p w14:paraId="444B227C">
            <w:pPr>
              <w:pStyle w:val="13"/>
              <w:spacing w:line="560" w:lineRule="exact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32"/>
                <w:szCs w:val="32"/>
                <w:lang w:eastAsia="zh-CN"/>
              </w:rPr>
              <w:t xml:space="preserve">□媒体采访 </w:t>
            </w:r>
            <w:r>
              <w:rPr>
                <w:rFonts w:ascii="仿宋_GB2312" w:hAnsi="仿宋_GB2312" w:eastAsia="仿宋_GB2312" w:cs="仿宋_GB2312"/>
                <w:spacing w:val="-7"/>
                <w:sz w:val="32"/>
                <w:szCs w:val="32"/>
                <w:lang w:eastAsia="zh-CN"/>
              </w:rPr>
              <w:t xml:space="preserve">                   </w:t>
            </w:r>
            <w:r>
              <w:rPr>
                <w:rFonts w:hint="eastAsia" w:ascii="仿宋_GB2312" w:hAnsi="仿宋_GB2312" w:eastAsia="仿宋_GB2312" w:cs="仿宋_GB2312"/>
                <w:spacing w:val="-7"/>
                <w:sz w:val="32"/>
                <w:szCs w:val="32"/>
                <w:lang w:eastAsia="zh-CN"/>
              </w:rPr>
              <w:t>□业绩说明会</w:t>
            </w:r>
          </w:p>
          <w:p w14:paraId="1176B868">
            <w:pPr>
              <w:pStyle w:val="13"/>
              <w:spacing w:line="560" w:lineRule="exact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32"/>
                <w:szCs w:val="32"/>
                <w:lang w:eastAsia="zh-CN"/>
              </w:rPr>
              <w:t xml:space="preserve">□新闻发布会 </w:t>
            </w:r>
            <w:r>
              <w:rPr>
                <w:rFonts w:ascii="仿宋_GB2312" w:hAnsi="仿宋_GB2312" w:eastAsia="仿宋_GB2312" w:cs="仿宋_GB2312"/>
                <w:spacing w:val="-7"/>
                <w:sz w:val="32"/>
                <w:szCs w:val="32"/>
                <w:lang w:eastAsia="zh-CN"/>
              </w:rPr>
              <w:t xml:space="preserve">                 </w:t>
            </w:r>
            <w:r>
              <w:rPr>
                <w:rFonts w:hint="eastAsia" w:ascii="仿宋_GB2312" w:hAnsi="仿宋_GB2312" w:eastAsia="仿宋_GB2312" w:cs="仿宋_GB2312"/>
                <w:spacing w:val="-7"/>
                <w:sz w:val="32"/>
                <w:szCs w:val="32"/>
                <w:lang w:eastAsia="zh-CN"/>
              </w:rPr>
              <w:t>□路演活动</w:t>
            </w:r>
          </w:p>
          <w:p w14:paraId="128D1A97">
            <w:pPr>
              <w:pStyle w:val="13"/>
              <w:spacing w:line="560" w:lineRule="exact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32"/>
                <w:szCs w:val="32"/>
                <w:lang w:eastAsia="zh-CN"/>
              </w:rPr>
              <w:t>☑现场参观</w:t>
            </w:r>
          </w:p>
          <w:p w14:paraId="4A41DE28">
            <w:pPr>
              <w:pStyle w:val="13"/>
              <w:spacing w:line="560" w:lineRule="exact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32"/>
                <w:szCs w:val="32"/>
                <w:lang w:eastAsia="zh-CN"/>
              </w:rPr>
              <w:t>□其他</w:t>
            </w:r>
          </w:p>
        </w:tc>
      </w:tr>
      <w:tr w14:paraId="3BB419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631" w:type="dxa"/>
            <w:vAlign w:val="center"/>
          </w:tcPr>
          <w:p w14:paraId="50C88FD8">
            <w:pPr>
              <w:pStyle w:val="13"/>
              <w:spacing w:line="560" w:lineRule="exact"/>
              <w:jc w:val="center"/>
              <w:rPr>
                <w:rFonts w:ascii="仿宋_GB2312" w:hAnsi="仿宋_GB2312" w:eastAsia="仿宋_GB2312" w:cs="仿宋_GB2312"/>
                <w:spacing w:val="-4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32"/>
                <w:szCs w:val="32"/>
              </w:rPr>
              <w:t>活动参与</w:t>
            </w:r>
          </w:p>
          <w:p w14:paraId="394323BE">
            <w:pPr>
              <w:pStyle w:val="13"/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32"/>
                <w:szCs w:val="32"/>
              </w:rPr>
              <w:t>人员</w:t>
            </w:r>
          </w:p>
        </w:tc>
        <w:tc>
          <w:tcPr>
            <w:tcW w:w="7790" w:type="dxa"/>
            <w:vAlign w:val="center"/>
          </w:tcPr>
          <w:p w14:paraId="5FBEF46E">
            <w:pPr>
              <w:spacing w:line="560" w:lineRule="exact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国泰海通证券陈悦、王雯丽</w:t>
            </w:r>
            <w:bookmarkStart w:id="0" w:name="_GoBack"/>
            <w:bookmarkEnd w:id="0"/>
          </w:p>
        </w:tc>
      </w:tr>
      <w:tr w14:paraId="22B2AB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631" w:type="dxa"/>
            <w:vAlign w:val="center"/>
          </w:tcPr>
          <w:p w14:paraId="075427AB">
            <w:pPr>
              <w:pStyle w:val="13"/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32"/>
                <w:szCs w:val="32"/>
              </w:rPr>
              <w:t>时间</w:t>
            </w:r>
          </w:p>
        </w:tc>
        <w:tc>
          <w:tcPr>
            <w:tcW w:w="7790" w:type="dxa"/>
          </w:tcPr>
          <w:p w14:paraId="42827AED">
            <w:pPr>
              <w:spacing w:line="560" w:lineRule="exact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2026年10月29日</w:t>
            </w:r>
          </w:p>
        </w:tc>
      </w:tr>
      <w:tr w14:paraId="20A3FF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631" w:type="dxa"/>
            <w:vAlign w:val="center"/>
          </w:tcPr>
          <w:p w14:paraId="3B6DA35C">
            <w:pPr>
              <w:pStyle w:val="13"/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32"/>
                <w:szCs w:val="32"/>
              </w:rPr>
              <w:t>地点</w:t>
            </w:r>
          </w:p>
        </w:tc>
        <w:tc>
          <w:tcPr>
            <w:tcW w:w="7790" w:type="dxa"/>
          </w:tcPr>
          <w:p w14:paraId="7820E2A6">
            <w:pPr>
              <w:spacing w:line="560" w:lineRule="exact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广西壮族自治区南宁市西乡塘区新康西路158号广西北投科技股份有限公司</w:t>
            </w:r>
          </w:p>
        </w:tc>
      </w:tr>
      <w:tr w14:paraId="5FC281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631" w:type="dxa"/>
            <w:vAlign w:val="center"/>
          </w:tcPr>
          <w:p w14:paraId="4E8EB662">
            <w:pPr>
              <w:pStyle w:val="13"/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32"/>
                <w:szCs w:val="32"/>
              </w:rPr>
              <w:t>形式</w:t>
            </w:r>
          </w:p>
        </w:tc>
        <w:tc>
          <w:tcPr>
            <w:tcW w:w="7790" w:type="dxa"/>
          </w:tcPr>
          <w:p w14:paraId="53F7AD5C">
            <w:pPr>
              <w:spacing w:line="560" w:lineRule="exact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32"/>
                <w:szCs w:val="32"/>
              </w:rPr>
              <w:t>现场</w:t>
            </w:r>
            <w:r>
              <w:rPr>
                <w:rFonts w:hint="eastAsia" w:ascii="仿宋_GB2312" w:hAnsi="仿宋_GB2312" w:eastAsia="仿宋_GB2312" w:cs="仿宋_GB2312"/>
                <w:spacing w:val="-7"/>
                <w:sz w:val="32"/>
                <w:szCs w:val="32"/>
                <w:lang w:eastAsia="zh-CN"/>
              </w:rPr>
              <w:t>参观</w:t>
            </w:r>
          </w:p>
        </w:tc>
      </w:tr>
      <w:tr w14:paraId="1C24EF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631" w:type="dxa"/>
            <w:vAlign w:val="center"/>
          </w:tcPr>
          <w:p w14:paraId="43EF1EF5">
            <w:pPr>
              <w:pStyle w:val="13"/>
              <w:spacing w:line="560" w:lineRule="exact"/>
              <w:jc w:val="center"/>
              <w:rPr>
                <w:rFonts w:ascii="仿宋_GB2312" w:hAnsi="仿宋_GB2312" w:eastAsia="仿宋_GB2312" w:cs="仿宋_GB2312"/>
                <w:spacing w:val="-8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32"/>
                <w:szCs w:val="32"/>
                <w:lang w:eastAsia="zh-CN"/>
              </w:rPr>
              <w:t>上市公司接待人员</w:t>
            </w:r>
          </w:p>
        </w:tc>
        <w:tc>
          <w:tcPr>
            <w:tcW w:w="7790" w:type="dxa"/>
            <w:vAlign w:val="center"/>
          </w:tcPr>
          <w:p w14:paraId="478388D3">
            <w:pPr>
              <w:spacing w:line="560" w:lineRule="exact"/>
              <w:rPr>
                <w:rFonts w:ascii="仿宋_GB2312" w:hAnsi="仿宋_GB2312" w:eastAsia="仿宋_GB2312" w:cs="仿宋_GB2312"/>
                <w:spacing w:val="-7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32"/>
                <w:szCs w:val="32"/>
                <w:lang w:eastAsia="zh-CN"/>
              </w:rPr>
              <w:t>董事会秘书易红梅、证券事务代表罗能</w:t>
            </w:r>
          </w:p>
        </w:tc>
      </w:tr>
      <w:tr w14:paraId="2F2FFE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4" w:hRule="atLeast"/>
        </w:trPr>
        <w:tc>
          <w:tcPr>
            <w:tcW w:w="1631" w:type="dxa"/>
            <w:vAlign w:val="center"/>
          </w:tcPr>
          <w:p w14:paraId="4FF59A3A">
            <w:pPr>
              <w:pStyle w:val="13"/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4"/>
                <w:sz w:val="32"/>
                <w:szCs w:val="32"/>
                <w:lang w:eastAsia="zh-CN"/>
              </w:rPr>
              <w:t>交流内容及具体问答</w:t>
            </w:r>
            <w:r>
              <w:rPr>
                <w:rFonts w:hint="eastAsia" w:ascii="仿宋_GB2312" w:hAnsi="仿宋_GB2312" w:eastAsia="仿宋_GB2312" w:cs="仿宋_GB2312"/>
                <w:spacing w:val="-7"/>
                <w:sz w:val="32"/>
                <w:szCs w:val="32"/>
                <w:lang w:eastAsia="zh-CN"/>
              </w:rPr>
              <w:t>记录</w:t>
            </w:r>
          </w:p>
        </w:tc>
        <w:tc>
          <w:tcPr>
            <w:tcW w:w="7790" w:type="dxa"/>
          </w:tcPr>
          <w:p w14:paraId="1C2A7E7C">
            <w:pPr>
              <w:kinsoku/>
              <w:autoSpaceDE/>
              <w:autoSpaceDN/>
              <w:spacing w:line="560" w:lineRule="exact"/>
              <w:ind w:firstLine="643" w:firstLineChars="200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eastAsia="zh-CN"/>
              </w:rPr>
              <w:t>1.公司前三季度整体保持盈利，但第三季度单季业绩出现一定波动，主要原因是什么？</w:t>
            </w:r>
          </w:p>
          <w:p w14:paraId="2543259A">
            <w:pPr>
              <w:kinsoku/>
              <w:autoSpaceDE/>
              <w:autoSpaceDN/>
              <w:spacing w:line="560" w:lineRule="exact"/>
              <w:ind w:firstLine="640" w:firstLineChars="200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答：公司前三季度整体保持盈利，前三季度实现营业收入19.05亿元，利润总额8999.4</w:t>
            </w:r>
            <w:r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万元，归属于上市公司股东的净利润2903.36万元。受项目收入确认节奏等阶段性经营因素影响，公司第三季度单季度业绩存在阶段性波动。该波动系收入确认时点差异所致，不反映公司订单储备和经营能力的变化，相关收入将在后续验收节点陆续确认。</w:t>
            </w:r>
          </w:p>
          <w:p w14:paraId="1C065486">
            <w:pPr>
              <w:kinsoku/>
              <w:autoSpaceDE/>
              <w:autoSpaceDN/>
              <w:spacing w:line="560" w:lineRule="exact"/>
              <w:ind w:firstLine="640" w:firstLineChars="200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</w:p>
          <w:p w14:paraId="39E54869">
            <w:pPr>
              <w:kinsoku/>
              <w:autoSpaceDE/>
              <w:autoSpaceDN/>
              <w:spacing w:line="560" w:lineRule="exact"/>
              <w:ind w:firstLine="643" w:firstLineChars="200"/>
              <w:jc w:val="both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eastAsia="zh-CN"/>
              </w:rPr>
              <w:t>2.公司重组后市场关注度提升，股东户数有所增加，股东结构也有所变化。公司如何看待当前的股东结构？将如何提升机构投资者的认知和关注？</w:t>
            </w:r>
          </w:p>
          <w:p w14:paraId="2C17B2AC">
            <w:pPr>
              <w:kinsoku/>
              <w:autoSpaceDE/>
              <w:autoSpaceDN/>
              <w:spacing w:line="560" w:lineRule="exact"/>
              <w:ind w:firstLine="640" w:firstLineChars="200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答：股东户数和持股结构受市场行情、投资偏好等多重因素综合影响。公司于2025年完成重大资产置换，主业整体切换至智慧交通领域，资产质量和业务结构发生质的变化，经营质效稳步改善。随着资产置换成效逐步显现，市场对公司转型价值的关注度随之提升，股东户数相应增加，股东结构也有所变化。从最新前十大股东情况看，根据公司2026年第三季度报告，广西宏桂资本运营集团有限公司持有公司股份2908.98万股，占公司总股本的1.74%，位列公司第四大股东，反映了机构投资者对公司转型发展的关注。</w:t>
            </w:r>
          </w:p>
          <w:p w14:paraId="242E31C0">
            <w:pPr>
              <w:kinsoku/>
              <w:autoSpaceDE/>
              <w:autoSpaceDN/>
              <w:spacing w:line="560" w:lineRule="exact"/>
              <w:ind w:firstLine="640" w:firstLineChars="200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公司将持续主动、规范地做好投资者关系管理，重点从两方面推进：一是持续夯实内在价值。聚焦智慧交通主业，稳步提升经营业绩、盈利质量和可持续发展能力，以实实在在的经营成果支撑公司长期价值。二是持续强化投资者关系管理。公司已制定并不断完善《市值管理制度》，建立常态化投资者沟通机制，通过业绩说明会、上证e互动、投资者热线、现场调研以及“投资者走进上市公司”等多种渠道，系统、客观地向市场传递公司价值；后续将进一步加强与专业机构的对接，积极参与路演和交流活动，帮助机构更深入地理解公司的战略、业务和长期价值。</w:t>
            </w:r>
          </w:p>
          <w:p w14:paraId="1B374E3F">
            <w:pPr>
              <w:kinsoku/>
              <w:autoSpaceDE/>
              <w:autoSpaceDN/>
              <w:spacing w:line="56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</w:p>
          <w:p w14:paraId="33C182E8">
            <w:pPr>
              <w:kinsoku/>
              <w:autoSpaceDE/>
              <w:autoSpaceDN/>
              <w:spacing w:line="560" w:lineRule="exact"/>
              <w:ind w:firstLine="643" w:firstLineChars="200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eastAsia="zh-CN"/>
              </w:rPr>
              <w:t>3.公司未来的发展规划是怎样的？有哪些值得关注的成长方向？</w:t>
            </w:r>
          </w:p>
          <w:p w14:paraId="21C7C4B7">
            <w:pPr>
              <w:kinsoku/>
              <w:autoSpaceDE/>
              <w:autoSpaceDN/>
              <w:spacing w:line="560" w:lineRule="exact"/>
              <w:ind w:firstLine="640" w:firstLineChars="200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答：公司将持续推进1+2+3+X新的业务板块体系：以新一代信息技术为引领性业务，稳住数智工程、勘察设计两大传统型业务基本盘，大力拓展综合检测、生态环境及应急安全、固废利用材料三大业务，全力开拓多种业务新形态。实现从服务基础设施建设向打造关键产业应用场景转变，从传统工程建造向系统服务赋能转变，从工程专业环节经营向全生命周期运营转变，从传统龙头带动向新兴未来产业配套转变。</w:t>
            </w:r>
          </w:p>
          <w:p w14:paraId="07D2706F">
            <w:pPr>
              <w:widowControl w:val="0"/>
              <w:kinsoku/>
              <w:spacing w:line="540" w:lineRule="exact"/>
              <w:ind w:firstLine="560" w:firstLineChars="200"/>
              <w:jc w:val="both"/>
              <w:rPr>
                <w:rFonts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</w:tc>
      </w:tr>
      <w:tr w14:paraId="4E0CEB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9" w:hRule="atLeast"/>
        </w:trPr>
        <w:tc>
          <w:tcPr>
            <w:tcW w:w="1631" w:type="dxa"/>
            <w:vAlign w:val="center"/>
          </w:tcPr>
          <w:p w14:paraId="5F4487B0">
            <w:pPr>
              <w:pStyle w:val="13"/>
              <w:spacing w:line="52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4"/>
                <w:sz w:val="32"/>
                <w:szCs w:val="32"/>
                <w:lang w:eastAsia="zh-CN"/>
              </w:rPr>
              <w:t>关于本次活动是否涉及应披露重大信息的</w:t>
            </w:r>
            <w:r>
              <w:rPr>
                <w:rFonts w:hint="eastAsia" w:ascii="仿宋_GB2312" w:hAnsi="仿宋_GB2312" w:eastAsia="仿宋_GB2312" w:cs="仿宋_GB2312"/>
                <w:spacing w:val="-9"/>
                <w:sz w:val="32"/>
                <w:szCs w:val="32"/>
                <w:lang w:eastAsia="zh-CN"/>
              </w:rPr>
              <w:t>说明</w:t>
            </w:r>
          </w:p>
        </w:tc>
        <w:tc>
          <w:tcPr>
            <w:tcW w:w="7790" w:type="dxa"/>
          </w:tcPr>
          <w:p w14:paraId="6316546F">
            <w:pPr>
              <w:spacing w:line="560" w:lineRule="exact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</w:p>
          <w:p w14:paraId="6AB21CEF">
            <w:pPr>
              <w:spacing w:line="560" w:lineRule="exact"/>
              <w:ind w:firstLine="320" w:firstLineChars="100"/>
              <w:jc w:val="center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否</w:t>
            </w:r>
          </w:p>
        </w:tc>
      </w:tr>
      <w:tr w14:paraId="6F1A89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8" w:hRule="atLeast"/>
        </w:trPr>
        <w:tc>
          <w:tcPr>
            <w:tcW w:w="1631" w:type="dxa"/>
            <w:vAlign w:val="center"/>
          </w:tcPr>
          <w:p w14:paraId="60AA85DD">
            <w:pPr>
              <w:pStyle w:val="13"/>
              <w:spacing w:line="52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4"/>
                <w:sz w:val="32"/>
                <w:szCs w:val="32"/>
                <w:lang w:eastAsia="zh-CN"/>
              </w:rPr>
              <w:t>活动过程中所使用的</w:t>
            </w:r>
            <w:r>
              <w:rPr>
                <w:rFonts w:hint="eastAsia" w:ascii="仿宋_GB2312" w:hAnsi="仿宋_GB2312" w:eastAsia="仿宋_GB2312" w:cs="仿宋_GB2312"/>
                <w:spacing w:val="-11"/>
                <w:sz w:val="32"/>
                <w:szCs w:val="32"/>
                <w:lang w:eastAsia="zh-CN"/>
              </w:rPr>
              <w:t>演示文稿、提供的文档等附件（如有，可作为</w:t>
            </w:r>
            <w:r>
              <w:rPr>
                <w:rFonts w:hint="eastAsia" w:ascii="仿宋_GB2312" w:hAnsi="仿宋_GB2312" w:eastAsia="仿宋_GB2312" w:cs="仿宋_GB2312"/>
                <w:spacing w:val="-7"/>
                <w:sz w:val="32"/>
                <w:szCs w:val="32"/>
                <w:lang w:eastAsia="zh-CN"/>
              </w:rPr>
              <w:t>附件）</w:t>
            </w:r>
          </w:p>
        </w:tc>
        <w:tc>
          <w:tcPr>
            <w:tcW w:w="7790" w:type="dxa"/>
          </w:tcPr>
          <w:p w14:paraId="08DE5A49">
            <w:pPr>
              <w:spacing w:line="560" w:lineRule="exact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</w:p>
          <w:p w14:paraId="553A64AE">
            <w:pPr>
              <w:spacing w:line="560" w:lineRule="exact"/>
              <w:ind w:firstLine="320" w:firstLineChars="100"/>
              <w:jc w:val="center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</w:p>
          <w:p w14:paraId="3C354FF6">
            <w:pPr>
              <w:spacing w:line="560" w:lineRule="exact"/>
              <w:ind w:firstLine="320" w:firstLineChars="100"/>
              <w:jc w:val="center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</w:p>
          <w:p w14:paraId="644967A8">
            <w:pPr>
              <w:spacing w:line="560" w:lineRule="exact"/>
              <w:ind w:firstLine="320" w:firstLineChars="100"/>
              <w:jc w:val="center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无</w:t>
            </w:r>
          </w:p>
        </w:tc>
      </w:tr>
    </w:tbl>
    <w:p w14:paraId="68130134"/>
    <w:sectPr>
      <w:footerReference r:id="rId3" w:type="default"/>
      <w:pgSz w:w="11906" w:h="16839"/>
      <w:pgMar w:top="1431" w:right="1361" w:bottom="1041" w:left="1474" w:header="0" w:footer="677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06EA24">
    <w:pPr>
      <w:spacing w:line="233" w:lineRule="auto"/>
      <w:ind w:left="7841"/>
      <w:rPr>
        <w:rFonts w:ascii="宋体" w:hAnsi="宋体" w:eastAsia="宋体" w:cs="宋体"/>
        <w:sz w:val="28"/>
        <w:szCs w:val="28"/>
      </w:rPr>
    </w:pPr>
    <w:r>
      <w:rPr>
        <w:sz w:val="28"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2B2B32">
                          <w:pPr>
                            <w:pStyle w:val="5"/>
                            <w:rPr>
                              <w:rFonts w:ascii="宋体" w:hAnsi="宋体" w:eastAsia="宋体"/>
                              <w:sz w:val="21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1"/>
                            </w:rPr>
                            <w:t>—　</w:t>
                          </w:r>
                          <w:r>
                            <w:rPr>
                              <w:rFonts w:ascii="宋体" w:hAnsi="宋体" w:eastAsia="宋体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1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1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1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1"/>
                            </w:rPr>
                            <w:t>　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AalSs7WAAAABgEAAA8AAAAAAAAAAQAgAAAAIgAAAGRycy9kb3ducmV2LnhtbFBL&#10;AQIUABQAAAAIAIdO4kAM5UmvMQIAAF8EAAAOAAAAAAAAAAEAIAAAACU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2A2B2B32">
                    <w:pPr>
                      <w:pStyle w:val="5"/>
                      <w:rPr>
                        <w:rFonts w:ascii="宋体" w:hAnsi="宋体" w:eastAsia="宋体"/>
                        <w:sz w:val="21"/>
                      </w:rPr>
                    </w:pPr>
                    <w:r>
                      <w:rPr>
                        <w:rFonts w:ascii="宋体" w:hAnsi="宋体" w:eastAsia="宋体"/>
                        <w:sz w:val="21"/>
                      </w:rPr>
                      <w:t>—　</w:t>
                    </w:r>
                    <w:r>
                      <w:rPr>
                        <w:rFonts w:ascii="宋体" w:hAnsi="宋体" w:eastAsia="宋体"/>
                        <w:sz w:val="21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1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1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1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1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1"/>
                      </w:rPr>
                      <w:t>　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displayBackgroundShape w:val="1"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spaceForUL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CDB"/>
    <w:rsid w:val="00415E8A"/>
    <w:rsid w:val="00533AC7"/>
    <w:rsid w:val="00685C2A"/>
    <w:rsid w:val="006E6DA8"/>
    <w:rsid w:val="009B4161"/>
    <w:rsid w:val="009B6CC5"/>
    <w:rsid w:val="00A408AB"/>
    <w:rsid w:val="00C21A62"/>
    <w:rsid w:val="00C462DB"/>
    <w:rsid w:val="00EB6502"/>
    <w:rsid w:val="00EB7AAF"/>
    <w:rsid w:val="00EC31BC"/>
    <w:rsid w:val="00FE4CDB"/>
    <w:rsid w:val="04701AB4"/>
    <w:rsid w:val="09CD3AB5"/>
    <w:rsid w:val="1D457301"/>
    <w:rsid w:val="3355726E"/>
    <w:rsid w:val="3E3FFD9A"/>
    <w:rsid w:val="58C92D09"/>
    <w:rsid w:val="613B0A3A"/>
    <w:rsid w:val="6705099E"/>
    <w:rsid w:val="6C755B68"/>
    <w:rsid w:val="76404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outlineLvl w:val="1"/>
    </w:pPr>
    <w:rPr>
      <w:rFonts w:hint="eastAsia" w:ascii="宋体" w:hAnsi="宋体" w:eastAsia="宋体" w:cs="Times New Roman"/>
      <w:b/>
      <w:bCs/>
      <w:sz w:val="36"/>
      <w:szCs w:val="36"/>
      <w:lang w:eastAsia="zh-CN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qFormat/>
    <w:uiPriority w:val="99"/>
  </w:style>
  <w:style w:type="paragraph" w:styleId="4">
    <w:name w:val="Balloon Text"/>
    <w:basedOn w:val="1"/>
    <w:link w:val="16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7">
    <w:name w:val="annotation subject"/>
    <w:basedOn w:val="3"/>
    <w:next w:val="3"/>
    <w:link w:val="15"/>
    <w:qFormat/>
    <w:uiPriority w:val="0"/>
    <w:rPr>
      <w:b/>
      <w:bCs/>
    </w:r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character" w:styleId="11">
    <w:name w:val="annotation reference"/>
    <w:basedOn w:val="9"/>
    <w:qFormat/>
    <w:uiPriority w:val="0"/>
    <w:rPr>
      <w:sz w:val="21"/>
      <w:szCs w:val="21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</w:rPr>
  </w:style>
  <w:style w:type="character" w:customStyle="1" w:styleId="14">
    <w:name w:val="批注文字 Char"/>
    <w:basedOn w:val="9"/>
    <w:link w:val="3"/>
    <w:qFormat/>
    <w:uiPriority w:val="99"/>
    <w:rPr>
      <w:rFonts w:ascii="Arial" w:hAnsi="Arial" w:eastAsia="Arial" w:cs="Arial"/>
      <w:snapToGrid w:val="0"/>
      <w:color w:val="000000"/>
      <w:sz w:val="21"/>
      <w:szCs w:val="21"/>
      <w:lang w:eastAsia="en-US"/>
    </w:rPr>
  </w:style>
  <w:style w:type="character" w:customStyle="1" w:styleId="15">
    <w:name w:val="批注主题 Char"/>
    <w:basedOn w:val="14"/>
    <w:link w:val="7"/>
    <w:qFormat/>
    <w:uiPriority w:val="0"/>
    <w:rPr>
      <w:rFonts w:ascii="Arial" w:hAnsi="Arial" w:eastAsia="Arial" w:cs="Arial"/>
      <w:b/>
      <w:bCs/>
      <w:snapToGrid w:val="0"/>
      <w:color w:val="000000"/>
      <w:sz w:val="21"/>
      <w:szCs w:val="21"/>
      <w:lang w:eastAsia="en-US"/>
    </w:rPr>
  </w:style>
  <w:style w:type="character" w:customStyle="1" w:styleId="16">
    <w:name w:val="批注框文本 Char"/>
    <w:basedOn w:val="9"/>
    <w:link w:val="4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88d19c39-d5fd-4973-b8a7-f9037494a722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 AFAA2E7</paraID>
      <start xmlns="http://schemas.wps.cn/vas-ai-hub/contract-review">26</start>
      <end xmlns="http://schemas.wps.cn/vas-ai-hub/contract-review">28</end>
      <status xmlns="http://schemas.wps.cn/vas-ai-hub/contract-review">modified</status>
      <modifiedWord xmlns="http://schemas.wps.cn/vas-ai-hub/contract-review">－</modifiedWord>
      <trackRevisions xmlns="http://schemas.wps.cn/vas-ai-hub/contract-review">true</trackRevisions>
    </reviewItem>
    <reviewItem xmlns="http://schemas.wps.cn/vas-ai-hub/contract-review">
      <errorID xmlns="http://schemas.wps.cn/vas-ai-hub/contract-review">e66ca057-9534-4b97-b6b4-d354f3c56254</errorID>
      <errorWord xmlns="http://schemas.wps.cn/vas-ai-hub/contract-review">（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/>
      <explain xmlns="http://schemas.wps.cn/vas-ai-hub/contract-review">同一形式括号套用。</explain>
      <paraID xmlns="http://schemas.wps.cn/vas-ai-hub/contract-review"> AFAA2E7</paraID>
      <start xmlns="http://schemas.wps.cn/vas-ai-hub/contract-review">254</start>
      <end xmlns="http://schemas.wps.cn/vas-ai-hub/contract-review">255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4eb1af5d-f683-4139-9f5c-c20a44bd2d74</errorID>
      <errorWord xmlns="http://schemas.wps.cn/vas-ai-hub/contract-review">）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/>
      <explain xmlns="http://schemas.wps.cn/vas-ai-hub/contract-review">同一形式括号套用。</explain>
      <paraID xmlns="http://schemas.wps.cn/vas-ai-hub/contract-review"> AFAA2E7</paraID>
      <start xmlns="http://schemas.wps.cn/vas-ai-hub/contract-review">258</start>
      <end xmlns="http://schemas.wps.cn/vas-ai-hub/contract-review">259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66bf5e01-67d3-4e09-b264-f030e85ee332</errorID>
      <errorWord xmlns="http://schemas.wps.cn/vas-ai-hub/contract-review">（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/>
      <explain xmlns="http://schemas.wps.cn/vas-ai-hub/contract-review">同一形式括号套用。</explain>
      <paraID xmlns="http://schemas.wps.cn/vas-ai-hub/contract-review">40C37A16</paraID>
      <start xmlns="http://schemas.wps.cn/vas-ai-hub/contract-review">44</start>
      <end xmlns="http://schemas.wps.cn/vas-ai-hub/contract-review">45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c969aa22-b790-4d52-8f63-59dee9b41384</errorID>
      <errorWord xmlns="http://schemas.wps.cn/vas-ai-hub/contract-review">）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/>
      <explain xmlns="http://schemas.wps.cn/vas-ai-hub/contract-review">同一形式括号套用。</explain>
      <paraID xmlns="http://schemas.wps.cn/vas-ai-hub/contract-review">40C37A16</paraID>
      <start xmlns="http://schemas.wps.cn/vas-ai-hub/contract-review">48</start>
      <end xmlns="http://schemas.wps.cn/vas-ai-hub/contract-review">49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F51CF2B-57AF-48B0-9891-78EF2F13450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1170</Words>
  <Characters>1230</Characters>
  <Lines>9</Lines>
  <Paragraphs>2</Paragraphs>
  <TotalTime>1</TotalTime>
  <ScaleCrop>false</ScaleCrop>
  <LinksUpToDate>false</LinksUpToDate>
  <CharactersWithSpaces>1306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2026-10-30T02:12:00Z</dcterms:created>
  <dc:creator>user</dc:creator>
  <cp:lastModifiedBy>李佳延</cp:lastModifiedBy>
  <dcterms:modified xsi:type="dcterms:W3CDTF">2026-10-30T08:11:56Z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2026-07-20T09:28:07Z</vt:filetime>
  </property>
  <property fmtid="{D5CDD505-2E9C-101B-9397-08002B2CF9AE}" pid="4" name="KSOTemplateDocerSaveRecord">
    <vt:lpwstr>eyJoZGlkIjoiZjJjZjFhMzM5ODk0NzVhN2I1ZmE2NTI4MDk0NzkxMDUiLCJ1c2VySWQiOiIxNDgzNTQ4NjczIn0=</vt:lpwstr>
  </property>
  <property fmtid="{D5CDD505-2E9C-101B-9397-08002B2CF9AE}" pid="5" name="KSOProductBuildVer">
    <vt:lpwstr>2052-12.1.0.23542</vt:lpwstr>
  </property>
  <property fmtid="{D5CDD505-2E9C-101B-9397-08002B2CF9AE}" pid="6" name="ICV">
    <vt:lpwstr>FAD22C0643B345F8AB7D7996235C8AE7_13</vt:lpwstr>
  </property>
</Properties>
</file>