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4E3AA">
      <w:pPr>
        <w:jc w:val="center"/>
        <w:rPr>
          <w:rFonts w:ascii="Times New Roman" w:hAnsi="Times New Roman" w:eastAsia="华文楷体"/>
          <w:b/>
          <w:bCs/>
          <w:iCs/>
          <w:color w:val="000000"/>
          <w:sz w:val="24"/>
        </w:rPr>
      </w:pPr>
      <w:r>
        <w:rPr>
          <w:rFonts w:ascii="Times New Roman" w:hAnsi="Times New Roman" w:eastAsia="华文楷体"/>
          <w:bCs/>
          <w:iCs/>
          <w:color w:val="000000"/>
          <w:sz w:val="24"/>
        </w:rPr>
        <w:t>证券代码：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>603092</w:t>
      </w:r>
      <w:r>
        <w:rPr>
          <w:rFonts w:ascii="Times New Roman" w:hAnsi="Times New Roman" w:eastAsia="华文楷体"/>
          <w:bCs/>
          <w:iCs/>
          <w:color w:val="000000"/>
          <w:sz w:val="24"/>
        </w:rPr>
        <w:t xml:space="preserve">    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 xml:space="preserve">               </w:t>
      </w:r>
      <w:r>
        <w:rPr>
          <w:rFonts w:ascii="Times New Roman" w:hAnsi="Times New Roman" w:eastAsia="华文楷体"/>
          <w:bCs/>
          <w:iCs/>
          <w:color w:val="000000"/>
          <w:sz w:val="24"/>
        </w:rPr>
        <w:t xml:space="preserve"> 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 xml:space="preserve"> </w:t>
      </w:r>
      <w:r>
        <w:rPr>
          <w:rFonts w:ascii="Times New Roman" w:hAnsi="Times New Roman" w:eastAsia="华文楷体"/>
          <w:bCs/>
          <w:iCs/>
          <w:color w:val="000000"/>
          <w:sz w:val="24"/>
        </w:rPr>
        <w:t xml:space="preserve">                证券简称：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>德力佳</w:t>
      </w:r>
    </w:p>
    <w:p w14:paraId="177EE161">
      <w:pPr>
        <w:ind w:firstLine="482"/>
        <w:jc w:val="center"/>
        <w:rPr>
          <w:rFonts w:ascii="Times New Roman" w:hAnsi="Times New Roman" w:eastAsia="华文楷体"/>
          <w:b/>
          <w:bCs/>
          <w:iCs/>
          <w:color w:val="000000"/>
          <w:sz w:val="24"/>
        </w:rPr>
      </w:pPr>
    </w:p>
    <w:p w14:paraId="7998FA03">
      <w:pPr>
        <w:ind w:firstLine="482"/>
        <w:jc w:val="center"/>
        <w:rPr>
          <w:rFonts w:ascii="Times New Roman" w:hAnsi="Times New Roman" w:eastAsia="华文楷体"/>
          <w:b/>
          <w:bCs/>
          <w:iCs/>
          <w:color w:val="000000"/>
          <w:sz w:val="32"/>
        </w:rPr>
      </w:pPr>
      <w:r>
        <w:rPr>
          <w:rFonts w:hint="eastAsia" w:ascii="Times New Roman" w:hAnsi="Times New Roman" w:eastAsia="华文楷体"/>
          <w:b/>
          <w:bCs/>
          <w:iCs/>
          <w:color w:val="000000"/>
          <w:sz w:val="32"/>
        </w:rPr>
        <w:t>德力佳传动科技（江苏）</w:t>
      </w:r>
      <w:r>
        <w:rPr>
          <w:rFonts w:ascii="Times New Roman" w:hAnsi="Times New Roman" w:eastAsia="华文楷体"/>
          <w:b/>
          <w:bCs/>
          <w:iCs/>
          <w:color w:val="000000"/>
          <w:sz w:val="32"/>
        </w:rPr>
        <w:t>股份有限公司</w:t>
      </w:r>
    </w:p>
    <w:p w14:paraId="7CBC32A2">
      <w:pPr>
        <w:ind w:firstLine="482"/>
        <w:jc w:val="center"/>
        <w:rPr>
          <w:rFonts w:ascii="Times New Roman" w:hAnsi="Times New Roman" w:eastAsia="华文楷体"/>
          <w:b/>
          <w:bCs/>
          <w:iCs/>
          <w:color w:val="000000"/>
          <w:sz w:val="32"/>
        </w:rPr>
      </w:pPr>
      <w:r>
        <w:rPr>
          <w:rFonts w:ascii="Times New Roman" w:hAnsi="Times New Roman" w:eastAsia="华文楷体"/>
          <w:b/>
          <w:bCs/>
          <w:iCs/>
          <w:color w:val="000000"/>
          <w:sz w:val="32"/>
        </w:rPr>
        <w:t>投资者关系活动记录表</w:t>
      </w:r>
    </w:p>
    <w:p w14:paraId="5AEF6045">
      <w:pPr>
        <w:spacing w:line="400" w:lineRule="exact"/>
        <w:ind w:firstLine="480"/>
        <w:rPr>
          <w:rFonts w:ascii="Times New Roman" w:hAnsi="Times New Roman" w:eastAsia="华文楷体"/>
          <w:bCs/>
          <w:iCs/>
          <w:color w:val="000000"/>
          <w:sz w:val="24"/>
        </w:rPr>
      </w:pPr>
      <w:r>
        <w:rPr>
          <w:rFonts w:ascii="Times New Roman" w:hAnsi="Times New Roman" w:eastAsia="华文楷体"/>
          <w:bCs/>
          <w:iCs/>
          <w:color w:val="000000"/>
          <w:sz w:val="24"/>
        </w:rPr>
        <w:t xml:space="preserve">                                                    编号：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>2026-009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 w14:paraId="1FAF08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2C4D14CE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投资者关系活动类别</w:t>
            </w:r>
          </w:p>
          <w:p w14:paraId="2423DF3B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0F379D5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☑</w:t>
            </w:r>
            <w:r>
              <w:rPr>
                <w:rFonts w:ascii="Times New Roman" w:hAnsi="Times New Roman" w:eastAsia="华文楷体"/>
                <w:sz w:val="24"/>
              </w:rPr>
              <w:t xml:space="preserve">特定对象调研        </w:t>
            </w: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☑</w:t>
            </w:r>
            <w:r>
              <w:rPr>
                <w:rFonts w:ascii="Times New Roman" w:hAnsi="Times New Roman" w:eastAsia="华文楷体"/>
                <w:sz w:val="24"/>
              </w:rPr>
              <w:t>分析师会议</w:t>
            </w:r>
          </w:p>
          <w:p w14:paraId="639C1AAC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 xml:space="preserve">媒体采访            </w:t>
            </w: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>业绩说明会</w:t>
            </w:r>
          </w:p>
          <w:p w14:paraId="76B8334A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 xml:space="preserve">新闻发布会          </w:t>
            </w: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>路演活动</w:t>
            </w:r>
          </w:p>
          <w:p w14:paraId="139492ED">
            <w:pPr>
              <w:tabs>
                <w:tab w:val="left" w:pos="3045"/>
                <w:tab w:val="center" w:pos="3199"/>
              </w:tabs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☑</w:t>
            </w:r>
            <w:r>
              <w:rPr>
                <w:rFonts w:ascii="Times New Roman" w:hAnsi="Times New Roman" w:eastAsia="华文楷体"/>
                <w:sz w:val="24"/>
              </w:rPr>
              <w:t>现场参观</w:t>
            </w: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ab/>
            </w:r>
          </w:p>
          <w:p w14:paraId="45D53715">
            <w:pPr>
              <w:tabs>
                <w:tab w:val="center" w:pos="3199"/>
              </w:tabs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>其他 （</w:t>
            </w:r>
            <w:r>
              <w:rPr>
                <w:rFonts w:ascii="Times New Roman" w:hAnsi="Times New Roman" w:eastAsia="华文楷体"/>
                <w:sz w:val="24"/>
                <w:u w:val="single"/>
              </w:rPr>
              <w:t>请文字说明其他活动内容）</w:t>
            </w:r>
          </w:p>
        </w:tc>
      </w:tr>
      <w:tr w14:paraId="14BB35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18D9A79A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参与单位名称及人员姓名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70FF7F1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 xml:space="preserve">富国基金、华泰证券、中泰证券、光大理财、正心谷资本      </w:t>
            </w:r>
          </w:p>
        </w:tc>
      </w:tr>
      <w:tr w14:paraId="19DEC4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6CEF074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28F6A9D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2026年10月</w:t>
            </w:r>
          </w:p>
        </w:tc>
      </w:tr>
      <w:tr w14:paraId="518BEF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121C6E2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67B97A0B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公司会议室、厂区</w:t>
            </w:r>
          </w:p>
        </w:tc>
      </w:tr>
      <w:tr w14:paraId="47A7EE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0072FD1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5663827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董事会秘书：陈佳海</w:t>
            </w:r>
          </w:p>
          <w:p w14:paraId="4291E548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证券事务代表：朱灵芝</w:t>
            </w:r>
          </w:p>
          <w:p w14:paraId="7215C15D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证券专员：汤家英</w:t>
            </w:r>
          </w:p>
        </w:tc>
      </w:tr>
      <w:tr w14:paraId="519272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1069ACBD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投资者关系活动主要内容介绍</w:t>
            </w:r>
          </w:p>
          <w:p w14:paraId="41148775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4B9D6134">
            <w:pPr>
              <w:adjustRightInd w:val="0"/>
              <w:snapToGrid w:val="0"/>
              <w:spacing w:before="156" w:beforeLines="50" w:line="360" w:lineRule="auto"/>
              <w:ind w:firstLine="482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/>
                <w:iCs/>
                <w:color w:val="000000"/>
                <w:sz w:val="24"/>
              </w:rPr>
              <w:t>问题一：今年行业下调预期，但公司份额仍在提升，请谈谈背后核心驱动因素？</w:t>
            </w:r>
          </w:p>
          <w:p w14:paraId="6FA6EF97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答：今年风电行业受政策节奏、项目释放节奏等因素影响呈现季度层面波动。下游整机厂商愈发重视供应链安全以及零部件的长期可靠性，齿轮箱作为核心零部件，其产品可靠性是客户选型的首要考量因素。公司依托新产品开发、批量交付、产品运行可靠性上积累的实证口碑，在多客户体系里面持续获得增量份额；同时海内外配套业务同步增长，通过多客户、海内外业务组合，对冲单一客户或者单季度的需求扰动，支撑公司份额持续向上。</w:t>
            </w:r>
          </w:p>
          <w:p w14:paraId="72425CAD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/>
                <w:iCs/>
                <w:color w:val="000000"/>
                <w:sz w:val="24"/>
              </w:rPr>
              <w:t>问题二：对比同业，公司在产品设计、平台化落地以及运营层面形成了哪些差异化的竞争能力？</w:t>
            </w:r>
          </w:p>
          <w:p w14:paraId="76EA5D8B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答：在产品端，公司坚持平台化、标准化、轻量化的设计路线，新产品样机开发到批量转化的效率具备优势，滑轴等新兴技术已经实现规模化交付，批量运行表现稳定；同时针对海外市场关注的性能指标做专项优化，并得到有效验证。在运营管理层面，公司组织架构精简高效，费用管控水平良好，能够把研发、制造、管理的优势转化为综合的产品竞争力，这也是公司能够持续获得下游客户认可的重要基础。</w:t>
            </w:r>
          </w:p>
          <w:p w14:paraId="181391B6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/>
                <w:iCs/>
                <w:color w:val="000000"/>
                <w:sz w:val="24"/>
              </w:rPr>
              <w:t>问题三：公司海外业务从间接出口逐步往直接出口推进，当前推进的难点与公司的实施策略是怎样的？</w:t>
            </w:r>
          </w:p>
          <w:p w14:paraId="41C9C277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答：海外整机厂商的供应链准入认证周期较长，其中海上风电供应链准入门槛相较陆上风电更高。现阶段公司间接出口占比持续提升，依托国内主机厂的海外出海项目，公司多批次产品已实现海外实地工况验证，</w:t>
            </w:r>
            <w:bookmarkStart w:id="0" w:name="_GoBack"/>
            <w:bookmarkEnd w:id="0"/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期间积累了宝贵的海外现场运行数据。今年公司已向境外直接客户提供样机开展测试验证，截至目前，样机运行表现符合预期；后续将持续推进与其余主流海外整机厂商的供应链准入对接工作，为后期直接出口实现批量供货夯实基础，海外业务长期有望成为公司重要业务增量来源。</w:t>
            </w:r>
          </w:p>
          <w:p w14:paraId="743636C7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/>
                <w:iCs/>
                <w:color w:val="000000"/>
                <w:sz w:val="24"/>
              </w:rPr>
              <w:t>问题四：海上风电市场预期后续将迎来放量，公司在海风机型的技术储备以及量产准备上做了哪些布局？</w:t>
            </w:r>
          </w:p>
          <w:p w14:paraId="5EE0718B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答：海上工况对齿轮箱的可靠性、抗环境扰动能力提出更高要求。目前公司已经实现18MW级海风机型的批量供货；同时持续开展更高功率等级海上齿轮箱的研发工作，完成多档大兆瓦海风机型的技术储备。海风项目释放存在阶段性，公司会跟随行业项目节奏匹配研发与产线准备，依托公司精密制造工艺与完整的验证体系，保障海风机型从样机快速过渡到稳定批量交付。</w:t>
            </w:r>
          </w:p>
          <w:p w14:paraId="6370C812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/>
                <w:iCs/>
                <w:color w:val="000000"/>
                <w:sz w:val="24"/>
              </w:rPr>
              <w:t>问题五：如何看待风机存量运维更换市场带来的机会，公司对此有哪些准备？</w:t>
            </w:r>
          </w:p>
          <w:p w14:paraId="78B84DED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答：随着国内早期投运风机逐步进入生命周期中后期，包括齿轮箱在内的各零部件维修、更换的存量市场长期来看具备发展空间。公司长期聚焦风电主齿轮箱主业，现有产品已经经过大量项目实证，也积累了丰富的产品工况数据与技术经验。公司将持续跟踪存量市场的发展变化，立足于自身主业技术与制造能力，做好相应技术储备，视行业实际发展情况把握相关业务机会。</w:t>
            </w:r>
          </w:p>
        </w:tc>
      </w:tr>
      <w:tr w14:paraId="62EF63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7A4B56D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关于本次活动是否涉及应当披露重大信息的说明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374EBE8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本次活动不涉及未公开披露的重大信息。</w:t>
            </w:r>
          </w:p>
        </w:tc>
      </w:tr>
      <w:tr w14:paraId="1D96A2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14D2DDD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附件清单（如有）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78959589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无</w:t>
            </w:r>
          </w:p>
        </w:tc>
      </w:tr>
      <w:tr w14:paraId="706CCE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36E3156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40B810E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2026年11月2日</w:t>
            </w:r>
          </w:p>
        </w:tc>
      </w:tr>
    </w:tbl>
    <w:p w14:paraId="19473FE2">
      <w:pPr>
        <w:rPr>
          <w:rFonts w:ascii="Times New Roman" w:hAnsi="Times New Roman" w:eastAsia="华文楷体"/>
          <w:sz w:val="24"/>
        </w:rPr>
      </w:pPr>
    </w:p>
    <w:p w14:paraId="5D6A82AA">
      <w:pPr>
        <w:widowControl/>
        <w:jc w:val="left"/>
        <w:rPr>
          <w:rFonts w:ascii="Times New Roman" w:hAnsi="Times New Roman" w:eastAsia="华文楷体"/>
          <w:sz w:val="24"/>
        </w:rPr>
      </w:pPr>
    </w:p>
    <w:p w14:paraId="5A238B1F"/>
    <w:sectPr>
      <w:headerReference r:id="rId3" w:type="default"/>
      <w:footerReference r:id="rId4" w:type="default"/>
      <w:pgSz w:w="11906" w:h="16838"/>
      <w:pgMar w:top="930" w:right="1797" w:bottom="1440" w:left="1797" w:header="737" w:footer="68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F35E7">
    <w:pPr>
      <w:pStyle w:val="3"/>
      <w:tabs>
        <w:tab w:val="left" w:pos="7410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C260E3">
                          <w:pPr>
                            <w:pStyle w:val="3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C260E3">
                    <w:pPr>
                      <w:pStyle w:val="3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1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23CEF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8BE"/>
    <w:rsid w:val="000604F3"/>
    <w:rsid w:val="000741B3"/>
    <w:rsid w:val="00100EB6"/>
    <w:rsid w:val="0015587B"/>
    <w:rsid w:val="002F0411"/>
    <w:rsid w:val="003E7161"/>
    <w:rsid w:val="00441BFF"/>
    <w:rsid w:val="0046311B"/>
    <w:rsid w:val="00620908"/>
    <w:rsid w:val="00741EBF"/>
    <w:rsid w:val="00747321"/>
    <w:rsid w:val="007D72EE"/>
    <w:rsid w:val="00867995"/>
    <w:rsid w:val="008D73B0"/>
    <w:rsid w:val="00B3609E"/>
    <w:rsid w:val="00B71C5D"/>
    <w:rsid w:val="00C21CA2"/>
    <w:rsid w:val="00C708BE"/>
    <w:rsid w:val="00F65B2F"/>
    <w:rsid w:val="04F43251"/>
    <w:rsid w:val="051879C0"/>
    <w:rsid w:val="08C314CF"/>
    <w:rsid w:val="10A246D7"/>
    <w:rsid w:val="124B3F8E"/>
    <w:rsid w:val="152D3042"/>
    <w:rsid w:val="16287169"/>
    <w:rsid w:val="184C0154"/>
    <w:rsid w:val="192615E5"/>
    <w:rsid w:val="19895E50"/>
    <w:rsid w:val="1B987131"/>
    <w:rsid w:val="1C1547AA"/>
    <w:rsid w:val="1C7D24DE"/>
    <w:rsid w:val="1D214DD8"/>
    <w:rsid w:val="1E546BED"/>
    <w:rsid w:val="211029CC"/>
    <w:rsid w:val="23B816BF"/>
    <w:rsid w:val="27C75FB7"/>
    <w:rsid w:val="2BED6847"/>
    <w:rsid w:val="2C0F23A5"/>
    <w:rsid w:val="2DA454A5"/>
    <w:rsid w:val="2DA571BC"/>
    <w:rsid w:val="2FE65FBB"/>
    <w:rsid w:val="382968F9"/>
    <w:rsid w:val="39B8407C"/>
    <w:rsid w:val="39C66EFD"/>
    <w:rsid w:val="3EBB453C"/>
    <w:rsid w:val="40C6655A"/>
    <w:rsid w:val="450D1720"/>
    <w:rsid w:val="45857F1B"/>
    <w:rsid w:val="4A407EA2"/>
    <w:rsid w:val="4AB349FE"/>
    <w:rsid w:val="4B9777E8"/>
    <w:rsid w:val="501A42CC"/>
    <w:rsid w:val="507A4098"/>
    <w:rsid w:val="582A35CD"/>
    <w:rsid w:val="583B190F"/>
    <w:rsid w:val="5B286E5C"/>
    <w:rsid w:val="61C51130"/>
    <w:rsid w:val="657F0BB7"/>
    <w:rsid w:val="66A3227F"/>
    <w:rsid w:val="67D326A3"/>
    <w:rsid w:val="68135AD3"/>
    <w:rsid w:val="68BF5CF0"/>
    <w:rsid w:val="69FE6E15"/>
    <w:rsid w:val="6A02234F"/>
    <w:rsid w:val="6C5C26DC"/>
    <w:rsid w:val="6EA1444B"/>
    <w:rsid w:val="726E730B"/>
    <w:rsid w:val="75153B55"/>
    <w:rsid w:val="75BA6617"/>
    <w:rsid w:val="76C26CAA"/>
    <w:rsid w:val="78557CAD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annotation subject"/>
    <w:basedOn w:val="2"/>
    <w:next w:val="2"/>
    <w:link w:val="11"/>
    <w:qFormat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paragraph" w:customStyle="1" w:styleId="9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0">
    <w:name w:val="批注文字 字符"/>
    <w:basedOn w:val="7"/>
    <w:link w:val="2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1">
    <w:name w:val="批注主题 字符"/>
    <w:basedOn w:val="10"/>
    <w:link w:val="5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customStyle="1" w:styleId="12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f44c4ffb-28f7-4639-9206-10489d5a7fa1</errorID>
      <errorWord>3、</errorWord>
      <group>L1_Format</group>
      <groupName>格式问题</groupName>
      <ability>L2_Ordinal</ability>
      <abilityName>序号格式</abilityName>
      <candidateList>
        <item>3：</item>
      </candidateList>
      <explain>标题顺序错误，请检查标题顺序是否合理。</explain>
      <paraID>3C96D47E</paraID>
      <start>2</start>
      <end>4</end>
      <status>ignored</status>
      <modifiedWord/>
      <trackRevisions>false</trackRevisions>
    </reviewItem>
    <reviewItem>
      <errorID>e296356f-8a4f-4c2c-9bef-9b37378a14a8</errorID>
      <errorWord>、</errorWord>
      <group>L1_Punc</group>
      <groupName>标点问题</groupName>
      <ability>L2_Punc_CN</ability>
      <abilityName>标点符号问题</abilityName>
      <candidateList>
        <item>：</item>
      </candidateList>
      <explain/>
      <paraID>76617091</paraID>
      <start>3</start>
      <end>4</end>
      <status>ignored</status>
      <modifiedWord/>
      <trackRevisions>false</trackRevisions>
    </reviewItem>
    <reviewItem>
      <errorID>93a05716-90e2-4afa-9deb-ddb112bde0fa</errorID>
      <errorWord>、</errorWord>
      <group>L1_Punc</group>
      <groupName>标点问题</groupName>
      <ability>L2_Punc_CN</ability>
      <abilityName>标点符号问题</abilityName>
      <candidateList>
        <item>：</item>
      </candidateList>
      <explain/>
      <paraID>72E78234</paraID>
      <start>3</start>
      <end>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130441-C36E-41AA-886B-2E7F790850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1469</Words>
  <Characters>1492</Characters>
  <Lines>52</Lines>
  <Paragraphs>41</Paragraphs>
  <TotalTime>28</TotalTime>
  <ScaleCrop>false</ScaleCrop>
  <LinksUpToDate>false</LinksUpToDate>
  <CharactersWithSpaces>1619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2026-07-22T01:34:00Z</dcterms:created>
  <dc:creator>zhulz</dc:creator>
  <cp:lastModifiedBy>zlz</cp:lastModifiedBy>
  <dcterms:modified xsi:type="dcterms:W3CDTF">2026-11-02T03:42:10Z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0AA21B50DB7B4D0EB171F1CCFBC2C1AD_13</vt:lpwstr>
  </property>
  <property fmtid="{D5CDD505-2E9C-101B-9397-08002B2CF9AE}" pid="4" name="KSOTemplateDocerSaveRecord">
    <vt:lpwstr>eyJoZGlkIjoiNWRjNTQwM2NmYzQ5NjYwZGNmMmE3MDk1ZmM4NzAzOGUiLCJ1c2VySWQiOiIxNDI1NTE5NjIwIn0=</vt:lpwstr>
  </property>
</Properties>
</file>