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4BC30" w14:textId="77777777" w:rsidR="0035715A" w:rsidRDefault="00000000">
      <w:pPr>
        <w:spacing w:line="360" w:lineRule="auto"/>
        <w:jc w:val="center"/>
        <w:rPr>
          <w:rFonts w:eastAsiaTheme="minorEastAsia"/>
          <w:bCs/>
          <w:iCs/>
          <w:color w:val="000000"/>
          <w:sz w:val="32"/>
          <w:szCs w:val="40"/>
        </w:rPr>
      </w:pPr>
      <w:r>
        <w:rPr>
          <w:rFonts w:eastAsiaTheme="minorEastAsia" w:hint="eastAsia"/>
          <w:bCs/>
          <w:iCs/>
          <w:color w:val="000000"/>
          <w:sz w:val="32"/>
          <w:szCs w:val="40"/>
        </w:rPr>
        <w:t>包头天和磁材科技股份有限公司</w:t>
      </w:r>
    </w:p>
    <w:p w14:paraId="7F7469DB" w14:textId="77777777" w:rsidR="0035715A" w:rsidRDefault="00000000">
      <w:pPr>
        <w:spacing w:line="360" w:lineRule="auto"/>
        <w:jc w:val="center"/>
        <w:rPr>
          <w:rFonts w:eastAsiaTheme="minorEastAsia"/>
          <w:bCs/>
          <w:iCs/>
          <w:color w:val="000000"/>
          <w:sz w:val="32"/>
          <w:szCs w:val="40"/>
        </w:rPr>
      </w:pPr>
      <w:r>
        <w:rPr>
          <w:rFonts w:eastAsiaTheme="minorEastAsia"/>
          <w:bCs/>
          <w:iCs/>
          <w:color w:val="000000"/>
          <w:sz w:val="32"/>
          <w:szCs w:val="40"/>
        </w:rPr>
        <w:t>投资者关系活动记录表</w:t>
      </w:r>
    </w:p>
    <w:p w14:paraId="300DF078" w14:textId="6F2F7499" w:rsidR="0035715A" w:rsidRDefault="00000000">
      <w:pPr>
        <w:spacing w:line="360" w:lineRule="auto"/>
        <w:jc w:val="right"/>
        <w:rPr>
          <w:rFonts w:eastAsiaTheme="minorEastAsia"/>
          <w:bCs/>
          <w:iCs/>
          <w:color w:val="000000"/>
          <w:sz w:val="22"/>
          <w:szCs w:val="28"/>
        </w:rPr>
      </w:pPr>
      <w:r>
        <w:rPr>
          <w:rFonts w:eastAsiaTheme="minorEastAsia"/>
          <w:bCs/>
          <w:iCs/>
          <w:color w:val="000000"/>
          <w:sz w:val="22"/>
          <w:szCs w:val="28"/>
        </w:rPr>
        <w:t xml:space="preserve">                                                  </w:t>
      </w:r>
      <w:r>
        <w:rPr>
          <w:rFonts w:eastAsiaTheme="minorEastAsia"/>
          <w:bCs/>
          <w:iCs/>
          <w:color w:val="000000"/>
          <w:sz w:val="22"/>
          <w:szCs w:val="28"/>
        </w:rPr>
        <w:t>编号：</w:t>
      </w:r>
      <w:r>
        <w:rPr>
          <w:rFonts w:eastAsiaTheme="minorEastAsia" w:hint="eastAsia"/>
          <w:bCs/>
          <w:iCs/>
          <w:color w:val="000000"/>
          <w:sz w:val="22"/>
          <w:szCs w:val="28"/>
        </w:rPr>
        <w:t>2026-0</w:t>
      </w:r>
      <w:r w:rsidR="004937FD">
        <w:rPr>
          <w:rFonts w:eastAsiaTheme="minorEastAsia" w:hint="eastAsia"/>
          <w:bCs/>
          <w:iCs/>
          <w:color w:val="000000"/>
          <w:sz w:val="22"/>
          <w:szCs w:val="28"/>
        </w:rPr>
        <w:t>7</w:t>
      </w:r>
    </w:p>
    <w:tbl>
      <w:tblPr>
        <w:tblW w:w="55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7231"/>
      </w:tblGrid>
      <w:tr w:rsidR="0035715A" w14:paraId="2266C2F8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F374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投资者关系活动类别</w:t>
            </w:r>
          </w:p>
          <w:p w14:paraId="1B5E6409" w14:textId="77777777" w:rsidR="0035715A" w:rsidRDefault="0035715A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7E45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特定对象调研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分析师会议</w:t>
            </w:r>
          </w:p>
          <w:p w14:paraId="5268DE1A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bookmarkStart w:id="0" w:name="OLE_LINK1"/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bookmarkEnd w:id="0"/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媒体采访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sym w:font="Wingdings 2" w:char="F052"/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业绩说明会</w:t>
            </w:r>
          </w:p>
          <w:p w14:paraId="1C1D7EC3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新闻发布会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路演活动</w:t>
            </w:r>
          </w:p>
          <w:p w14:paraId="3294C739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现场参观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ab/>
            </w:r>
          </w:p>
          <w:p w14:paraId="10AB9B05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其他（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请文字说明其他活动内容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）</w:t>
            </w:r>
          </w:p>
        </w:tc>
      </w:tr>
      <w:tr w:rsidR="0035715A" w14:paraId="0F7970E5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67C1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参与单位名称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31C8" w14:textId="29E804D3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线上参与公司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2026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4937FD"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第三季度</w:t>
            </w: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业绩说明会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的投资者</w:t>
            </w:r>
          </w:p>
        </w:tc>
      </w:tr>
      <w:tr w:rsidR="0035715A" w14:paraId="0E6AB2F7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AD40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4298" w14:textId="79126B45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2026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年</w:t>
            </w:r>
            <w:r w:rsidR="004937FD">
              <w:rPr>
                <w:rFonts w:eastAsiaTheme="minorEastAsia" w:hint="eastAsia"/>
                <w:bCs/>
                <w:iCs/>
                <w:sz w:val="24"/>
                <w:szCs w:val="24"/>
              </w:rPr>
              <w:t>10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月</w:t>
            </w:r>
            <w:r w:rsidR="004937FD">
              <w:rPr>
                <w:rFonts w:eastAsiaTheme="minorEastAsia" w:hint="eastAsia"/>
                <w:bCs/>
                <w:iCs/>
                <w:sz w:val="24"/>
                <w:szCs w:val="24"/>
              </w:rPr>
              <w:t>30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日</w:t>
            </w:r>
          </w:p>
        </w:tc>
      </w:tr>
      <w:tr w:rsidR="0035715A" w14:paraId="04DAEB94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56DE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地点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51C6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上证路演中心（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http://roadshow.sseinfo.com/</w:t>
            </w: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）</w:t>
            </w:r>
          </w:p>
        </w:tc>
      </w:tr>
      <w:tr w:rsidR="0035715A" w14:paraId="13DECDFC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C4DA7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上市公司接待人员姓名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6A37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董事、总经理：陈雅</w:t>
            </w:r>
          </w:p>
          <w:p w14:paraId="0A9EC374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董事、财务总监：张海潮</w:t>
            </w:r>
          </w:p>
          <w:p w14:paraId="5BCC157B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董事会秘书：吴志刚</w:t>
            </w:r>
          </w:p>
          <w:p w14:paraId="6A8BE50B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独立董事：朱震宇</w:t>
            </w:r>
          </w:p>
        </w:tc>
      </w:tr>
      <w:tr w:rsidR="0035715A" w14:paraId="5546492F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011B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投资者关系活动主要内容介绍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7400" w14:textId="77777777" w:rsidR="0035715A" w:rsidRDefault="00000000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回复投资者的主要问题：</w:t>
            </w:r>
          </w:p>
          <w:p w14:paraId="5B297B89" w14:textId="6C2464F3" w:rsidR="0035715A" w:rsidRDefault="00000000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1</w:t>
            </w:r>
            <w:r>
              <w:rPr>
                <w:rFonts w:hint="eastAsia"/>
                <w:b/>
                <w:bCs/>
                <w:sz w:val="24"/>
                <w:szCs w:val="24"/>
              </w:rPr>
              <w:t>、</w:t>
            </w:r>
            <w:r w:rsidR="004937FD" w:rsidRPr="004937FD">
              <w:rPr>
                <w:b/>
                <w:bCs/>
                <w:sz w:val="24"/>
                <w:szCs w:val="24"/>
              </w:rPr>
              <w:t>公司今年设立广东控股子公司，拓展人形机器人、低空经济及精密磁组件业务。请问未来在微型磁材精密加工、磁组件及机器人核心磁性部件领域，是否有通过外部股权投资或控股并购补充成熟技术、产品及客户资源的实际需求？</w:t>
            </w:r>
          </w:p>
          <w:p w14:paraId="3D36F6F5" w14:textId="1B59A42C" w:rsidR="004937FD" w:rsidRDefault="00000000" w:rsidP="004937F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答：尊敬的投资者，您好！</w:t>
            </w:r>
            <w:r w:rsidR="004937FD" w:rsidRPr="004937FD">
              <w:rPr>
                <w:sz w:val="24"/>
                <w:szCs w:val="24"/>
              </w:rPr>
              <w:t>公司广东子公司重点布局人形机器人、低空经济、精密磁组件业务。在微型精密磁材、机器人磁性部件等符合公司发展方向的领域，公司战略上不排除通过股权投资、并购方式补齐技术、产品及客户资源，相关资本运作视合适标的机会审慎推进。截至目前，公司无应披露而未披露的相关投资并购计划。后续如有达到信息披露标准的事项，公司将及时公告。谢谢！</w:t>
            </w:r>
          </w:p>
          <w:p w14:paraId="3AA3A2E1" w14:textId="23555419" w:rsidR="004937FD" w:rsidRPr="004937FD" w:rsidRDefault="004937FD" w:rsidP="004937FD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937FD">
              <w:rPr>
                <w:rFonts w:hint="eastAsia"/>
                <w:b/>
                <w:bCs/>
                <w:sz w:val="24"/>
                <w:szCs w:val="24"/>
              </w:rPr>
              <w:t>2</w:t>
            </w:r>
            <w:r w:rsidRPr="004937FD">
              <w:rPr>
                <w:b/>
                <w:bCs/>
                <w:sz w:val="24"/>
                <w:szCs w:val="24"/>
              </w:rPr>
              <w:t>、请问，公司前三季度收入增长</w:t>
            </w:r>
            <w:r w:rsidRPr="004937FD">
              <w:rPr>
                <w:b/>
                <w:bCs/>
                <w:sz w:val="24"/>
                <w:szCs w:val="24"/>
              </w:rPr>
              <w:t>25.7%</w:t>
            </w:r>
            <w:r w:rsidRPr="004937FD">
              <w:rPr>
                <w:b/>
                <w:bCs/>
                <w:sz w:val="24"/>
                <w:szCs w:val="24"/>
              </w:rPr>
              <w:t>，归母净利润增长</w:t>
            </w:r>
            <w:r w:rsidRPr="004937FD">
              <w:rPr>
                <w:b/>
                <w:bCs/>
                <w:sz w:val="24"/>
                <w:szCs w:val="24"/>
              </w:rPr>
              <w:t>42.3%</w:t>
            </w:r>
            <w:r w:rsidRPr="004937FD">
              <w:rPr>
                <w:b/>
                <w:bCs/>
                <w:sz w:val="24"/>
                <w:szCs w:val="24"/>
              </w:rPr>
              <w:t>，利润增速明显快于收入，看得出产品结构在往高端走。想请教这轮增长中，量的贡献和价格、产品结构的贡献大致怎么分布？</w:t>
            </w:r>
          </w:p>
          <w:p w14:paraId="0CCB0C87" w14:textId="48BAB49B" w:rsidR="004937FD" w:rsidRDefault="004937FD" w:rsidP="004937FD">
            <w:pPr>
              <w:spacing w:line="360" w:lineRule="auto"/>
              <w:rPr>
                <w:sz w:val="24"/>
                <w:szCs w:val="24"/>
              </w:rPr>
            </w:pPr>
            <w:bookmarkStart w:id="1" w:name="OLE_LINK2"/>
            <w:r>
              <w:rPr>
                <w:rFonts w:hint="eastAsia"/>
                <w:sz w:val="24"/>
                <w:szCs w:val="24"/>
              </w:rPr>
              <w:lastRenderedPageBreak/>
              <w:t>答：尊敬的投资者，您好！</w:t>
            </w:r>
            <w:bookmarkEnd w:id="1"/>
            <w:r w:rsidRPr="004937FD">
              <w:rPr>
                <w:sz w:val="24"/>
                <w:szCs w:val="24"/>
              </w:rPr>
              <w:t>公司前三季度收入增长</w:t>
            </w:r>
            <w:r w:rsidRPr="004937FD">
              <w:rPr>
                <w:sz w:val="24"/>
                <w:szCs w:val="24"/>
              </w:rPr>
              <w:t>25.7%</w:t>
            </w:r>
            <w:r w:rsidRPr="004937FD">
              <w:rPr>
                <w:sz w:val="24"/>
                <w:szCs w:val="24"/>
              </w:rPr>
              <w:t>，归母净利润增长</w:t>
            </w:r>
            <w:r w:rsidRPr="004937FD">
              <w:rPr>
                <w:sz w:val="24"/>
                <w:szCs w:val="24"/>
              </w:rPr>
              <w:t>42.3%</w:t>
            </w:r>
            <w:r w:rsidRPr="004937FD">
              <w:rPr>
                <w:sz w:val="24"/>
                <w:szCs w:val="24"/>
              </w:rPr>
              <w:t>，主要系部分销售订单价格上调、产品结构持续高端化、订单定价传导以及内部精益管控等多重因素共同作用的结果。</w:t>
            </w:r>
          </w:p>
          <w:p w14:paraId="5FDF2C7B" w14:textId="4958F651" w:rsidR="004937FD" w:rsidRPr="004937FD" w:rsidRDefault="004937FD" w:rsidP="004937FD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937FD">
              <w:rPr>
                <w:rFonts w:hint="eastAsia"/>
                <w:b/>
                <w:bCs/>
                <w:sz w:val="24"/>
                <w:szCs w:val="24"/>
              </w:rPr>
              <w:t>3</w:t>
            </w:r>
            <w:r w:rsidRPr="004937FD">
              <w:rPr>
                <w:b/>
                <w:bCs/>
                <w:sz w:val="24"/>
                <w:szCs w:val="24"/>
              </w:rPr>
              <w:t>、公司</w:t>
            </w:r>
            <w:r w:rsidRPr="004937FD">
              <w:rPr>
                <w:b/>
                <w:bCs/>
                <w:sz w:val="24"/>
                <w:szCs w:val="24"/>
              </w:rPr>
              <w:t>ESG</w:t>
            </w:r>
            <w:r w:rsidRPr="004937FD">
              <w:rPr>
                <w:b/>
                <w:bCs/>
                <w:sz w:val="24"/>
                <w:szCs w:val="24"/>
              </w:rPr>
              <w:t>方面有哪些成果，有没有成立职能部门负责长久的治理？</w:t>
            </w:r>
          </w:p>
          <w:p w14:paraId="0F44964A" w14:textId="051CC88E" w:rsidR="004937FD" w:rsidRPr="004937FD" w:rsidRDefault="004937F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答：尊敬的投资者，您好！</w:t>
            </w:r>
            <w:r w:rsidRPr="004937FD">
              <w:rPr>
                <w:sz w:val="24"/>
                <w:szCs w:val="24"/>
              </w:rPr>
              <w:t>公司已建立长效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治理体系，公司董事会下设战略与可持续发展委员会统筹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工作，并有专门部门负责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相关工作，同时设立跨部门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专项工作组常态化落地执行。近年来，公司持续深化</w:t>
            </w:r>
            <w:r w:rsidRPr="004937FD">
              <w:rPr>
                <w:sz w:val="24"/>
                <w:szCs w:val="24"/>
              </w:rPr>
              <w:t>ISO 14001</w:t>
            </w:r>
            <w:r w:rsidRPr="004937FD">
              <w:rPr>
                <w:sz w:val="24"/>
                <w:szCs w:val="24"/>
              </w:rPr>
              <w:t>环境管理体系与</w:t>
            </w:r>
            <w:r w:rsidRPr="004937FD">
              <w:rPr>
                <w:sz w:val="24"/>
                <w:szCs w:val="24"/>
              </w:rPr>
              <w:t>ISO 50001</w:t>
            </w:r>
            <w:r w:rsidRPr="004937FD">
              <w:rPr>
                <w:sz w:val="24"/>
                <w:szCs w:val="24"/>
              </w:rPr>
              <w:t>能源管理体系的有效运行，严格遵循</w:t>
            </w:r>
            <w:r w:rsidRPr="004937FD">
              <w:rPr>
                <w:sz w:val="24"/>
                <w:szCs w:val="24"/>
              </w:rPr>
              <w:t>“</w:t>
            </w:r>
            <w:r w:rsidRPr="004937FD">
              <w:rPr>
                <w:sz w:val="24"/>
                <w:szCs w:val="24"/>
              </w:rPr>
              <w:t>绿色工厂</w:t>
            </w:r>
            <w:r w:rsidRPr="004937FD">
              <w:rPr>
                <w:sz w:val="24"/>
                <w:szCs w:val="24"/>
              </w:rPr>
              <w:t>”</w:t>
            </w:r>
            <w:r w:rsidRPr="004937FD">
              <w:rPr>
                <w:sz w:val="24"/>
                <w:szCs w:val="24"/>
              </w:rPr>
              <w:t>、</w:t>
            </w:r>
            <w:r w:rsidRPr="004937FD">
              <w:rPr>
                <w:sz w:val="24"/>
                <w:szCs w:val="24"/>
              </w:rPr>
              <w:t>“</w:t>
            </w:r>
            <w:r w:rsidRPr="004937FD">
              <w:rPr>
                <w:sz w:val="24"/>
                <w:szCs w:val="24"/>
              </w:rPr>
              <w:t>绿色供应链</w:t>
            </w:r>
            <w:r w:rsidRPr="004937FD">
              <w:rPr>
                <w:sz w:val="24"/>
                <w:szCs w:val="24"/>
              </w:rPr>
              <w:t>”</w:t>
            </w:r>
            <w:r w:rsidRPr="004937FD">
              <w:rPr>
                <w:sz w:val="24"/>
                <w:szCs w:val="24"/>
              </w:rPr>
              <w:t>标准，于</w:t>
            </w:r>
            <w:r w:rsidRPr="004937FD">
              <w:rPr>
                <w:sz w:val="24"/>
                <w:szCs w:val="24"/>
              </w:rPr>
              <w:t>2020</w:t>
            </w:r>
            <w:r w:rsidRPr="004937FD">
              <w:rPr>
                <w:sz w:val="24"/>
                <w:szCs w:val="24"/>
              </w:rPr>
              <w:t>年荣获</w:t>
            </w:r>
            <w:r w:rsidRPr="004937FD">
              <w:rPr>
                <w:sz w:val="24"/>
                <w:szCs w:val="24"/>
              </w:rPr>
              <w:t>“</w:t>
            </w:r>
            <w:r w:rsidRPr="004937FD">
              <w:rPr>
                <w:sz w:val="24"/>
                <w:szCs w:val="24"/>
              </w:rPr>
              <w:t>国家绿色工厂</w:t>
            </w:r>
            <w:r w:rsidRPr="004937FD">
              <w:rPr>
                <w:sz w:val="24"/>
                <w:szCs w:val="24"/>
              </w:rPr>
              <w:t>”</w:t>
            </w:r>
            <w:r w:rsidRPr="004937FD">
              <w:rPr>
                <w:sz w:val="24"/>
                <w:szCs w:val="24"/>
              </w:rPr>
              <w:t>称号，并于</w:t>
            </w:r>
            <w:r w:rsidRPr="004937FD">
              <w:rPr>
                <w:sz w:val="24"/>
                <w:szCs w:val="24"/>
              </w:rPr>
              <w:t>2023</w:t>
            </w:r>
            <w:r w:rsidRPr="004937FD">
              <w:rPr>
                <w:sz w:val="24"/>
                <w:szCs w:val="24"/>
              </w:rPr>
              <w:t>年入选</w:t>
            </w:r>
            <w:r w:rsidRPr="004937FD">
              <w:rPr>
                <w:sz w:val="24"/>
                <w:szCs w:val="24"/>
              </w:rPr>
              <w:t>“</w:t>
            </w:r>
            <w:r w:rsidRPr="004937FD">
              <w:rPr>
                <w:sz w:val="24"/>
                <w:szCs w:val="24"/>
              </w:rPr>
              <w:t>国家绿色供应链管理企业</w:t>
            </w:r>
            <w:r w:rsidRPr="004937FD">
              <w:rPr>
                <w:sz w:val="24"/>
                <w:szCs w:val="24"/>
              </w:rPr>
              <w:t>”</w:t>
            </w:r>
            <w:r w:rsidRPr="004937FD">
              <w:rPr>
                <w:sz w:val="24"/>
                <w:szCs w:val="24"/>
              </w:rPr>
              <w:t>。公司取得</w:t>
            </w:r>
            <w:r w:rsidRPr="004937FD">
              <w:rPr>
                <w:sz w:val="24"/>
                <w:szCs w:val="24"/>
              </w:rPr>
              <w:t>ISO14064</w:t>
            </w:r>
            <w:r w:rsidRPr="004937FD">
              <w:rPr>
                <w:sz w:val="24"/>
                <w:szCs w:val="24"/>
              </w:rPr>
              <w:t>温室气体、</w:t>
            </w:r>
            <w:r w:rsidRPr="004937FD">
              <w:rPr>
                <w:sz w:val="24"/>
                <w:szCs w:val="24"/>
              </w:rPr>
              <w:t>ISO14067</w:t>
            </w:r>
            <w:r w:rsidRPr="004937FD">
              <w:rPr>
                <w:sz w:val="24"/>
                <w:szCs w:val="24"/>
              </w:rPr>
              <w:t>产品碳足迹核查，通过</w:t>
            </w:r>
            <w:r w:rsidRPr="004937FD">
              <w:rPr>
                <w:sz w:val="24"/>
                <w:szCs w:val="24"/>
              </w:rPr>
              <w:t>RSCI</w:t>
            </w:r>
            <w:r w:rsidRPr="004937FD">
              <w:rPr>
                <w:sz w:val="24"/>
                <w:szCs w:val="24"/>
              </w:rPr>
              <w:t>审核；落地余热回收、分布式光伏等低碳项目，循环水复用率</w:t>
            </w:r>
            <w:r w:rsidRPr="004937FD">
              <w:rPr>
                <w:sz w:val="24"/>
                <w:szCs w:val="24"/>
              </w:rPr>
              <w:t>99.69%</w:t>
            </w:r>
            <w:r w:rsidRPr="004937FD">
              <w:rPr>
                <w:sz w:val="24"/>
                <w:szCs w:val="24"/>
              </w:rPr>
              <w:t>；</w:t>
            </w:r>
            <w:r w:rsidRPr="004937FD">
              <w:rPr>
                <w:sz w:val="24"/>
                <w:szCs w:val="24"/>
              </w:rPr>
              <w:t>WindESG</w:t>
            </w:r>
            <w:r w:rsidRPr="004937FD">
              <w:rPr>
                <w:sz w:val="24"/>
                <w:szCs w:val="24"/>
              </w:rPr>
              <w:t>评级提升至</w:t>
            </w:r>
            <w:r w:rsidRPr="004937FD">
              <w:rPr>
                <w:sz w:val="24"/>
                <w:szCs w:val="24"/>
              </w:rPr>
              <w:t>AA</w:t>
            </w:r>
            <w:r w:rsidRPr="004937FD">
              <w:rPr>
                <w:sz w:val="24"/>
                <w:szCs w:val="24"/>
              </w:rPr>
              <w:t>级，获得</w:t>
            </w:r>
            <w:r w:rsidRPr="004937FD">
              <w:rPr>
                <w:sz w:val="24"/>
                <w:szCs w:val="24"/>
              </w:rPr>
              <w:t>EcoVadis</w:t>
            </w:r>
            <w:r w:rsidRPr="004937FD">
              <w:rPr>
                <w:sz w:val="24"/>
                <w:szCs w:val="24"/>
              </w:rPr>
              <w:t>铜牌，每年独立披露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报告并第三方鉴证，持续推进绿色供应链、负责任矿产采购、安全生产与公益帮扶。面向未来，公司将以《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中期战略（</w:t>
            </w:r>
            <w:r w:rsidRPr="004937FD">
              <w:rPr>
                <w:sz w:val="24"/>
                <w:szCs w:val="24"/>
              </w:rPr>
              <w:t>2025-2030</w:t>
            </w:r>
            <w:r w:rsidRPr="004937FD">
              <w:rPr>
                <w:sz w:val="24"/>
                <w:szCs w:val="24"/>
              </w:rPr>
              <w:t>年）》为指引，围绕绿色低碳转型、技术创新突破、供应链协同共赢三大方向系统推进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建设，不断完善</w:t>
            </w:r>
            <w:r w:rsidRPr="004937FD">
              <w:rPr>
                <w:sz w:val="24"/>
                <w:szCs w:val="24"/>
              </w:rPr>
              <w:t>ESG</w:t>
            </w:r>
            <w:r w:rsidRPr="004937FD">
              <w:rPr>
                <w:sz w:val="24"/>
                <w:szCs w:val="24"/>
              </w:rPr>
              <w:t>管理体系，坚守实业初心，以高质量可持续发展回馈资本市场。</w:t>
            </w:r>
          </w:p>
        </w:tc>
      </w:tr>
      <w:tr w:rsidR="0035715A" w14:paraId="012FF7A2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61AD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lastRenderedPageBreak/>
              <w:t>关于本次活动是否涉及应披露重大信息的说明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D5E8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无</w:t>
            </w:r>
          </w:p>
        </w:tc>
      </w:tr>
      <w:tr w:rsidR="0035715A" w14:paraId="4C2B266E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A6DE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  <w:t>附件清单（如有）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6227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无</w:t>
            </w:r>
          </w:p>
        </w:tc>
      </w:tr>
      <w:tr w:rsidR="0035715A" w14:paraId="2F8ABCFD" w14:textId="77777777">
        <w:trPr>
          <w:jc w:val="center"/>
        </w:trPr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58D7" w14:textId="77777777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3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F603" w14:textId="393677B4" w:rsidR="0035715A" w:rsidRDefault="00000000">
            <w:pPr>
              <w:spacing w:line="360" w:lineRule="auto"/>
              <w:rPr>
                <w:rFonts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2026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年</w:t>
            </w:r>
            <w:r w:rsidR="004937FD">
              <w:rPr>
                <w:rFonts w:eastAsiaTheme="minorEastAsia" w:hint="eastAsia"/>
                <w:bCs/>
                <w:iCs/>
                <w:sz w:val="24"/>
                <w:szCs w:val="24"/>
              </w:rPr>
              <w:t>10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月</w:t>
            </w:r>
            <w:r w:rsidR="004937FD">
              <w:rPr>
                <w:rFonts w:eastAsiaTheme="minorEastAsia" w:hint="eastAsia"/>
                <w:bCs/>
                <w:iCs/>
                <w:sz w:val="24"/>
                <w:szCs w:val="24"/>
              </w:rPr>
              <w:t>30</w:t>
            </w:r>
            <w:r>
              <w:rPr>
                <w:rFonts w:eastAsiaTheme="minorEastAsia" w:hint="eastAsia"/>
                <w:bCs/>
                <w:iCs/>
                <w:sz w:val="24"/>
                <w:szCs w:val="24"/>
              </w:rPr>
              <w:t>日</w:t>
            </w:r>
          </w:p>
        </w:tc>
      </w:tr>
    </w:tbl>
    <w:p w14:paraId="2D39FA38" w14:textId="77777777" w:rsidR="0035715A" w:rsidRDefault="0035715A">
      <w:pPr>
        <w:widowControl/>
        <w:jc w:val="left"/>
        <w:rPr>
          <w:rFonts w:eastAsiaTheme="minorEastAsia"/>
        </w:rPr>
      </w:pPr>
    </w:p>
    <w:sectPr w:rsidR="0035715A">
      <w:headerReference w:type="default" r:id="rId6"/>
      <w:headerReference w:type="first" r:id="rId7"/>
      <w:pgSz w:w="11906" w:h="16838"/>
      <w:pgMar w:top="1440" w:right="1797" w:bottom="1440" w:left="1797" w:header="850" w:footer="0" w:gutter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B181C" w14:textId="77777777" w:rsidR="00C5686E" w:rsidRDefault="00C5686E">
      <w:r>
        <w:separator/>
      </w:r>
    </w:p>
  </w:endnote>
  <w:endnote w:type="continuationSeparator" w:id="0">
    <w:p w14:paraId="389CA03F" w14:textId="77777777" w:rsidR="00C5686E" w:rsidRDefault="00C5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28F2" w14:textId="77777777" w:rsidR="00C5686E" w:rsidRDefault="00C5686E">
      <w:r>
        <w:separator/>
      </w:r>
    </w:p>
  </w:footnote>
  <w:footnote w:type="continuationSeparator" w:id="0">
    <w:p w14:paraId="30B240C8" w14:textId="77777777" w:rsidR="00C5686E" w:rsidRDefault="00C56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87CC5" w14:textId="77777777" w:rsidR="0035715A" w:rsidRDefault="0035715A">
    <w:pPr>
      <w:pStyle w:val="a7"/>
      <w:pBdr>
        <w:bottom w:val="none" w:sz="0" w:space="0" w:color="auto"/>
      </w:pBdr>
      <w:rPr>
        <w:rFonts w:ascii="Times New Roman" w:hAnsi="Times New Roman" w:cs="Times New Roman"/>
        <w:sz w:val="21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3476E" w14:textId="77777777" w:rsidR="0035715A" w:rsidRDefault="00000000">
    <w:pPr>
      <w:pStyle w:val="a7"/>
      <w:pBdr>
        <w:bottom w:val="none" w:sz="0" w:space="0" w:color="auto"/>
      </w:pBdr>
      <w:rPr>
        <w:rFonts w:ascii="Times New Roman" w:hAnsi="Times New Roman" w:cs="Times New Roman"/>
        <w:sz w:val="21"/>
        <w:szCs w:val="21"/>
      </w:rPr>
    </w:pPr>
    <w:r>
      <w:rPr>
        <w:rFonts w:ascii="Times New Roman" w:hAnsi="Times New Roman" w:cs="Times New Roman"/>
        <w:sz w:val="21"/>
        <w:szCs w:val="21"/>
      </w:rPr>
      <w:t>证券代码：</w:t>
    </w:r>
    <w:r>
      <w:rPr>
        <w:rFonts w:ascii="Times New Roman" w:hAnsi="Times New Roman" w:cs="Times New Roman" w:hint="eastAsia"/>
        <w:sz w:val="21"/>
        <w:szCs w:val="21"/>
      </w:rPr>
      <w:t>603072</w:t>
    </w:r>
    <w:r>
      <w:rPr>
        <w:rFonts w:ascii="Times New Roman" w:hAnsi="Times New Roman" w:cs="Times New Roman"/>
        <w:sz w:val="21"/>
        <w:szCs w:val="21"/>
      </w:rPr>
      <w:tab/>
    </w:r>
    <w:r>
      <w:rPr>
        <w:rFonts w:ascii="Times New Roman" w:hAnsi="Times New Roman" w:cs="Times New Roman"/>
        <w:sz w:val="21"/>
        <w:szCs w:val="21"/>
      </w:rPr>
      <w:ptab w:relativeTo="margin" w:alignment="center" w:leader="none"/>
    </w:r>
    <w:r>
      <w:rPr>
        <w:rFonts w:ascii="Times New Roman" w:hAnsi="Times New Roman" w:cs="Times New Roman"/>
        <w:sz w:val="21"/>
        <w:szCs w:val="21"/>
      </w:rPr>
      <w:ptab w:relativeTo="margin" w:alignment="right" w:leader="none"/>
    </w:r>
    <w:r>
      <w:rPr>
        <w:rFonts w:ascii="Times New Roman" w:hAnsi="Times New Roman" w:cs="Times New Roman"/>
        <w:sz w:val="21"/>
        <w:szCs w:val="21"/>
      </w:rPr>
      <w:t>证券简称：</w:t>
    </w:r>
    <w:r>
      <w:rPr>
        <w:rFonts w:ascii="Times New Roman" w:hAnsi="Times New Roman" w:cs="Times New Roman" w:hint="eastAsia"/>
        <w:sz w:val="21"/>
        <w:szCs w:val="21"/>
      </w:rPr>
      <w:t>天和磁材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3E"/>
    <w:rsid w:val="00000D53"/>
    <w:rsid w:val="00001A44"/>
    <w:rsid w:val="00005DC7"/>
    <w:rsid w:val="00010747"/>
    <w:rsid w:val="00010E2E"/>
    <w:rsid w:val="00012C0E"/>
    <w:rsid w:val="0001590A"/>
    <w:rsid w:val="00017DAD"/>
    <w:rsid w:val="0002668D"/>
    <w:rsid w:val="000325CA"/>
    <w:rsid w:val="0004058A"/>
    <w:rsid w:val="00040F76"/>
    <w:rsid w:val="00043592"/>
    <w:rsid w:val="000601B6"/>
    <w:rsid w:val="0007243B"/>
    <w:rsid w:val="000754F1"/>
    <w:rsid w:val="000901A2"/>
    <w:rsid w:val="000933FF"/>
    <w:rsid w:val="00095313"/>
    <w:rsid w:val="000A42A2"/>
    <w:rsid w:val="000A62C1"/>
    <w:rsid w:val="000B41EE"/>
    <w:rsid w:val="000B58D4"/>
    <w:rsid w:val="000C2958"/>
    <w:rsid w:val="000C6659"/>
    <w:rsid w:val="000C6D27"/>
    <w:rsid w:val="000D758F"/>
    <w:rsid w:val="000E47E4"/>
    <w:rsid w:val="000E5ACE"/>
    <w:rsid w:val="000F14FC"/>
    <w:rsid w:val="000F1E31"/>
    <w:rsid w:val="000F3DF3"/>
    <w:rsid w:val="000F500B"/>
    <w:rsid w:val="000F6057"/>
    <w:rsid w:val="000F7ECD"/>
    <w:rsid w:val="00100A5F"/>
    <w:rsid w:val="00101F48"/>
    <w:rsid w:val="0010436C"/>
    <w:rsid w:val="00117AF5"/>
    <w:rsid w:val="001300CB"/>
    <w:rsid w:val="00132177"/>
    <w:rsid w:val="00133827"/>
    <w:rsid w:val="00136988"/>
    <w:rsid w:val="001430B6"/>
    <w:rsid w:val="00150ABC"/>
    <w:rsid w:val="0015196C"/>
    <w:rsid w:val="00152863"/>
    <w:rsid w:val="00152D51"/>
    <w:rsid w:val="00153CA0"/>
    <w:rsid w:val="00154FB4"/>
    <w:rsid w:val="001655BB"/>
    <w:rsid w:val="00167464"/>
    <w:rsid w:val="00167E44"/>
    <w:rsid w:val="001732F8"/>
    <w:rsid w:val="001770EC"/>
    <w:rsid w:val="00181375"/>
    <w:rsid w:val="00181C63"/>
    <w:rsid w:val="00183B35"/>
    <w:rsid w:val="00190A23"/>
    <w:rsid w:val="00195D94"/>
    <w:rsid w:val="001A0635"/>
    <w:rsid w:val="001B0746"/>
    <w:rsid w:val="001B4D74"/>
    <w:rsid w:val="001C09B3"/>
    <w:rsid w:val="001C1EAF"/>
    <w:rsid w:val="001C5E7E"/>
    <w:rsid w:val="001D4EAF"/>
    <w:rsid w:val="001F4926"/>
    <w:rsid w:val="001F5EB4"/>
    <w:rsid w:val="001F69DD"/>
    <w:rsid w:val="001F788C"/>
    <w:rsid w:val="00206933"/>
    <w:rsid w:val="00206A06"/>
    <w:rsid w:val="00220E62"/>
    <w:rsid w:val="00231103"/>
    <w:rsid w:val="002432AF"/>
    <w:rsid w:val="0024390C"/>
    <w:rsid w:val="00244710"/>
    <w:rsid w:val="00244C38"/>
    <w:rsid w:val="0025477D"/>
    <w:rsid w:val="00255CA9"/>
    <w:rsid w:val="00261438"/>
    <w:rsid w:val="00267B5C"/>
    <w:rsid w:val="002700DD"/>
    <w:rsid w:val="002718CA"/>
    <w:rsid w:val="002719DA"/>
    <w:rsid w:val="00283108"/>
    <w:rsid w:val="00290BD3"/>
    <w:rsid w:val="00296382"/>
    <w:rsid w:val="002979C1"/>
    <w:rsid w:val="002A23B8"/>
    <w:rsid w:val="002C4044"/>
    <w:rsid w:val="002C6E8D"/>
    <w:rsid w:val="002C740D"/>
    <w:rsid w:val="002D122D"/>
    <w:rsid w:val="002D2D78"/>
    <w:rsid w:val="002D4DAC"/>
    <w:rsid w:val="002E022A"/>
    <w:rsid w:val="002F4179"/>
    <w:rsid w:val="00312949"/>
    <w:rsid w:val="00321351"/>
    <w:rsid w:val="00330AF1"/>
    <w:rsid w:val="00331F94"/>
    <w:rsid w:val="00335890"/>
    <w:rsid w:val="00341D0B"/>
    <w:rsid w:val="00342520"/>
    <w:rsid w:val="00344BEE"/>
    <w:rsid w:val="00350821"/>
    <w:rsid w:val="0035715A"/>
    <w:rsid w:val="00357F4E"/>
    <w:rsid w:val="0036086F"/>
    <w:rsid w:val="003630C0"/>
    <w:rsid w:val="00367179"/>
    <w:rsid w:val="00373DF5"/>
    <w:rsid w:val="00376300"/>
    <w:rsid w:val="003834EF"/>
    <w:rsid w:val="003873B3"/>
    <w:rsid w:val="003933C4"/>
    <w:rsid w:val="00394E58"/>
    <w:rsid w:val="003B28E8"/>
    <w:rsid w:val="003B2A7A"/>
    <w:rsid w:val="003C2D63"/>
    <w:rsid w:val="003C3D5C"/>
    <w:rsid w:val="003C7E9B"/>
    <w:rsid w:val="003F4921"/>
    <w:rsid w:val="003F55CD"/>
    <w:rsid w:val="00405A89"/>
    <w:rsid w:val="004075B1"/>
    <w:rsid w:val="004115D0"/>
    <w:rsid w:val="00413112"/>
    <w:rsid w:val="00415C01"/>
    <w:rsid w:val="00415D23"/>
    <w:rsid w:val="00423D04"/>
    <w:rsid w:val="00425671"/>
    <w:rsid w:val="00427FBF"/>
    <w:rsid w:val="004308A8"/>
    <w:rsid w:val="0044187E"/>
    <w:rsid w:val="00442AE5"/>
    <w:rsid w:val="00456DD3"/>
    <w:rsid w:val="00460709"/>
    <w:rsid w:val="004625B1"/>
    <w:rsid w:val="00462A7D"/>
    <w:rsid w:val="00463D67"/>
    <w:rsid w:val="004650E1"/>
    <w:rsid w:val="00472FC2"/>
    <w:rsid w:val="0047434E"/>
    <w:rsid w:val="00475716"/>
    <w:rsid w:val="004810FC"/>
    <w:rsid w:val="00483C1E"/>
    <w:rsid w:val="0048790E"/>
    <w:rsid w:val="00493613"/>
    <w:rsid w:val="004937FD"/>
    <w:rsid w:val="00493977"/>
    <w:rsid w:val="00493FFA"/>
    <w:rsid w:val="0049638A"/>
    <w:rsid w:val="004A0FB1"/>
    <w:rsid w:val="004B5B5E"/>
    <w:rsid w:val="004B6198"/>
    <w:rsid w:val="004C21DC"/>
    <w:rsid w:val="004D099E"/>
    <w:rsid w:val="004D16CE"/>
    <w:rsid w:val="004D49AF"/>
    <w:rsid w:val="004D4B0F"/>
    <w:rsid w:val="004E33F2"/>
    <w:rsid w:val="004E5A03"/>
    <w:rsid w:val="004E74B9"/>
    <w:rsid w:val="004F6DB0"/>
    <w:rsid w:val="004F7BC7"/>
    <w:rsid w:val="0050045E"/>
    <w:rsid w:val="0050362E"/>
    <w:rsid w:val="00521657"/>
    <w:rsid w:val="005257B4"/>
    <w:rsid w:val="00534FF5"/>
    <w:rsid w:val="0053789B"/>
    <w:rsid w:val="00546B4C"/>
    <w:rsid w:val="00551E7A"/>
    <w:rsid w:val="00552EAC"/>
    <w:rsid w:val="00555D00"/>
    <w:rsid w:val="00561C13"/>
    <w:rsid w:val="00567F7E"/>
    <w:rsid w:val="005705B4"/>
    <w:rsid w:val="00572AA1"/>
    <w:rsid w:val="00575E80"/>
    <w:rsid w:val="00583F6E"/>
    <w:rsid w:val="00594494"/>
    <w:rsid w:val="005A2614"/>
    <w:rsid w:val="005A3518"/>
    <w:rsid w:val="005B65D6"/>
    <w:rsid w:val="005C3C68"/>
    <w:rsid w:val="005C618E"/>
    <w:rsid w:val="005C65DB"/>
    <w:rsid w:val="005D2BB4"/>
    <w:rsid w:val="005D5686"/>
    <w:rsid w:val="005D79E6"/>
    <w:rsid w:val="005E1794"/>
    <w:rsid w:val="005F1470"/>
    <w:rsid w:val="005F6C1A"/>
    <w:rsid w:val="005F71DE"/>
    <w:rsid w:val="006053BF"/>
    <w:rsid w:val="00605FDB"/>
    <w:rsid w:val="00632FA4"/>
    <w:rsid w:val="00645E6F"/>
    <w:rsid w:val="00652C30"/>
    <w:rsid w:val="0066423A"/>
    <w:rsid w:val="00665007"/>
    <w:rsid w:val="006659ED"/>
    <w:rsid w:val="006741CD"/>
    <w:rsid w:val="006929D6"/>
    <w:rsid w:val="00695DB9"/>
    <w:rsid w:val="006A121F"/>
    <w:rsid w:val="006A59AD"/>
    <w:rsid w:val="006A74CA"/>
    <w:rsid w:val="006B7544"/>
    <w:rsid w:val="006C08D8"/>
    <w:rsid w:val="006C16CF"/>
    <w:rsid w:val="006C31C8"/>
    <w:rsid w:val="006E10A4"/>
    <w:rsid w:val="006E1B73"/>
    <w:rsid w:val="006F3555"/>
    <w:rsid w:val="007012A4"/>
    <w:rsid w:val="0070194B"/>
    <w:rsid w:val="00720F06"/>
    <w:rsid w:val="00731CF8"/>
    <w:rsid w:val="007322BE"/>
    <w:rsid w:val="007337A1"/>
    <w:rsid w:val="00735571"/>
    <w:rsid w:val="007362A6"/>
    <w:rsid w:val="007603F2"/>
    <w:rsid w:val="0076290D"/>
    <w:rsid w:val="00762FD4"/>
    <w:rsid w:val="007669A4"/>
    <w:rsid w:val="00770BAD"/>
    <w:rsid w:val="00776A7E"/>
    <w:rsid w:val="00782C0D"/>
    <w:rsid w:val="00785B54"/>
    <w:rsid w:val="0079020D"/>
    <w:rsid w:val="00792F59"/>
    <w:rsid w:val="00793838"/>
    <w:rsid w:val="007A1FE6"/>
    <w:rsid w:val="007A4CBF"/>
    <w:rsid w:val="007A51BA"/>
    <w:rsid w:val="007A7C20"/>
    <w:rsid w:val="007B318E"/>
    <w:rsid w:val="007B4C26"/>
    <w:rsid w:val="007D23D7"/>
    <w:rsid w:val="007D369C"/>
    <w:rsid w:val="007D5A9E"/>
    <w:rsid w:val="007D7FE4"/>
    <w:rsid w:val="007E1653"/>
    <w:rsid w:val="007E2EA4"/>
    <w:rsid w:val="007F556D"/>
    <w:rsid w:val="008010D5"/>
    <w:rsid w:val="00803E28"/>
    <w:rsid w:val="0081049D"/>
    <w:rsid w:val="00820557"/>
    <w:rsid w:val="008313CD"/>
    <w:rsid w:val="00831639"/>
    <w:rsid w:val="00835577"/>
    <w:rsid w:val="0084092F"/>
    <w:rsid w:val="00840FAF"/>
    <w:rsid w:val="00841468"/>
    <w:rsid w:val="008425DC"/>
    <w:rsid w:val="00865E75"/>
    <w:rsid w:val="00866053"/>
    <w:rsid w:val="00871EF1"/>
    <w:rsid w:val="00882818"/>
    <w:rsid w:val="00884D5A"/>
    <w:rsid w:val="00885186"/>
    <w:rsid w:val="00894D60"/>
    <w:rsid w:val="00897C1F"/>
    <w:rsid w:val="008B6CAD"/>
    <w:rsid w:val="008D39FE"/>
    <w:rsid w:val="008D7BDF"/>
    <w:rsid w:val="008E2246"/>
    <w:rsid w:val="008F7925"/>
    <w:rsid w:val="009001DE"/>
    <w:rsid w:val="009114F1"/>
    <w:rsid w:val="00950C73"/>
    <w:rsid w:val="00973E23"/>
    <w:rsid w:val="009807BE"/>
    <w:rsid w:val="00983F87"/>
    <w:rsid w:val="00985D83"/>
    <w:rsid w:val="009918CD"/>
    <w:rsid w:val="0099210F"/>
    <w:rsid w:val="009947CA"/>
    <w:rsid w:val="00996EBC"/>
    <w:rsid w:val="009A65D4"/>
    <w:rsid w:val="009A6DB5"/>
    <w:rsid w:val="009B27CA"/>
    <w:rsid w:val="009B2FED"/>
    <w:rsid w:val="009C189A"/>
    <w:rsid w:val="009C4866"/>
    <w:rsid w:val="009C56FC"/>
    <w:rsid w:val="009D46D3"/>
    <w:rsid w:val="009D6446"/>
    <w:rsid w:val="009E119C"/>
    <w:rsid w:val="009E4EBE"/>
    <w:rsid w:val="009F14D7"/>
    <w:rsid w:val="009F208A"/>
    <w:rsid w:val="009F4A36"/>
    <w:rsid w:val="009F5F2B"/>
    <w:rsid w:val="00A00C02"/>
    <w:rsid w:val="00A10475"/>
    <w:rsid w:val="00A25446"/>
    <w:rsid w:val="00A34001"/>
    <w:rsid w:val="00A3503B"/>
    <w:rsid w:val="00A37F45"/>
    <w:rsid w:val="00A452D7"/>
    <w:rsid w:val="00A47D0A"/>
    <w:rsid w:val="00A5421B"/>
    <w:rsid w:val="00A57DED"/>
    <w:rsid w:val="00A57F5B"/>
    <w:rsid w:val="00A62C14"/>
    <w:rsid w:val="00A6326E"/>
    <w:rsid w:val="00A63754"/>
    <w:rsid w:val="00A655C4"/>
    <w:rsid w:val="00A66AE1"/>
    <w:rsid w:val="00A67805"/>
    <w:rsid w:val="00A844F8"/>
    <w:rsid w:val="00A916E9"/>
    <w:rsid w:val="00A9173B"/>
    <w:rsid w:val="00A91E24"/>
    <w:rsid w:val="00A92A7A"/>
    <w:rsid w:val="00AA1DF1"/>
    <w:rsid w:val="00AB156F"/>
    <w:rsid w:val="00AB6F06"/>
    <w:rsid w:val="00AB6F90"/>
    <w:rsid w:val="00AC76E7"/>
    <w:rsid w:val="00AD13CE"/>
    <w:rsid w:val="00AD2D49"/>
    <w:rsid w:val="00AD2FF1"/>
    <w:rsid w:val="00AE28FF"/>
    <w:rsid w:val="00AE3E2B"/>
    <w:rsid w:val="00AF2D7E"/>
    <w:rsid w:val="00AF301E"/>
    <w:rsid w:val="00B01A7D"/>
    <w:rsid w:val="00B02E02"/>
    <w:rsid w:val="00B203A6"/>
    <w:rsid w:val="00B25DE0"/>
    <w:rsid w:val="00B26949"/>
    <w:rsid w:val="00B270E1"/>
    <w:rsid w:val="00B3023D"/>
    <w:rsid w:val="00B370AE"/>
    <w:rsid w:val="00B37700"/>
    <w:rsid w:val="00B377A0"/>
    <w:rsid w:val="00B43C15"/>
    <w:rsid w:val="00B5143A"/>
    <w:rsid w:val="00B55697"/>
    <w:rsid w:val="00B558CD"/>
    <w:rsid w:val="00B56262"/>
    <w:rsid w:val="00B56BFE"/>
    <w:rsid w:val="00B6190A"/>
    <w:rsid w:val="00B63A1B"/>
    <w:rsid w:val="00B6409E"/>
    <w:rsid w:val="00B6755D"/>
    <w:rsid w:val="00B67C53"/>
    <w:rsid w:val="00B67EC3"/>
    <w:rsid w:val="00B70E66"/>
    <w:rsid w:val="00B77F4D"/>
    <w:rsid w:val="00B82F1B"/>
    <w:rsid w:val="00B9283B"/>
    <w:rsid w:val="00BA0534"/>
    <w:rsid w:val="00BA2BDA"/>
    <w:rsid w:val="00BA2F57"/>
    <w:rsid w:val="00BA5E94"/>
    <w:rsid w:val="00BC027D"/>
    <w:rsid w:val="00BC17B1"/>
    <w:rsid w:val="00BC470C"/>
    <w:rsid w:val="00BC4D98"/>
    <w:rsid w:val="00BC68AD"/>
    <w:rsid w:val="00BD3E48"/>
    <w:rsid w:val="00BD645D"/>
    <w:rsid w:val="00BE24FE"/>
    <w:rsid w:val="00BE3154"/>
    <w:rsid w:val="00BE7713"/>
    <w:rsid w:val="00BF2942"/>
    <w:rsid w:val="00C01339"/>
    <w:rsid w:val="00C309BE"/>
    <w:rsid w:val="00C35A39"/>
    <w:rsid w:val="00C436A7"/>
    <w:rsid w:val="00C504AC"/>
    <w:rsid w:val="00C5245D"/>
    <w:rsid w:val="00C5686E"/>
    <w:rsid w:val="00C76C16"/>
    <w:rsid w:val="00C86FE8"/>
    <w:rsid w:val="00C919B1"/>
    <w:rsid w:val="00CA0BDC"/>
    <w:rsid w:val="00CA51B1"/>
    <w:rsid w:val="00CB26DF"/>
    <w:rsid w:val="00CB3FF9"/>
    <w:rsid w:val="00CC1D6E"/>
    <w:rsid w:val="00CC4339"/>
    <w:rsid w:val="00D016AB"/>
    <w:rsid w:val="00D03F05"/>
    <w:rsid w:val="00D04AB9"/>
    <w:rsid w:val="00D067D5"/>
    <w:rsid w:val="00D117D3"/>
    <w:rsid w:val="00D177E0"/>
    <w:rsid w:val="00D20789"/>
    <w:rsid w:val="00D26037"/>
    <w:rsid w:val="00D301FA"/>
    <w:rsid w:val="00D32FC7"/>
    <w:rsid w:val="00D33129"/>
    <w:rsid w:val="00D41A0A"/>
    <w:rsid w:val="00D50D51"/>
    <w:rsid w:val="00D51AD7"/>
    <w:rsid w:val="00D5429F"/>
    <w:rsid w:val="00D60B85"/>
    <w:rsid w:val="00D6424B"/>
    <w:rsid w:val="00D67BB9"/>
    <w:rsid w:val="00D770D3"/>
    <w:rsid w:val="00D85C72"/>
    <w:rsid w:val="00D90A39"/>
    <w:rsid w:val="00D931CE"/>
    <w:rsid w:val="00D973BB"/>
    <w:rsid w:val="00DA0892"/>
    <w:rsid w:val="00DA325F"/>
    <w:rsid w:val="00DB0DDC"/>
    <w:rsid w:val="00DB1367"/>
    <w:rsid w:val="00DB49D0"/>
    <w:rsid w:val="00DC6F43"/>
    <w:rsid w:val="00DD183E"/>
    <w:rsid w:val="00DD56FE"/>
    <w:rsid w:val="00DD6417"/>
    <w:rsid w:val="00DF5A91"/>
    <w:rsid w:val="00E006E3"/>
    <w:rsid w:val="00E03AAE"/>
    <w:rsid w:val="00E160AB"/>
    <w:rsid w:val="00E20BE7"/>
    <w:rsid w:val="00E215C6"/>
    <w:rsid w:val="00E2783C"/>
    <w:rsid w:val="00E33AE1"/>
    <w:rsid w:val="00E34F33"/>
    <w:rsid w:val="00E368D8"/>
    <w:rsid w:val="00E403B0"/>
    <w:rsid w:val="00E416BA"/>
    <w:rsid w:val="00E425E1"/>
    <w:rsid w:val="00E5441D"/>
    <w:rsid w:val="00E6231C"/>
    <w:rsid w:val="00E62371"/>
    <w:rsid w:val="00E8184D"/>
    <w:rsid w:val="00E831A1"/>
    <w:rsid w:val="00E84E81"/>
    <w:rsid w:val="00E927AF"/>
    <w:rsid w:val="00E93CF4"/>
    <w:rsid w:val="00E970C5"/>
    <w:rsid w:val="00EA1BC5"/>
    <w:rsid w:val="00EA67BF"/>
    <w:rsid w:val="00EB4FB9"/>
    <w:rsid w:val="00EB79F7"/>
    <w:rsid w:val="00EC3198"/>
    <w:rsid w:val="00ED0B00"/>
    <w:rsid w:val="00ED603A"/>
    <w:rsid w:val="00ED60CE"/>
    <w:rsid w:val="00ED79BD"/>
    <w:rsid w:val="00EE40C1"/>
    <w:rsid w:val="00F020E2"/>
    <w:rsid w:val="00F02869"/>
    <w:rsid w:val="00F61571"/>
    <w:rsid w:val="00F65392"/>
    <w:rsid w:val="00F74181"/>
    <w:rsid w:val="00F75C52"/>
    <w:rsid w:val="00F775C9"/>
    <w:rsid w:val="00F939B3"/>
    <w:rsid w:val="00F949EC"/>
    <w:rsid w:val="00FA0B84"/>
    <w:rsid w:val="00FA6512"/>
    <w:rsid w:val="00FB1875"/>
    <w:rsid w:val="00FB6311"/>
    <w:rsid w:val="00FC559F"/>
    <w:rsid w:val="00FD42F5"/>
    <w:rsid w:val="00FE138E"/>
    <w:rsid w:val="00FE20BE"/>
    <w:rsid w:val="00FE23EB"/>
    <w:rsid w:val="00FE4BD2"/>
    <w:rsid w:val="1E3937A0"/>
    <w:rsid w:val="5CBA7340"/>
    <w:rsid w:val="BE931691"/>
    <w:rsid w:val="FB56B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ED368F"/>
  <w15:docId w15:val="{4B9286BB-9514-469E-A3E8-DBCD6F6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Theme="minorHAnsi" w:eastAsiaTheme="minorEastAsia" w:hAnsiTheme="minorHAnsi" w:cstheme="minorBidi"/>
      <w:szCs w:val="2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annotation subject"/>
    <w:basedOn w:val="a3"/>
    <w:next w:val="a3"/>
    <w:link w:val="aa"/>
    <w:uiPriority w:val="99"/>
    <w:semiHidden/>
    <w:unhideWhenUsed/>
    <w:qFormat/>
    <w:rPr>
      <w:b/>
      <w:b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003">
    <w:name w:val="003三级标题"/>
    <w:basedOn w:val="a"/>
    <w:link w:val="003Char"/>
    <w:qFormat/>
    <w:pPr>
      <w:keepNext/>
      <w:keepLines/>
      <w:adjustRightInd w:val="0"/>
      <w:snapToGrid w:val="0"/>
      <w:spacing w:beforeLines="50" w:before="50" w:afterLines="50" w:after="50" w:line="360" w:lineRule="auto"/>
      <w:ind w:firstLineChars="200" w:firstLine="200"/>
      <w:outlineLvl w:val="2"/>
    </w:pPr>
    <w:rPr>
      <w:rFonts w:ascii="Calibri" w:hAnsi="Calibri"/>
      <w:b/>
      <w:bCs/>
      <w:sz w:val="24"/>
      <w:szCs w:val="28"/>
      <w:lang w:val="zh-CN"/>
    </w:rPr>
  </w:style>
  <w:style w:type="paragraph" w:customStyle="1" w:styleId="005">
    <w:name w:val="005正文"/>
    <w:basedOn w:val="a"/>
    <w:link w:val="005CharChar"/>
    <w:qFormat/>
    <w:pPr>
      <w:spacing w:beforeLines="50" w:before="50" w:afterLines="50" w:after="50" w:line="360" w:lineRule="auto"/>
      <w:ind w:firstLineChars="200" w:firstLine="200"/>
    </w:pPr>
    <w:rPr>
      <w:rFonts w:ascii="Calibri" w:hAnsi="Calibri"/>
      <w:sz w:val="24"/>
      <w:szCs w:val="22"/>
    </w:rPr>
  </w:style>
  <w:style w:type="character" w:customStyle="1" w:styleId="003Char">
    <w:name w:val="003三级标题 Char"/>
    <w:link w:val="003"/>
    <w:qFormat/>
    <w:rPr>
      <w:rFonts w:ascii="Calibri" w:eastAsia="宋体" w:hAnsi="Calibri" w:cs="Times New Roman"/>
      <w:b/>
      <w:bCs/>
      <w:sz w:val="24"/>
      <w:szCs w:val="28"/>
      <w:lang w:val="zh-CN" w:eastAsia="zh-CN"/>
    </w:rPr>
  </w:style>
  <w:style w:type="character" w:customStyle="1" w:styleId="005CharChar">
    <w:name w:val="005正文 Char Char"/>
    <w:link w:val="005"/>
    <w:qFormat/>
    <w:rPr>
      <w:rFonts w:ascii="Calibri" w:eastAsia="宋体" w:hAnsi="Calibri" w:cs="Times New Roman"/>
      <w:sz w:val="24"/>
    </w:rPr>
  </w:style>
  <w:style w:type="paragraph" w:customStyle="1" w:styleId="006">
    <w:name w:val="006备注"/>
    <w:basedOn w:val="a"/>
    <w:qFormat/>
    <w:pPr>
      <w:adjustRightInd w:val="0"/>
    </w:pPr>
    <w:rPr>
      <w:rFonts w:cs="Arial"/>
      <w:bCs/>
      <w:szCs w:val="22"/>
    </w:rPr>
  </w:style>
  <w:style w:type="paragraph" w:customStyle="1" w:styleId="009">
    <w:name w:val="009单位"/>
    <w:basedOn w:val="005"/>
    <w:link w:val="009Char"/>
    <w:qFormat/>
    <w:pPr>
      <w:keepNext/>
      <w:adjustRightInd w:val="0"/>
      <w:snapToGrid w:val="0"/>
      <w:spacing w:beforeLines="0" w:before="0" w:afterLines="0" w:after="0" w:line="240" w:lineRule="auto"/>
      <w:ind w:firstLineChars="0" w:firstLine="0"/>
      <w:jc w:val="right"/>
    </w:pPr>
    <w:rPr>
      <w:rFonts w:ascii="Times New Roman" w:hAnsi="Times New Roman"/>
      <w:sz w:val="21"/>
      <w:lang w:val="zh-CN"/>
    </w:rPr>
  </w:style>
  <w:style w:type="character" w:customStyle="1" w:styleId="009Char">
    <w:name w:val="009单位 Char"/>
    <w:link w:val="009"/>
    <w:qFormat/>
    <w:locked/>
    <w:rPr>
      <w:rFonts w:ascii="Times New Roman" w:eastAsia="宋体" w:hAnsi="Times New Roman" w:cs="Times New Roman"/>
      <w:lang w:val="zh-CN" w:eastAsia="zh-CN"/>
    </w:rPr>
  </w:style>
  <w:style w:type="character" w:customStyle="1" w:styleId="a4">
    <w:name w:val="批注文字 字符"/>
    <w:basedOn w:val="a0"/>
    <w:link w:val="a3"/>
    <w:uiPriority w:val="99"/>
    <w:qFormat/>
  </w:style>
  <w:style w:type="character" w:customStyle="1" w:styleId="aa">
    <w:name w:val="批注主题 字符"/>
    <w:basedOn w:val="a4"/>
    <w:link w:val="a9"/>
    <w:uiPriority w:val="99"/>
    <w:semiHidden/>
    <w:qFormat/>
    <w:rPr>
      <w:b/>
      <w:bCs/>
    </w:rPr>
  </w:style>
  <w:style w:type="character" w:customStyle="1" w:styleId="fontstyle01">
    <w:name w:val="fontstyle01"/>
    <w:basedOn w:val="a0"/>
    <w:qFormat/>
    <w:rPr>
      <w:rFonts w:ascii="宋体" w:eastAsia="宋体" w:hAnsi="宋体" w:hint="eastAsia"/>
      <w:color w:val="000000"/>
      <w:sz w:val="24"/>
      <w:szCs w:val="24"/>
    </w:rPr>
  </w:style>
  <w:style w:type="paragraph" w:styleId="ad">
    <w:name w:val="List Paragraph"/>
    <w:basedOn w:val="a"/>
    <w:uiPriority w:val="99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651</Words>
  <Characters>731</Characters>
  <Application>Microsoft Office Word</Application>
  <DocSecurity>0</DocSecurity>
  <Lines>40</Lines>
  <Paragraphs>37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Jesse Wan</cp:lastModifiedBy>
  <cp:revision>812</cp:revision>
  <cp:lastPrinted>2022-09-21T17:16:00Z</cp:lastPrinted>
  <dcterms:created xsi:type="dcterms:W3CDTF">2022-07-12T15:34:00Z</dcterms:created>
  <dcterms:modified xsi:type="dcterms:W3CDTF">2026-10-30T06:42:00Z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870B565B9F6684926786E463EEA6FB50</vt:lpwstr>
  </property>
  <property fmtid="{D5CDD505-2E9C-101B-9397-08002B2CF9AE}" pid="4" name="KSOTemplateDocerSaveRecord">
    <vt:lpwstr>eyJoZGlkIjoiYTNlYzYzM2VlZDdmY2UwMDZkMjMxMmFkMGQ0Y2JhMzAiLCJ1c2VySWQiOiI0MzM0NTU5NjgifQ==</vt:lpwstr>
  </property>
</Properties>
</file>