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A1837">
      <w:pPr>
        <w:ind w:firstLine="120" w:firstLineChars="50"/>
        <w:rPr>
          <w:b/>
          <w:bCs/>
          <w:iCs/>
          <w:color w:val="000000"/>
        </w:rPr>
      </w:pPr>
      <w:r>
        <w:rPr>
          <w:bCs/>
          <w:iCs/>
          <w:color w:val="000000"/>
        </w:rPr>
        <w:t>证券代码：6</w:t>
      </w:r>
      <w:r>
        <w:rPr>
          <w:rFonts w:hint="eastAsia"/>
          <w:bCs/>
          <w:iCs/>
          <w:color w:val="000000"/>
        </w:rPr>
        <w:t>05388</w:t>
      </w:r>
      <w:r>
        <w:rPr>
          <w:bCs/>
          <w:iCs/>
          <w:color w:val="000000"/>
        </w:rPr>
        <w:t xml:space="preserve">                               证券简称：</w:t>
      </w:r>
      <w:r>
        <w:rPr>
          <w:rFonts w:hint="eastAsia"/>
          <w:bCs/>
          <w:iCs/>
          <w:color w:val="000000"/>
        </w:rPr>
        <w:t>均瑶健康</w:t>
      </w:r>
    </w:p>
    <w:p w14:paraId="482FEC5E">
      <w:pPr>
        <w:spacing w:before="156" w:beforeLines="50" w:after="156" w:afterLines="50"/>
        <w:ind w:firstLine="0" w:firstLineChars="0"/>
        <w:jc w:val="center"/>
        <w:rPr>
          <w:b/>
          <w:bCs/>
          <w:iCs/>
          <w:color w:val="000000"/>
          <w:sz w:val="28"/>
          <w:szCs w:val="28"/>
        </w:rPr>
      </w:pPr>
      <w:r>
        <w:rPr>
          <w:rFonts w:hint="eastAsia"/>
          <w:b/>
          <w:bCs/>
          <w:iCs/>
          <w:color w:val="000000"/>
          <w:sz w:val="28"/>
          <w:szCs w:val="28"/>
        </w:rPr>
        <w:t>湖北均瑶大健康饮品</w:t>
      </w:r>
      <w:r>
        <w:rPr>
          <w:b/>
          <w:bCs/>
          <w:iCs/>
          <w:color w:val="000000"/>
          <w:sz w:val="28"/>
          <w:szCs w:val="28"/>
        </w:rPr>
        <w:t>股份有限公司投资者关系活动记录表</w:t>
      </w:r>
    </w:p>
    <w:p w14:paraId="718BABAF">
      <w:pPr>
        <w:spacing w:line="400" w:lineRule="exact"/>
        <w:ind w:firstLine="480"/>
        <w:rPr>
          <w:rFonts w:hint="eastAsia" w:eastAsia="宋体"/>
          <w:bCs/>
          <w:iCs/>
          <w:color w:val="000000"/>
          <w:lang w:val="en-US" w:eastAsia="zh-CN"/>
        </w:rPr>
      </w:pPr>
      <w:r>
        <w:rPr>
          <w:bCs/>
          <w:iCs/>
          <w:color w:val="000000"/>
        </w:rPr>
        <w:t xml:space="preserve">                                                 编号：</w:t>
      </w:r>
      <w:r>
        <w:rPr>
          <w:bCs/>
          <w:iCs/>
          <w:color w:val="000000"/>
          <w:highlight w:val="none"/>
        </w:rPr>
        <w:t>202</w:t>
      </w:r>
      <w:r>
        <w:rPr>
          <w:rFonts w:hint="eastAsia"/>
          <w:bCs/>
          <w:iCs/>
          <w:color w:val="000000"/>
          <w:highlight w:val="none"/>
          <w:lang w:val="en-US" w:eastAsia="zh-CN"/>
        </w:rPr>
        <w:t>6</w:t>
      </w:r>
      <w:r>
        <w:rPr>
          <w:bCs/>
          <w:iCs/>
          <w:color w:val="000000"/>
          <w:highlight w:val="none"/>
        </w:rPr>
        <w:t>-00</w:t>
      </w:r>
      <w:r>
        <w:rPr>
          <w:rFonts w:hint="eastAsia"/>
          <w:bCs/>
          <w:iCs/>
          <w:color w:val="000000"/>
          <w:highlight w:val="none"/>
          <w:lang w:val="en-US" w:eastAsia="zh-CN"/>
        </w:rPr>
        <w:t>8</w:t>
      </w:r>
    </w:p>
    <w:tbl>
      <w:tblPr>
        <w:tblStyle w:val="11"/>
        <w:tblW w:w="85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6859"/>
      </w:tblGrid>
      <w:tr w14:paraId="32AA4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65B1A">
            <w:pPr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投资者关系活动类别</w:t>
            </w:r>
          </w:p>
          <w:p w14:paraId="2421B81C">
            <w:pPr>
              <w:ind w:firstLine="0" w:firstLineChars="0"/>
              <w:rPr>
                <w:bCs/>
                <w:iCs/>
                <w:color w:val="000000"/>
              </w:rPr>
            </w:pP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A0BE79">
            <w:pPr>
              <w:spacing w:line="480" w:lineRule="atLeast"/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sym w:font="Wingdings 2" w:char="0052"/>
            </w:r>
            <w:r>
              <w:rPr>
                <w:bCs/>
                <w:iCs/>
                <w:color w:val="000000"/>
              </w:rPr>
              <w:t xml:space="preserve"> </w:t>
            </w:r>
            <w:r>
              <w:t xml:space="preserve">特定对象调研        </w:t>
            </w:r>
            <w:r>
              <w:rPr>
                <w:bCs/>
                <w:iCs/>
                <w:color w:val="000000"/>
              </w:rPr>
              <w:sym w:font="Wingdings 2" w:char="00A3"/>
            </w:r>
            <w:r>
              <w:rPr>
                <w:bCs/>
                <w:iCs/>
                <w:color w:val="000000"/>
              </w:rPr>
              <w:t xml:space="preserve"> </w:t>
            </w:r>
            <w:r>
              <w:t>分析师会议</w:t>
            </w:r>
          </w:p>
          <w:p w14:paraId="7DB7F98D">
            <w:pPr>
              <w:spacing w:line="480" w:lineRule="atLeast"/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sym w:font="Wingdings 2" w:char="00A3"/>
            </w:r>
            <w:r>
              <w:rPr>
                <w:bCs/>
                <w:iCs/>
                <w:color w:val="000000"/>
              </w:rPr>
              <w:t xml:space="preserve"> </w:t>
            </w:r>
            <w:r>
              <w:t xml:space="preserve">媒体采访            </w:t>
            </w:r>
            <w:r>
              <w:rPr>
                <w:bCs/>
                <w:iCs/>
                <w:color w:val="000000"/>
              </w:rPr>
              <w:sym w:font="Wingdings 2" w:char="00A3"/>
            </w:r>
            <w:r>
              <w:rPr>
                <w:rFonts w:hint="eastAsia"/>
                <w:bCs/>
                <w:iCs/>
                <w:color w:val="000000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t>业绩说明会</w:t>
            </w:r>
          </w:p>
          <w:p w14:paraId="15ED8F03">
            <w:pPr>
              <w:spacing w:line="480" w:lineRule="atLeast"/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sym w:font="Wingdings 2" w:char="00A3"/>
            </w:r>
            <w:r>
              <w:rPr>
                <w:bCs/>
                <w:iCs/>
                <w:color w:val="000000"/>
              </w:rPr>
              <w:t xml:space="preserve"> </w:t>
            </w:r>
            <w:r>
              <w:t xml:space="preserve">新闻发布会          </w:t>
            </w:r>
            <w:r>
              <w:rPr>
                <w:bCs/>
                <w:iCs/>
                <w:color w:val="000000"/>
              </w:rPr>
              <w:sym w:font="Wingdings 2" w:char="00A3"/>
            </w:r>
            <w:r>
              <w:rPr>
                <w:bCs/>
                <w:iCs/>
                <w:color w:val="000000"/>
              </w:rPr>
              <w:t xml:space="preserve"> </w:t>
            </w:r>
            <w:r>
              <w:t>路演活动</w:t>
            </w:r>
          </w:p>
          <w:p w14:paraId="55941212">
            <w:pPr>
              <w:tabs>
                <w:tab w:val="left" w:pos="3045"/>
                <w:tab w:val="center" w:pos="3199"/>
              </w:tabs>
              <w:spacing w:line="480" w:lineRule="atLeast"/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sym w:font="Wingdings 2" w:char="00A3"/>
            </w:r>
            <w:r>
              <w:rPr>
                <w:bCs/>
                <w:iCs/>
                <w:color w:val="000000"/>
              </w:rPr>
              <w:t xml:space="preserve"> </w:t>
            </w:r>
            <w:r>
              <w:t>现场参观</w:t>
            </w:r>
          </w:p>
          <w:p w14:paraId="2C862E48">
            <w:pPr>
              <w:tabs>
                <w:tab w:val="center" w:pos="3199"/>
              </w:tabs>
              <w:spacing w:line="480" w:lineRule="atLeast"/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sym w:font="Wingdings 2" w:char="0052"/>
            </w:r>
            <w:r>
              <w:rPr>
                <w:bCs/>
                <w:iCs/>
                <w:color w:val="000000"/>
              </w:rPr>
              <w:t xml:space="preserve"> </w:t>
            </w:r>
            <w:r>
              <w:t>其他（</w:t>
            </w:r>
            <w:r>
              <w:rPr>
                <w:rFonts w:hint="default" w:eastAsia="宋体"/>
                <w:bCs/>
                <w:iCs/>
                <w:color w:val="000000"/>
                <w:lang w:val="en-US" w:eastAsia="zh-CN"/>
              </w:rPr>
              <w:t>券商策略会</w:t>
            </w:r>
            <w:r>
              <w:t>）</w:t>
            </w:r>
          </w:p>
        </w:tc>
      </w:tr>
      <w:tr w14:paraId="43D9F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EAF28">
            <w:pPr>
              <w:ind w:firstLine="0" w:firstLineChars="0"/>
              <w:rPr>
                <w:bCs/>
                <w:iCs/>
                <w:color w:val="000000"/>
              </w:rPr>
            </w:pPr>
            <w:r>
              <w:rPr>
                <w:rFonts w:hint="eastAsia"/>
                <w:bCs/>
                <w:iCs/>
                <w:color w:val="000000"/>
              </w:rPr>
              <w:t>参与单位名称及人员姓名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B1D0B">
            <w:pPr>
              <w:ind w:left="0" w:leftChars="0" w:firstLine="0" w:firstLineChars="0"/>
              <w:rPr>
                <w:rFonts w:hint="default" w:eastAsia="宋体"/>
                <w:bCs/>
                <w:iCs/>
                <w:color w:val="000000"/>
                <w:lang w:val="en-US" w:eastAsia="zh-CN"/>
              </w:rPr>
            </w:pPr>
            <w:r>
              <w:rPr>
                <w:rFonts w:hint="eastAsia"/>
                <w:bCs/>
                <w:iCs/>
                <w:color w:val="000000"/>
                <w:lang w:val="en-US" w:eastAsia="zh-CN"/>
              </w:rPr>
              <w:t>东吴证券、华福证券、开源证券、财通证券、天风证券、国海证券、国金证券、方正证券、平安证券、长江证券等</w:t>
            </w:r>
          </w:p>
        </w:tc>
      </w:tr>
      <w:tr w14:paraId="23E06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947F6">
            <w:pPr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时间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A78FD">
            <w:pPr>
              <w:spacing w:line="480" w:lineRule="atLeast"/>
              <w:ind w:firstLine="0" w:firstLineChars="0"/>
              <w:rPr>
                <w:rFonts w:hint="default"/>
                <w:bCs/>
                <w:iCs/>
                <w:color w:val="000000"/>
                <w:lang w:val="en-US"/>
              </w:rPr>
            </w:pPr>
            <w:r>
              <w:rPr>
                <w:bCs/>
                <w:iCs/>
                <w:color w:val="000000"/>
              </w:rPr>
              <w:t>202</w:t>
            </w:r>
            <w:r>
              <w:rPr>
                <w:rFonts w:hint="eastAsia"/>
                <w:bCs/>
                <w:iCs/>
                <w:color w:val="000000"/>
                <w:lang w:val="en-US" w:eastAsia="zh-CN"/>
              </w:rPr>
              <w:t>6</w:t>
            </w:r>
            <w:r>
              <w:rPr>
                <w:bCs/>
                <w:iCs/>
                <w:color w:val="000000"/>
              </w:rPr>
              <w:t>年</w:t>
            </w:r>
            <w:r>
              <w:rPr>
                <w:rFonts w:hint="eastAsia"/>
                <w:bCs/>
                <w:iCs/>
                <w:color w:val="000000"/>
                <w:lang w:val="en-US" w:eastAsia="zh-CN"/>
              </w:rPr>
              <w:t>9月至10月</w:t>
            </w:r>
          </w:p>
        </w:tc>
      </w:tr>
      <w:tr w14:paraId="6EAC2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C08EF">
            <w:pPr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地点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474A7">
            <w:pPr>
              <w:spacing w:line="480" w:lineRule="atLeast"/>
              <w:ind w:firstLine="0" w:firstLineChars="0"/>
              <w:rPr>
                <w:rFonts w:hint="default" w:eastAsia="宋体"/>
                <w:bCs/>
                <w:iCs/>
                <w:color w:val="000000"/>
                <w:lang w:val="en-US" w:eastAsia="zh-CN"/>
              </w:rPr>
            </w:pPr>
            <w:r>
              <w:rPr>
                <w:rFonts w:hint="default" w:eastAsia="宋体"/>
                <w:bCs/>
                <w:iCs/>
                <w:color w:val="000000"/>
                <w:lang w:val="en-US" w:eastAsia="zh-CN"/>
              </w:rPr>
              <w:t>券商策略会、公司或线上交流</w:t>
            </w:r>
          </w:p>
        </w:tc>
      </w:tr>
      <w:tr w14:paraId="3193E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BE650">
            <w:pPr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上市公司接待人员姓名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BF648">
            <w:pPr>
              <w:spacing w:line="480" w:lineRule="atLeast"/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董事会秘书：</w:t>
            </w:r>
            <w:r>
              <w:rPr>
                <w:rFonts w:hint="eastAsia"/>
                <w:bCs/>
                <w:iCs/>
                <w:color w:val="000000"/>
                <w:lang w:val="en-US" w:eastAsia="zh-CN"/>
              </w:rPr>
              <w:t>韩立臣</w:t>
            </w:r>
            <w:r>
              <w:rPr>
                <w:bCs/>
                <w:iCs/>
                <w:color w:val="000000"/>
              </w:rPr>
              <w:t>先生</w:t>
            </w:r>
          </w:p>
          <w:p w14:paraId="56D427F7">
            <w:pPr>
              <w:spacing w:line="480" w:lineRule="atLeast"/>
              <w:ind w:firstLine="0" w:firstLineChars="0"/>
              <w:rPr>
                <w:rFonts w:hint="eastAsia" w:eastAsia="宋体"/>
                <w:bCs/>
                <w:iCs/>
                <w:color w:val="000000"/>
                <w:lang w:val="en-US" w:eastAsia="zh-CN"/>
              </w:rPr>
            </w:pPr>
            <w:r>
              <w:rPr>
                <w:rFonts w:hint="eastAsia"/>
                <w:bCs/>
                <w:iCs/>
                <w:color w:val="000000"/>
              </w:rPr>
              <w:t>IR：徐佳怡</w:t>
            </w:r>
            <w:r>
              <w:rPr>
                <w:rFonts w:hint="eastAsia"/>
                <w:bCs/>
                <w:iCs/>
                <w:color w:val="000000"/>
                <w:lang w:val="en-US" w:eastAsia="zh-CN"/>
              </w:rPr>
              <w:t>女士</w:t>
            </w:r>
          </w:p>
        </w:tc>
      </w:tr>
      <w:tr w14:paraId="0AD17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0ACC2">
            <w:pPr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投资者关系活动主要内容介绍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D19BC">
            <w:pPr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Q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问：公司提出益生菌B端、C端双业务协同发展，两大业务之间如何相互赋能，现阶段推进过程中有哪些重点？</w:t>
            </w:r>
          </w:p>
          <w:p w14:paraId="037DF51F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</w:rPr>
              <w:t>A：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益生菌B端和C端双业务布局是公司益生菌板块的重要发展策略。B端业务沉淀的菌株资源、配方技术和生产工艺，可以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应用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到C端自有产品的研发落地中；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通过面向C端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消费者，能够更快收集市场偏好和消费需求变化，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引导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B端的菌株配方储备和方案开发，更好地匹配产业客户的未来需求。同时，B端和C端共享公司的研发平台、供应链体系和质量管控体系，技术、产能和市场信息可以互通。从经营成果看，双业务协同带动整体业绩稳步提升。现阶段，公司一方面稳固B端客户基本盘，提升解决方案服务能力；另一方面持续优化C端产品力和市场运营能力，推动双业务稳健并行发展。</w:t>
            </w:r>
          </w:p>
          <w:p w14:paraId="1C81F82D">
            <w:pPr>
              <w:ind w:left="0" w:leftChars="0" w:firstLine="0" w:firstLineChars="0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  <w:p w14:paraId="63317219">
            <w:pPr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Q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问：</w:t>
            </w:r>
            <w:r>
              <w:rPr>
                <w:rFonts w:hint="eastAsia"/>
                <w:b/>
                <w:bCs/>
              </w:rPr>
              <w:t>公司饮料业务的核心发展方向是什么？</w:t>
            </w:r>
          </w:p>
          <w:p w14:paraId="285874DD">
            <w:pPr>
              <w:rPr>
                <w:rFonts w:hint="eastAsia"/>
              </w:rPr>
            </w:pPr>
            <w:r>
              <w:rPr>
                <w:rFonts w:hint="eastAsia"/>
              </w:rPr>
              <w:t>A：公司以益生菌为核心竞争力，将饮料作为益生菌的优质发展载体，核心逻辑围绕</w:t>
            </w:r>
            <w:r>
              <w:rPr>
                <w:rFonts w:hint="eastAsia"/>
                <w:lang w:val="en-US" w:eastAsia="zh-CN"/>
              </w:rPr>
              <w:t>益生菌功能性</w:t>
            </w:r>
            <w:r>
              <w:rPr>
                <w:rFonts w:hint="eastAsia"/>
              </w:rPr>
              <w:t>与市场适配性展开，同时构建“智能化生产+全渠道覆盖”的产能支撑体系。未来将持续聚焦益生菌饮品赛道，依托</w:t>
            </w:r>
            <w:r>
              <w:rPr>
                <w:rFonts w:hint="eastAsia"/>
                <w:lang w:val="en-US" w:eastAsia="zh-CN"/>
              </w:rPr>
              <w:t>研发</w:t>
            </w:r>
            <w:r>
              <w:rPr>
                <w:rFonts w:hint="eastAsia"/>
              </w:rPr>
              <w:t>升级成果</w:t>
            </w:r>
            <w:r>
              <w:rPr>
                <w:rFonts w:hint="eastAsia"/>
                <w:lang w:val="en-US" w:eastAsia="zh-CN"/>
              </w:rPr>
              <w:t>与</w:t>
            </w:r>
            <w:r>
              <w:rPr>
                <w:rFonts w:hint="eastAsia"/>
              </w:rPr>
              <w:t>智能化工厂，完善常温与低温</w:t>
            </w:r>
            <w:r>
              <w:rPr>
                <w:rFonts w:hint="eastAsia"/>
                <w:lang w:val="en-US" w:eastAsia="zh-CN"/>
              </w:rPr>
              <w:t>益生菌饮</w:t>
            </w:r>
            <w:r>
              <w:rPr>
                <w:rFonts w:hint="eastAsia"/>
              </w:rPr>
              <w:t>品的布局，通过技术创新与产能协同强化市场竞争力，同步推进供应链业务转型，聚焦自有产品配送与销售，助力产能高效转化。</w:t>
            </w:r>
          </w:p>
          <w:p w14:paraId="626319E9">
            <w:pPr>
              <w:rPr>
                <w:rFonts w:hint="eastAsia"/>
              </w:rPr>
            </w:pPr>
          </w:p>
          <w:p w14:paraId="192EA9A8">
            <w:pPr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Q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问：公司构建了益生菌全产业链布局，请问全产业链协同优势具体体现在哪些方面，如何持续赋能公司业绩增长？</w:t>
            </w:r>
          </w:p>
          <w:p w14:paraId="3208FB0E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/>
              </w:rPr>
              <w:t>A：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公司已建成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涵盖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菌株资源开发、功能评价研究、产品研发创新、产业化制造、市场应用推广的完整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益生菌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产业链体系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。产业链各环节深度联动，优势持续释放。上游依托自有菌株资源库和标准化生产体系，实现核心益生菌原料自主可控，有利于稳定产品品质、优化原料端成本结构，同时为B端定制化代工业务提供充足稳定的原料保障；中游凭借成熟的定制研发和柔性生产能力，能够高效响应B端客户个性化配方需求和C端产品迭代升级需求，提升业务交付效率和客户服务能力；下游依托线上电商和线下全渠道布局，助力自研创新产品实现落地铺货、市场验证和规模化销售。全产业链协同模式打通了技术、产能和渠道全链路资源，有利于提升公司经营韧性，带动益生菌和饮品两大核心业务发展。</w:t>
            </w:r>
          </w:p>
          <w:p w14:paraId="543E5BBE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  <w:p w14:paraId="24DF0AC4">
            <w:pPr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Q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问：公司电解质、能量气泡水的布局逻辑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如何体现产品卖点与增量价值？</w:t>
            </w:r>
          </w:p>
          <w:p w14:paraId="18CF1812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</w:rPr>
              <w:t>A：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公司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布局电解质、能量气泡水，是公司落地“益生菌+”全场景矩阵、切入年轻消费赛道的核心举措，契合饮品功能化、健康化发展主线。针对传统汽水营养空白、普通电解质水功能单一、市面能量饮料配料繁杂易刺激肠胃等行业痛点，产品打造了三重差异化优势：第一，科学分层功能配方，电解质气泡水采用低钠多维电解质配比，适配运动、高温出汗、日常补水等场景；能量气泡水复配牛磺酸、B 族维生素，提神体感温和清爽无负担。第二，四大专利益生菌协同赋能，两款气泡水统一搭载植物乳杆菌 J26、嗜酸乳杆菌 LA-G80、动物双歧杆菌乳亚种 BL-G101、鼠李糖乳酪杆菌 UL-1，多株益生菌协同作用，共同调节肠道微生态；依托自研多层复合包埋 - 冷冻干燥联合技术，保障菌株在碳酸气泡水环境下长期稳定存活。第三，全线严格执行清洁标签标准，精简配料、剔除冗余添加剂，主打低负担饮用体验。该系列精准匹配年轻群体休闲、运动、日常补水需求，有效拓宽原有乳酸菌客群边界，是公司打造第二增长曲线的创新品类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eastAsia="zh-CN"/>
              </w:rPr>
              <w:t>。</w:t>
            </w:r>
          </w:p>
          <w:p w14:paraId="4DBDE7D0">
            <w:pPr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  <w:p w14:paraId="2AC9974F">
            <w:pPr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Q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5问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：公司清洁标签战略的落地逻辑、行业标准话语权与竞争壁垒是什么？</w:t>
            </w:r>
          </w:p>
          <w:p w14:paraId="5302D55B">
            <w:pPr>
              <w:pStyle w:val="17"/>
              <w:tabs>
                <w:tab w:val="left" w:pos="462"/>
              </w:tabs>
              <w:ind w:firstLine="458" w:firstLineChars="191"/>
              <w:rPr>
                <w:rFonts w:hint="eastAsia"/>
              </w:rPr>
            </w:pPr>
            <w:r>
              <w:rPr>
                <w:rFonts w:hint="eastAsia"/>
              </w:rPr>
              <w:t>A：公司清洁标签以配料精简、成分完全透明为核心准则，不添加人工色素、人工防腐剂、人工甜味剂等非必要配料，精准匹配成分党、轻负担健康消费需求。区别于行业单纯删减配料的浅层升级，公司依托益生菌稳态包埋工艺、全流程无菌生产体系等底层技术支撑，在少添加前提下稳定保障产品货架期与饮用口感。标准层面形成“外部行业标准+内部菌株评价标准”双重壁垒：公司是《清洁标签食品通用要求》团体标准发起单位，深度参与十余项食品行业、团体标准制定，掌握清洁标签领域行业共识话语权；内部搭建专属六钻明星菌株评价体系，从菌株溯源、体外体内试验、生产稳定性多维度建立可追溯、可验证的菌株筛选标尺，解决行业菌株功效概念泛滥问题。整套体系构建多重竞争壁垒：渠道端产品可顺利入驻药店、高端商超等高准入标准渠道；品牌端持续强化纯净健康心智，纯净配方强化品牌健康认知；技术端无菌、菌株保活一体化工艺投入门槛高，长期拉开产品品质差距。</w:t>
            </w:r>
          </w:p>
          <w:p w14:paraId="0BC92D34">
            <w:pPr>
              <w:pStyle w:val="17"/>
              <w:tabs>
                <w:tab w:val="left" w:pos="462"/>
              </w:tabs>
              <w:ind w:firstLine="458" w:firstLineChars="191"/>
              <w:rPr>
                <w:rFonts w:hint="eastAsia"/>
                <w:lang w:eastAsia="zh-CN"/>
              </w:rPr>
            </w:pPr>
          </w:p>
          <w:p w14:paraId="597C179C">
            <w:pPr>
              <w:pStyle w:val="17"/>
              <w:tabs>
                <w:tab w:val="left" w:pos="462"/>
              </w:tabs>
              <w:rPr>
                <w:rFonts w:hint="eastAsia"/>
                <w:b/>
                <w:bCs/>
                <w:i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Q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6问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：</w:t>
            </w:r>
            <w:r>
              <w:rPr>
                <w:rFonts w:hint="eastAsia"/>
                <w:b/>
                <w:bCs/>
                <w:iCs/>
                <w:color w:val="000000"/>
                <w:lang w:val="en-US" w:eastAsia="zh-CN"/>
              </w:rPr>
              <w:t>公司目前电商运营情况如何？</w:t>
            </w:r>
          </w:p>
          <w:p w14:paraId="6EA0B9BF">
            <w:pPr>
              <w:pStyle w:val="17"/>
              <w:tabs>
                <w:tab w:val="left" w:pos="462"/>
              </w:tabs>
              <w:ind w:firstLine="458" w:firstLineChars="191"/>
              <w:rPr>
                <w:rFonts w:hint="eastAsia"/>
                <w:iCs/>
                <w:color w:val="000000"/>
              </w:rPr>
            </w:pPr>
            <w:r>
              <w:rPr>
                <w:rFonts w:hint="eastAsia"/>
              </w:rPr>
              <w:t>A：</w:t>
            </w:r>
            <w:r>
              <w:rPr>
                <w:rFonts w:hint="eastAsia"/>
                <w:iCs/>
                <w:color w:val="000000"/>
              </w:rPr>
              <w:t>当前</w:t>
            </w:r>
            <w:r>
              <w:rPr>
                <w:rFonts w:hint="eastAsia"/>
                <w:iCs/>
                <w:color w:val="000000"/>
                <w:lang w:val="en-US" w:eastAsia="zh-CN"/>
              </w:rPr>
              <w:t>电商渠道</w:t>
            </w:r>
            <w:r>
              <w:rPr>
                <w:rFonts w:hint="eastAsia"/>
                <w:iCs/>
                <w:color w:val="000000"/>
              </w:rPr>
              <w:t>销售额整体表现符合预期，</w:t>
            </w:r>
            <w:r>
              <w:rPr>
                <w:rFonts w:hint="eastAsia"/>
                <w:iCs/>
                <w:color w:val="000000"/>
                <w:lang w:val="en-US" w:eastAsia="zh-CN"/>
              </w:rPr>
              <w:t>电商直播间</w:t>
            </w:r>
            <w:r>
              <w:rPr>
                <w:rFonts w:hint="eastAsia"/>
                <w:iCs/>
                <w:color w:val="000000"/>
              </w:rPr>
              <w:t>是其核心收入来源，保持着稳定的运营态势。团队融合了快消品运营经验与流量算法认知，凭借专业能力实现低成本高效获流，各直播间</w:t>
            </w:r>
            <w:r>
              <w:rPr>
                <w:rFonts w:hint="eastAsia"/>
                <w:iCs/>
                <w:color w:val="000000"/>
                <w:lang w:val="en-US" w:eastAsia="zh-CN"/>
              </w:rPr>
              <w:t>之</w:t>
            </w:r>
            <w:r>
              <w:rPr>
                <w:rFonts w:hint="eastAsia"/>
                <w:iCs/>
                <w:color w:val="000000"/>
              </w:rPr>
              <w:t>间形成独立增长动能，不存在流量互斥问题。</w:t>
            </w:r>
          </w:p>
          <w:p w14:paraId="0EB30C8F">
            <w:pPr>
              <w:pStyle w:val="17"/>
              <w:tabs>
                <w:tab w:val="left" w:pos="462"/>
              </w:tabs>
              <w:ind w:firstLine="458" w:firstLineChars="191"/>
              <w:rPr>
                <w:rFonts w:hint="eastAsia"/>
                <w:iCs/>
                <w:color w:val="000000"/>
              </w:rPr>
            </w:pPr>
            <w:r>
              <w:rPr>
                <w:rFonts w:hint="eastAsia"/>
                <w:iCs/>
                <w:color w:val="000000"/>
                <w:lang w:val="en-US" w:eastAsia="zh-CN"/>
              </w:rPr>
              <w:t>线上</w:t>
            </w:r>
            <w:r>
              <w:rPr>
                <w:rFonts w:hint="eastAsia"/>
                <w:iCs/>
                <w:color w:val="000000"/>
              </w:rPr>
              <w:t>产品布局紧密围绕</w:t>
            </w:r>
            <w:r>
              <w:rPr>
                <w:rFonts w:hint="eastAsia"/>
                <w:iCs/>
                <w:color w:val="000000"/>
                <w:lang w:val="en-US" w:eastAsia="zh-CN"/>
              </w:rPr>
              <w:t>公司</w:t>
            </w:r>
            <w:r>
              <w:rPr>
                <w:rFonts w:hint="eastAsia"/>
                <w:iCs/>
                <w:color w:val="000000"/>
              </w:rPr>
              <w:t>研发战略推进，</w:t>
            </w:r>
            <w:r>
              <w:rPr>
                <w:rFonts w:hint="eastAsia"/>
                <w:iCs/>
                <w:color w:val="000000"/>
                <w:lang w:val="en-US" w:eastAsia="zh-CN"/>
              </w:rPr>
              <w:t>目前主要为益生菌C端产品，</w:t>
            </w:r>
            <w:r>
              <w:rPr>
                <w:rFonts w:hint="eastAsia"/>
                <w:iCs/>
                <w:color w:val="000000"/>
              </w:rPr>
              <w:t>均瑶健康旗下</w:t>
            </w:r>
            <w:r>
              <w:rPr>
                <w:rFonts w:hint="eastAsia"/>
                <w:iCs/>
                <w:color w:val="000000"/>
                <w:lang w:val="en-US" w:eastAsia="zh-CN"/>
              </w:rPr>
              <w:t>益生菌</w:t>
            </w:r>
            <w:r>
              <w:rPr>
                <w:rFonts w:hint="eastAsia"/>
                <w:iCs/>
                <w:color w:val="000000"/>
              </w:rPr>
              <w:t>品牌每日博士在抖音平台运营成效显著</w:t>
            </w:r>
            <w:r>
              <w:rPr>
                <w:rFonts w:hint="eastAsia"/>
                <w:iCs/>
                <w:color w:val="000000"/>
                <w:lang w:eastAsia="zh-CN"/>
              </w:rPr>
              <w:t>，</w:t>
            </w:r>
            <w:r>
              <w:rPr>
                <w:rFonts w:hint="eastAsia"/>
                <w:iCs/>
                <w:color w:val="000000"/>
              </w:rPr>
              <w:t>在销售表现上保持稳健增长态势，市场接受度持续提升。</w:t>
            </w:r>
          </w:p>
          <w:p w14:paraId="4547853E">
            <w:pPr>
              <w:pStyle w:val="17"/>
              <w:tabs>
                <w:tab w:val="left" w:pos="462"/>
              </w:tabs>
              <w:ind w:firstLine="458" w:firstLineChars="191"/>
              <w:rPr>
                <w:rFonts w:hint="eastAsia"/>
                <w:iCs/>
                <w:color w:val="000000"/>
              </w:rPr>
            </w:pPr>
          </w:p>
          <w:p w14:paraId="2A66B700">
            <w:pPr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Q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问：随着电商业务规模快速提升，请问公司如何统筹线上电商与线下实体渠道？</w:t>
            </w:r>
          </w:p>
          <w:p w14:paraId="2B522E93">
            <w:pPr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答：伴随电商业务快速发展，公司高度重视线上线下渠道的协同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发展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管理，建立了对应的渠道管控机制。公司通过实施差异化品规策略，部分产品设置线上专属规格，实现线上线下产品适度区隔；同时做好价格体系管控，维护全渠道价格秩序，尽量规避渠道窜货和价格混乱等问题。在定位上，电商渠道主要承担品牌宣传教育、新品测试孵化和增量销售的作用；线下渠道侧重广泛终端覆盖和即时消费场景的满足。线上获取的消费者需求，也可以反哺线下产品和营销决策，线上线下互为补充，共同服务于公司整体经营目标。</w:t>
            </w:r>
          </w:p>
        </w:tc>
      </w:tr>
      <w:tr w14:paraId="3C8F0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EAF95">
            <w:pPr>
              <w:ind w:firstLine="0" w:firstLineChars="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附件清单（如有）</w:t>
            </w:r>
          </w:p>
        </w:tc>
        <w:tc>
          <w:tcPr>
            <w:tcW w:w="6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62BA39">
            <w:pPr>
              <w:spacing w:line="480" w:lineRule="atLeast"/>
              <w:ind w:firstLine="480"/>
              <w:rPr>
                <w:bCs/>
                <w:iCs/>
                <w:color w:val="000000"/>
              </w:rPr>
            </w:pPr>
          </w:p>
        </w:tc>
      </w:tr>
    </w:tbl>
    <w:p w14:paraId="561BED6F">
      <w:pPr>
        <w:ind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304" w:right="1797" w:bottom="1304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221772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3955C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80B4B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0017F">
    <w:pPr>
      <w:ind w:firstLine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E88A4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F0B9C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0NDI3NTJlZDMyYjQwMGQ1MGJiYjc0OWE2OGU4YmYifQ=="/>
  </w:docVars>
  <w:rsids>
    <w:rsidRoot w:val="00084F2C"/>
    <w:rsid w:val="00001CBC"/>
    <w:rsid w:val="0001073B"/>
    <w:rsid w:val="00014B6D"/>
    <w:rsid w:val="00021890"/>
    <w:rsid w:val="00021B3C"/>
    <w:rsid w:val="00031C3C"/>
    <w:rsid w:val="000352EB"/>
    <w:rsid w:val="00036DDC"/>
    <w:rsid w:val="000372B0"/>
    <w:rsid w:val="000377CD"/>
    <w:rsid w:val="000441BF"/>
    <w:rsid w:val="00052EC6"/>
    <w:rsid w:val="00057ACE"/>
    <w:rsid w:val="00063866"/>
    <w:rsid w:val="000651FA"/>
    <w:rsid w:val="00073AC8"/>
    <w:rsid w:val="00077630"/>
    <w:rsid w:val="00081BEF"/>
    <w:rsid w:val="00084F2C"/>
    <w:rsid w:val="00091C67"/>
    <w:rsid w:val="00094CEC"/>
    <w:rsid w:val="00097A04"/>
    <w:rsid w:val="000A44E4"/>
    <w:rsid w:val="000A56C4"/>
    <w:rsid w:val="000B2B5A"/>
    <w:rsid w:val="000C0E70"/>
    <w:rsid w:val="000C20C0"/>
    <w:rsid w:val="000C33A3"/>
    <w:rsid w:val="000C37C5"/>
    <w:rsid w:val="000C3D57"/>
    <w:rsid w:val="000C46DF"/>
    <w:rsid w:val="000D207A"/>
    <w:rsid w:val="000D4D3B"/>
    <w:rsid w:val="000E7295"/>
    <w:rsid w:val="000F476A"/>
    <w:rsid w:val="001059AE"/>
    <w:rsid w:val="00110E7D"/>
    <w:rsid w:val="00127912"/>
    <w:rsid w:val="001358B9"/>
    <w:rsid w:val="00140C04"/>
    <w:rsid w:val="00146610"/>
    <w:rsid w:val="00151112"/>
    <w:rsid w:val="0015561F"/>
    <w:rsid w:val="00156A1D"/>
    <w:rsid w:val="001618A3"/>
    <w:rsid w:val="00166122"/>
    <w:rsid w:val="00167860"/>
    <w:rsid w:val="001749C5"/>
    <w:rsid w:val="00176DC1"/>
    <w:rsid w:val="001770B9"/>
    <w:rsid w:val="0018618C"/>
    <w:rsid w:val="00191F63"/>
    <w:rsid w:val="001B07AF"/>
    <w:rsid w:val="001B3AC5"/>
    <w:rsid w:val="001B45AB"/>
    <w:rsid w:val="001B4B8D"/>
    <w:rsid w:val="001C45E1"/>
    <w:rsid w:val="001E035F"/>
    <w:rsid w:val="001E2303"/>
    <w:rsid w:val="00210A61"/>
    <w:rsid w:val="00211FF4"/>
    <w:rsid w:val="002137E1"/>
    <w:rsid w:val="002148DC"/>
    <w:rsid w:val="0021611F"/>
    <w:rsid w:val="00216AC0"/>
    <w:rsid w:val="00216BEC"/>
    <w:rsid w:val="00217898"/>
    <w:rsid w:val="00217F01"/>
    <w:rsid w:val="00223D42"/>
    <w:rsid w:val="0022479A"/>
    <w:rsid w:val="002308D2"/>
    <w:rsid w:val="00230EC6"/>
    <w:rsid w:val="002322C7"/>
    <w:rsid w:val="00236D81"/>
    <w:rsid w:val="00240F43"/>
    <w:rsid w:val="002430D3"/>
    <w:rsid w:val="0024589F"/>
    <w:rsid w:val="00250B1C"/>
    <w:rsid w:val="00254F21"/>
    <w:rsid w:val="00260CB5"/>
    <w:rsid w:val="00261B15"/>
    <w:rsid w:val="00261F38"/>
    <w:rsid w:val="00263EF0"/>
    <w:rsid w:val="00267F08"/>
    <w:rsid w:val="00267F4E"/>
    <w:rsid w:val="002700FD"/>
    <w:rsid w:val="00275A8F"/>
    <w:rsid w:val="00277CB6"/>
    <w:rsid w:val="0028791E"/>
    <w:rsid w:val="002906E5"/>
    <w:rsid w:val="00293B51"/>
    <w:rsid w:val="002A0DC6"/>
    <w:rsid w:val="002B365A"/>
    <w:rsid w:val="002B7808"/>
    <w:rsid w:val="002C61DC"/>
    <w:rsid w:val="002E59F7"/>
    <w:rsid w:val="002F1373"/>
    <w:rsid w:val="002F3C3C"/>
    <w:rsid w:val="002F69F0"/>
    <w:rsid w:val="00300676"/>
    <w:rsid w:val="00303FD7"/>
    <w:rsid w:val="003053CA"/>
    <w:rsid w:val="00307D54"/>
    <w:rsid w:val="0031351F"/>
    <w:rsid w:val="00324026"/>
    <w:rsid w:val="00327184"/>
    <w:rsid w:val="0033523D"/>
    <w:rsid w:val="003378E6"/>
    <w:rsid w:val="0034209A"/>
    <w:rsid w:val="0034681C"/>
    <w:rsid w:val="00346C42"/>
    <w:rsid w:val="00350F53"/>
    <w:rsid w:val="00361A7D"/>
    <w:rsid w:val="00371E87"/>
    <w:rsid w:val="00372343"/>
    <w:rsid w:val="00382FDC"/>
    <w:rsid w:val="0039791B"/>
    <w:rsid w:val="003A7539"/>
    <w:rsid w:val="003B09A4"/>
    <w:rsid w:val="003B32DA"/>
    <w:rsid w:val="003B4FF6"/>
    <w:rsid w:val="003D023F"/>
    <w:rsid w:val="003D19D8"/>
    <w:rsid w:val="003D6656"/>
    <w:rsid w:val="003E2D86"/>
    <w:rsid w:val="003F1A52"/>
    <w:rsid w:val="003F4ACD"/>
    <w:rsid w:val="00401079"/>
    <w:rsid w:val="00403789"/>
    <w:rsid w:val="00404338"/>
    <w:rsid w:val="00407621"/>
    <w:rsid w:val="00407F3A"/>
    <w:rsid w:val="00410604"/>
    <w:rsid w:val="00411D83"/>
    <w:rsid w:val="00413449"/>
    <w:rsid w:val="00422FAE"/>
    <w:rsid w:val="00424FF7"/>
    <w:rsid w:val="004274BF"/>
    <w:rsid w:val="00427E4C"/>
    <w:rsid w:val="004349B7"/>
    <w:rsid w:val="00447095"/>
    <w:rsid w:val="004545DA"/>
    <w:rsid w:val="00487EFF"/>
    <w:rsid w:val="00490B57"/>
    <w:rsid w:val="00491251"/>
    <w:rsid w:val="00494643"/>
    <w:rsid w:val="004979AF"/>
    <w:rsid w:val="004B0349"/>
    <w:rsid w:val="004B3CD5"/>
    <w:rsid w:val="004C2E2B"/>
    <w:rsid w:val="004D3830"/>
    <w:rsid w:val="004D3A97"/>
    <w:rsid w:val="004D7AC6"/>
    <w:rsid w:val="004E45ED"/>
    <w:rsid w:val="004E59E2"/>
    <w:rsid w:val="004F00AC"/>
    <w:rsid w:val="0050527B"/>
    <w:rsid w:val="00517BAD"/>
    <w:rsid w:val="00521E7E"/>
    <w:rsid w:val="005228C4"/>
    <w:rsid w:val="00523372"/>
    <w:rsid w:val="005238EE"/>
    <w:rsid w:val="00524815"/>
    <w:rsid w:val="00527728"/>
    <w:rsid w:val="00530DB9"/>
    <w:rsid w:val="005371BC"/>
    <w:rsid w:val="00541B5F"/>
    <w:rsid w:val="00543ED1"/>
    <w:rsid w:val="0055069A"/>
    <w:rsid w:val="00562AB0"/>
    <w:rsid w:val="00565704"/>
    <w:rsid w:val="00570026"/>
    <w:rsid w:val="0057603A"/>
    <w:rsid w:val="00580BA2"/>
    <w:rsid w:val="00580FF4"/>
    <w:rsid w:val="005820D8"/>
    <w:rsid w:val="005862D7"/>
    <w:rsid w:val="005879FF"/>
    <w:rsid w:val="005907B8"/>
    <w:rsid w:val="0059415F"/>
    <w:rsid w:val="00597893"/>
    <w:rsid w:val="005A447B"/>
    <w:rsid w:val="005A455B"/>
    <w:rsid w:val="005A7609"/>
    <w:rsid w:val="005B1E3E"/>
    <w:rsid w:val="005B57E0"/>
    <w:rsid w:val="005C624F"/>
    <w:rsid w:val="005D0B39"/>
    <w:rsid w:val="005D6E99"/>
    <w:rsid w:val="005E18EC"/>
    <w:rsid w:val="005E7783"/>
    <w:rsid w:val="00601DDD"/>
    <w:rsid w:val="006054B1"/>
    <w:rsid w:val="0060553B"/>
    <w:rsid w:val="00615F8E"/>
    <w:rsid w:val="00625E5D"/>
    <w:rsid w:val="00634E33"/>
    <w:rsid w:val="006443D3"/>
    <w:rsid w:val="00646F2E"/>
    <w:rsid w:val="006472B8"/>
    <w:rsid w:val="00647899"/>
    <w:rsid w:val="006523CF"/>
    <w:rsid w:val="00664935"/>
    <w:rsid w:val="00665708"/>
    <w:rsid w:val="00665BAD"/>
    <w:rsid w:val="006850BC"/>
    <w:rsid w:val="00686E28"/>
    <w:rsid w:val="00691096"/>
    <w:rsid w:val="00692200"/>
    <w:rsid w:val="006A0D14"/>
    <w:rsid w:val="006A132A"/>
    <w:rsid w:val="006A1AD3"/>
    <w:rsid w:val="006A7E2C"/>
    <w:rsid w:val="006B3AEF"/>
    <w:rsid w:val="006C2229"/>
    <w:rsid w:val="006C6349"/>
    <w:rsid w:val="006C655D"/>
    <w:rsid w:val="006D1E0D"/>
    <w:rsid w:val="006D5489"/>
    <w:rsid w:val="006E64EE"/>
    <w:rsid w:val="006E7A55"/>
    <w:rsid w:val="006F12C8"/>
    <w:rsid w:val="006F319A"/>
    <w:rsid w:val="006F4584"/>
    <w:rsid w:val="006F700D"/>
    <w:rsid w:val="006F7102"/>
    <w:rsid w:val="0070273B"/>
    <w:rsid w:val="00702A89"/>
    <w:rsid w:val="0070451C"/>
    <w:rsid w:val="0071445C"/>
    <w:rsid w:val="00743470"/>
    <w:rsid w:val="00745456"/>
    <w:rsid w:val="007474BB"/>
    <w:rsid w:val="00747517"/>
    <w:rsid w:val="007506A5"/>
    <w:rsid w:val="00752783"/>
    <w:rsid w:val="00767EA5"/>
    <w:rsid w:val="00770B00"/>
    <w:rsid w:val="0077151A"/>
    <w:rsid w:val="00773EA8"/>
    <w:rsid w:val="0078601C"/>
    <w:rsid w:val="00790954"/>
    <w:rsid w:val="007A03A8"/>
    <w:rsid w:val="007A3346"/>
    <w:rsid w:val="007A60D8"/>
    <w:rsid w:val="007B74E1"/>
    <w:rsid w:val="007D0BD7"/>
    <w:rsid w:val="007D200D"/>
    <w:rsid w:val="007D2FC6"/>
    <w:rsid w:val="007D30E6"/>
    <w:rsid w:val="007E3473"/>
    <w:rsid w:val="007E508A"/>
    <w:rsid w:val="007E559E"/>
    <w:rsid w:val="007F26B6"/>
    <w:rsid w:val="007F38B0"/>
    <w:rsid w:val="007F398C"/>
    <w:rsid w:val="007F697F"/>
    <w:rsid w:val="00813F62"/>
    <w:rsid w:val="00814C6A"/>
    <w:rsid w:val="008150FB"/>
    <w:rsid w:val="00815104"/>
    <w:rsid w:val="00816C66"/>
    <w:rsid w:val="00822949"/>
    <w:rsid w:val="00826434"/>
    <w:rsid w:val="00830F62"/>
    <w:rsid w:val="00834DFC"/>
    <w:rsid w:val="00841A72"/>
    <w:rsid w:val="00845315"/>
    <w:rsid w:val="00850E94"/>
    <w:rsid w:val="00860CC1"/>
    <w:rsid w:val="00863156"/>
    <w:rsid w:val="008659E4"/>
    <w:rsid w:val="00867B21"/>
    <w:rsid w:val="0087133E"/>
    <w:rsid w:val="00882929"/>
    <w:rsid w:val="008959FE"/>
    <w:rsid w:val="008A05BE"/>
    <w:rsid w:val="008A4B0B"/>
    <w:rsid w:val="008A71F9"/>
    <w:rsid w:val="008D22FB"/>
    <w:rsid w:val="008D3C48"/>
    <w:rsid w:val="008E13B2"/>
    <w:rsid w:val="008E16F2"/>
    <w:rsid w:val="008E6536"/>
    <w:rsid w:val="008F14F8"/>
    <w:rsid w:val="008F2B28"/>
    <w:rsid w:val="008F2DA5"/>
    <w:rsid w:val="008F56D8"/>
    <w:rsid w:val="009174E1"/>
    <w:rsid w:val="00920E49"/>
    <w:rsid w:val="0092394A"/>
    <w:rsid w:val="009240CE"/>
    <w:rsid w:val="009321B3"/>
    <w:rsid w:val="00932231"/>
    <w:rsid w:val="00932A46"/>
    <w:rsid w:val="0093743A"/>
    <w:rsid w:val="00947FE4"/>
    <w:rsid w:val="009519C6"/>
    <w:rsid w:val="00956CB0"/>
    <w:rsid w:val="00956FED"/>
    <w:rsid w:val="00966022"/>
    <w:rsid w:val="0097677A"/>
    <w:rsid w:val="00987765"/>
    <w:rsid w:val="009959D7"/>
    <w:rsid w:val="0099763F"/>
    <w:rsid w:val="009A198B"/>
    <w:rsid w:val="009A1C3B"/>
    <w:rsid w:val="009B2DC9"/>
    <w:rsid w:val="009B5720"/>
    <w:rsid w:val="009B645C"/>
    <w:rsid w:val="009C65E1"/>
    <w:rsid w:val="009D13E4"/>
    <w:rsid w:val="009E18EA"/>
    <w:rsid w:val="009E22EF"/>
    <w:rsid w:val="009E2BDF"/>
    <w:rsid w:val="009E492B"/>
    <w:rsid w:val="009F0E76"/>
    <w:rsid w:val="00A05538"/>
    <w:rsid w:val="00A15357"/>
    <w:rsid w:val="00A17473"/>
    <w:rsid w:val="00A23A96"/>
    <w:rsid w:val="00A251BF"/>
    <w:rsid w:val="00A32380"/>
    <w:rsid w:val="00A32401"/>
    <w:rsid w:val="00A51850"/>
    <w:rsid w:val="00A536D1"/>
    <w:rsid w:val="00A609ED"/>
    <w:rsid w:val="00A65CCD"/>
    <w:rsid w:val="00A67F3E"/>
    <w:rsid w:val="00A73F2E"/>
    <w:rsid w:val="00A74949"/>
    <w:rsid w:val="00A812FD"/>
    <w:rsid w:val="00A84AE4"/>
    <w:rsid w:val="00AA41B1"/>
    <w:rsid w:val="00AA76C7"/>
    <w:rsid w:val="00AC5D07"/>
    <w:rsid w:val="00AC71AC"/>
    <w:rsid w:val="00AC72E5"/>
    <w:rsid w:val="00AD6E89"/>
    <w:rsid w:val="00AE05DA"/>
    <w:rsid w:val="00AE5BF9"/>
    <w:rsid w:val="00AF1CFE"/>
    <w:rsid w:val="00AF66E8"/>
    <w:rsid w:val="00B06799"/>
    <w:rsid w:val="00B077CA"/>
    <w:rsid w:val="00B078CD"/>
    <w:rsid w:val="00B117E8"/>
    <w:rsid w:val="00B13E91"/>
    <w:rsid w:val="00B2003E"/>
    <w:rsid w:val="00B2044E"/>
    <w:rsid w:val="00B20B70"/>
    <w:rsid w:val="00B22DF0"/>
    <w:rsid w:val="00B23014"/>
    <w:rsid w:val="00B368C4"/>
    <w:rsid w:val="00B43130"/>
    <w:rsid w:val="00B45E9F"/>
    <w:rsid w:val="00B469F8"/>
    <w:rsid w:val="00B52D0D"/>
    <w:rsid w:val="00B66B06"/>
    <w:rsid w:val="00B777FE"/>
    <w:rsid w:val="00B82AA0"/>
    <w:rsid w:val="00B85CA8"/>
    <w:rsid w:val="00B87470"/>
    <w:rsid w:val="00B91E36"/>
    <w:rsid w:val="00B948E2"/>
    <w:rsid w:val="00B965CC"/>
    <w:rsid w:val="00BA7426"/>
    <w:rsid w:val="00BB40EB"/>
    <w:rsid w:val="00BB579F"/>
    <w:rsid w:val="00BC23FE"/>
    <w:rsid w:val="00BC2712"/>
    <w:rsid w:val="00BD1509"/>
    <w:rsid w:val="00BE5B68"/>
    <w:rsid w:val="00C0041D"/>
    <w:rsid w:val="00C02E26"/>
    <w:rsid w:val="00C12A4B"/>
    <w:rsid w:val="00C22B53"/>
    <w:rsid w:val="00C24C02"/>
    <w:rsid w:val="00C267CD"/>
    <w:rsid w:val="00C27928"/>
    <w:rsid w:val="00C27AA0"/>
    <w:rsid w:val="00C40FCD"/>
    <w:rsid w:val="00C4183E"/>
    <w:rsid w:val="00C56D35"/>
    <w:rsid w:val="00C8048F"/>
    <w:rsid w:val="00C86C9D"/>
    <w:rsid w:val="00C904BA"/>
    <w:rsid w:val="00C91F00"/>
    <w:rsid w:val="00CA506E"/>
    <w:rsid w:val="00CB0988"/>
    <w:rsid w:val="00CB5DD9"/>
    <w:rsid w:val="00CC3BD4"/>
    <w:rsid w:val="00CC5775"/>
    <w:rsid w:val="00CE2DD9"/>
    <w:rsid w:val="00CE5600"/>
    <w:rsid w:val="00CF4AF5"/>
    <w:rsid w:val="00D21A8F"/>
    <w:rsid w:val="00D274D9"/>
    <w:rsid w:val="00D32C35"/>
    <w:rsid w:val="00D45042"/>
    <w:rsid w:val="00D56C57"/>
    <w:rsid w:val="00D6010D"/>
    <w:rsid w:val="00D6121B"/>
    <w:rsid w:val="00D61969"/>
    <w:rsid w:val="00D653DC"/>
    <w:rsid w:val="00D72395"/>
    <w:rsid w:val="00D73BD5"/>
    <w:rsid w:val="00D74531"/>
    <w:rsid w:val="00D77555"/>
    <w:rsid w:val="00D77869"/>
    <w:rsid w:val="00D77D70"/>
    <w:rsid w:val="00D84984"/>
    <w:rsid w:val="00D91173"/>
    <w:rsid w:val="00D96F5E"/>
    <w:rsid w:val="00DA1D5C"/>
    <w:rsid w:val="00DA3062"/>
    <w:rsid w:val="00DA3A8E"/>
    <w:rsid w:val="00DB2245"/>
    <w:rsid w:val="00DB791E"/>
    <w:rsid w:val="00DD1683"/>
    <w:rsid w:val="00DD4EF9"/>
    <w:rsid w:val="00DE0F72"/>
    <w:rsid w:val="00DE1CB3"/>
    <w:rsid w:val="00DE7051"/>
    <w:rsid w:val="00DF3130"/>
    <w:rsid w:val="00DF3691"/>
    <w:rsid w:val="00E03298"/>
    <w:rsid w:val="00E04886"/>
    <w:rsid w:val="00E07F32"/>
    <w:rsid w:val="00E15B48"/>
    <w:rsid w:val="00E1681E"/>
    <w:rsid w:val="00E17CF2"/>
    <w:rsid w:val="00E200E0"/>
    <w:rsid w:val="00E226A7"/>
    <w:rsid w:val="00E23B0C"/>
    <w:rsid w:val="00E27CD9"/>
    <w:rsid w:val="00E30054"/>
    <w:rsid w:val="00E30DAE"/>
    <w:rsid w:val="00E4211C"/>
    <w:rsid w:val="00E6543F"/>
    <w:rsid w:val="00E71F0B"/>
    <w:rsid w:val="00E82FFC"/>
    <w:rsid w:val="00E83B9F"/>
    <w:rsid w:val="00E8542A"/>
    <w:rsid w:val="00E91974"/>
    <w:rsid w:val="00E96D10"/>
    <w:rsid w:val="00E97645"/>
    <w:rsid w:val="00EA0EBF"/>
    <w:rsid w:val="00EA2D59"/>
    <w:rsid w:val="00EA7737"/>
    <w:rsid w:val="00EB6D8B"/>
    <w:rsid w:val="00EC0BB4"/>
    <w:rsid w:val="00EC2EED"/>
    <w:rsid w:val="00EC6707"/>
    <w:rsid w:val="00EC7367"/>
    <w:rsid w:val="00ED0F44"/>
    <w:rsid w:val="00ED1EEB"/>
    <w:rsid w:val="00EE0118"/>
    <w:rsid w:val="00EE2795"/>
    <w:rsid w:val="00EE3A6C"/>
    <w:rsid w:val="00EF3C20"/>
    <w:rsid w:val="00EF514E"/>
    <w:rsid w:val="00EF564D"/>
    <w:rsid w:val="00F027DD"/>
    <w:rsid w:val="00F0607A"/>
    <w:rsid w:val="00F062FD"/>
    <w:rsid w:val="00F07C33"/>
    <w:rsid w:val="00F16201"/>
    <w:rsid w:val="00F17E36"/>
    <w:rsid w:val="00F20F2C"/>
    <w:rsid w:val="00F2782E"/>
    <w:rsid w:val="00F338B6"/>
    <w:rsid w:val="00F367F2"/>
    <w:rsid w:val="00F42785"/>
    <w:rsid w:val="00F451C5"/>
    <w:rsid w:val="00F60837"/>
    <w:rsid w:val="00F63ABD"/>
    <w:rsid w:val="00F73320"/>
    <w:rsid w:val="00F858E9"/>
    <w:rsid w:val="00F94D06"/>
    <w:rsid w:val="00FB4910"/>
    <w:rsid w:val="00FC546B"/>
    <w:rsid w:val="00FC6BD6"/>
    <w:rsid w:val="00FD4768"/>
    <w:rsid w:val="00FD499A"/>
    <w:rsid w:val="00FE2DBD"/>
    <w:rsid w:val="00FE4193"/>
    <w:rsid w:val="00FF2529"/>
    <w:rsid w:val="02F72AEC"/>
    <w:rsid w:val="03720562"/>
    <w:rsid w:val="041D2A27"/>
    <w:rsid w:val="05573D16"/>
    <w:rsid w:val="05EC26B0"/>
    <w:rsid w:val="06840B3B"/>
    <w:rsid w:val="06B37672"/>
    <w:rsid w:val="095A5B83"/>
    <w:rsid w:val="0A8E01DA"/>
    <w:rsid w:val="0B3D575C"/>
    <w:rsid w:val="0BA23811"/>
    <w:rsid w:val="0C4548C9"/>
    <w:rsid w:val="0D8E229F"/>
    <w:rsid w:val="0DE6751E"/>
    <w:rsid w:val="0FB75ADD"/>
    <w:rsid w:val="108720BF"/>
    <w:rsid w:val="10B63FE7"/>
    <w:rsid w:val="1111746F"/>
    <w:rsid w:val="11360C84"/>
    <w:rsid w:val="11621A79"/>
    <w:rsid w:val="118313A0"/>
    <w:rsid w:val="126A4CCD"/>
    <w:rsid w:val="129B6A1F"/>
    <w:rsid w:val="12CF6026"/>
    <w:rsid w:val="12DF75A8"/>
    <w:rsid w:val="1369653F"/>
    <w:rsid w:val="15595889"/>
    <w:rsid w:val="162E461F"/>
    <w:rsid w:val="16831A50"/>
    <w:rsid w:val="16B20004"/>
    <w:rsid w:val="16DC051F"/>
    <w:rsid w:val="17683B61"/>
    <w:rsid w:val="185A794E"/>
    <w:rsid w:val="19581961"/>
    <w:rsid w:val="1AE300CE"/>
    <w:rsid w:val="1B302BE8"/>
    <w:rsid w:val="1B4641B9"/>
    <w:rsid w:val="1B486183"/>
    <w:rsid w:val="1B9C202B"/>
    <w:rsid w:val="1BDE43F2"/>
    <w:rsid w:val="1C694603"/>
    <w:rsid w:val="1CE27F12"/>
    <w:rsid w:val="1CE712D2"/>
    <w:rsid w:val="1D0936F0"/>
    <w:rsid w:val="1D9751A0"/>
    <w:rsid w:val="1DE32193"/>
    <w:rsid w:val="1E4C5F8A"/>
    <w:rsid w:val="1EEA12FF"/>
    <w:rsid w:val="1F220A99"/>
    <w:rsid w:val="1FE4496A"/>
    <w:rsid w:val="20016901"/>
    <w:rsid w:val="204809D3"/>
    <w:rsid w:val="20FF1092"/>
    <w:rsid w:val="211A5ECC"/>
    <w:rsid w:val="21933ED0"/>
    <w:rsid w:val="22260612"/>
    <w:rsid w:val="2366189C"/>
    <w:rsid w:val="237613B4"/>
    <w:rsid w:val="2403533D"/>
    <w:rsid w:val="245B79CE"/>
    <w:rsid w:val="24C90335"/>
    <w:rsid w:val="24ED56A6"/>
    <w:rsid w:val="24EF5C02"/>
    <w:rsid w:val="25F3318F"/>
    <w:rsid w:val="26154EB4"/>
    <w:rsid w:val="26155D94"/>
    <w:rsid w:val="261F3F85"/>
    <w:rsid w:val="2714160F"/>
    <w:rsid w:val="272730F1"/>
    <w:rsid w:val="277F13CF"/>
    <w:rsid w:val="285E4FCC"/>
    <w:rsid w:val="28A32C4B"/>
    <w:rsid w:val="28A703BF"/>
    <w:rsid w:val="28AA5EC1"/>
    <w:rsid w:val="28D73EF8"/>
    <w:rsid w:val="29736AC1"/>
    <w:rsid w:val="298365D8"/>
    <w:rsid w:val="29F51284"/>
    <w:rsid w:val="2A0E2346"/>
    <w:rsid w:val="2A8F5E5D"/>
    <w:rsid w:val="2B686476"/>
    <w:rsid w:val="2C251BC9"/>
    <w:rsid w:val="2DFC020A"/>
    <w:rsid w:val="2E00644A"/>
    <w:rsid w:val="2F414F6C"/>
    <w:rsid w:val="2F8C7AEC"/>
    <w:rsid w:val="325925CC"/>
    <w:rsid w:val="32981347"/>
    <w:rsid w:val="32EE5B7A"/>
    <w:rsid w:val="3341553A"/>
    <w:rsid w:val="335C4122"/>
    <w:rsid w:val="338673F1"/>
    <w:rsid w:val="33F26834"/>
    <w:rsid w:val="340D7B12"/>
    <w:rsid w:val="346A0AC1"/>
    <w:rsid w:val="34B224E4"/>
    <w:rsid w:val="34CF6B76"/>
    <w:rsid w:val="355754E9"/>
    <w:rsid w:val="360A473D"/>
    <w:rsid w:val="36F6663C"/>
    <w:rsid w:val="375C6562"/>
    <w:rsid w:val="38080D1C"/>
    <w:rsid w:val="38082ACA"/>
    <w:rsid w:val="39480B3A"/>
    <w:rsid w:val="398E6FFF"/>
    <w:rsid w:val="39F07CBA"/>
    <w:rsid w:val="3ABA1467"/>
    <w:rsid w:val="3AD016BB"/>
    <w:rsid w:val="3B4E4C98"/>
    <w:rsid w:val="3B7364AD"/>
    <w:rsid w:val="3C371BD0"/>
    <w:rsid w:val="3C964B49"/>
    <w:rsid w:val="3D510A70"/>
    <w:rsid w:val="3D934BE4"/>
    <w:rsid w:val="3DBB413B"/>
    <w:rsid w:val="3DC54FBA"/>
    <w:rsid w:val="3E730B9E"/>
    <w:rsid w:val="3EAD1CD6"/>
    <w:rsid w:val="3FB672B0"/>
    <w:rsid w:val="3FCB38A2"/>
    <w:rsid w:val="3FF83425"/>
    <w:rsid w:val="403F208D"/>
    <w:rsid w:val="40BC7839"/>
    <w:rsid w:val="40D519B8"/>
    <w:rsid w:val="413761CE"/>
    <w:rsid w:val="41994793"/>
    <w:rsid w:val="423B2E21"/>
    <w:rsid w:val="42424E2B"/>
    <w:rsid w:val="42756FAE"/>
    <w:rsid w:val="427C658F"/>
    <w:rsid w:val="42A67168"/>
    <w:rsid w:val="435D2AF7"/>
    <w:rsid w:val="443F5AC6"/>
    <w:rsid w:val="444C01E3"/>
    <w:rsid w:val="447137A5"/>
    <w:rsid w:val="4522227E"/>
    <w:rsid w:val="452866A9"/>
    <w:rsid w:val="455235D7"/>
    <w:rsid w:val="45DB537A"/>
    <w:rsid w:val="45E36925"/>
    <w:rsid w:val="47462CC7"/>
    <w:rsid w:val="476A10AC"/>
    <w:rsid w:val="47B642F1"/>
    <w:rsid w:val="47CB7671"/>
    <w:rsid w:val="47D12ED9"/>
    <w:rsid w:val="482E20D9"/>
    <w:rsid w:val="48435459"/>
    <w:rsid w:val="487B5471"/>
    <w:rsid w:val="49B04D70"/>
    <w:rsid w:val="49B108F4"/>
    <w:rsid w:val="4A3B6D2F"/>
    <w:rsid w:val="4ABB577A"/>
    <w:rsid w:val="4AED47E2"/>
    <w:rsid w:val="4B0742E8"/>
    <w:rsid w:val="4B0A2D09"/>
    <w:rsid w:val="4B72052F"/>
    <w:rsid w:val="4B7324F9"/>
    <w:rsid w:val="4B7D6ED4"/>
    <w:rsid w:val="4BE41453"/>
    <w:rsid w:val="4BF058F8"/>
    <w:rsid w:val="4C1F238B"/>
    <w:rsid w:val="4CA50490"/>
    <w:rsid w:val="4D321D32"/>
    <w:rsid w:val="4D844549"/>
    <w:rsid w:val="4D8D6C2E"/>
    <w:rsid w:val="4EBD5F65"/>
    <w:rsid w:val="4F182883"/>
    <w:rsid w:val="4F2A2ECF"/>
    <w:rsid w:val="4F587A3C"/>
    <w:rsid w:val="50DA159D"/>
    <w:rsid w:val="50F639B0"/>
    <w:rsid w:val="5176064D"/>
    <w:rsid w:val="51864D34"/>
    <w:rsid w:val="528B1ED6"/>
    <w:rsid w:val="530A54F1"/>
    <w:rsid w:val="53740BBC"/>
    <w:rsid w:val="53CE651E"/>
    <w:rsid w:val="53E45D42"/>
    <w:rsid w:val="53E61ABA"/>
    <w:rsid w:val="54A913E4"/>
    <w:rsid w:val="54C47921"/>
    <w:rsid w:val="54FC7C51"/>
    <w:rsid w:val="55B33C1E"/>
    <w:rsid w:val="575136EE"/>
    <w:rsid w:val="575B456D"/>
    <w:rsid w:val="577473DD"/>
    <w:rsid w:val="57AE6D93"/>
    <w:rsid w:val="588673C8"/>
    <w:rsid w:val="58D8399B"/>
    <w:rsid w:val="592806EB"/>
    <w:rsid w:val="595A2602"/>
    <w:rsid w:val="59613991"/>
    <w:rsid w:val="59926240"/>
    <w:rsid w:val="5C935747"/>
    <w:rsid w:val="5DEC4171"/>
    <w:rsid w:val="5E0C4813"/>
    <w:rsid w:val="5F487ACD"/>
    <w:rsid w:val="60CE7B5E"/>
    <w:rsid w:val="610C68D8"/>
    <w:rsid w:val="612C2AD6"/>
    <w:rsid w:val="61D513C0"/>
    <w:rsid w:val="62621EBF"/>
    <w:rsid w:val="63464323"/>
    <w:rsid w:val="634C3904"/>
    <w:rsid w:val="63844520"/>
    <w:rsid w:val="642F3266"/>
    <w:rsid w:val="64992B79"/>
    <w:rsid w:val="650D2C1F"/>
    <w:rsid w:val="656F7435"/>
    <w:rsid w:val="65F20792"/>
    <w:rsid w:val="660B1854"/>
    <w:rsid w:val="66C537B1"/>
    <w:rsid w:val="67580DE1"/>
    <w:rsid w:val="675863D3"/>
    <w:rsid w:val="675E02F4"/>
    <w:rsid w:val="68ED3493"/>
    <w:rsid w:val="6905258B"/>
    <w:rsid w:val="6938470E"/>
    <w:rsid w:val="69635503"/>
    <w:rsid w:val="6A616842"/>
    <w:rsid w:val="6DE704B1"/>
    <w:rsid w:val="6F084B83"/>
    <w:rsid w:val="6F946416"/>
    <w:rsid w:val="6FD42CB7"/>
    <w:rsid w:val="6FF869A5"/>
    <w:rsid w:val="7004100D"/>
    <w:rsid w:val="70A76930"/>
    <w:rsid w:val="70D54F38"/>
    <w:rsid w:val="71630796"/>
    <w:rsid w:val="71635E8C"/>
    <w:rsid w:val="718D5813"/>
    <w:rsid w:val="71E511AB"/>
    <w:rsid w:val="71F17D66"/>
    <w:rsid w:val="72563E57"/>
    <w:rsid w:val="726447C6"/>
    <w:rsid w:val="727D13E4"/>
    <w:rsid w:val="72A5093A"/>
    <w:rsid w:val="72BB015E"/>
    <w:rsid w:val="72CE7E91"/>
    <w:rsid w:val="73FE6554"/>
    <w:rsid w:val="743B3F87"/>
    <w:rsid w:val="74A72748"/>
    <w:rsid w:val="750B0AE0"/>
    <w:rsid w:val="75E55C1E"/>
    <w:rsid w:val="76962A74"/>
    <w:rsid w:val="7798281C"/>
    <w:rsid w:val="79752E15"/>
    <w:rsid w:val="79933F08"/>
    <w:rsid w:val="79C5719A"/>
    <w:rsid w:val="7ABE4C8F"/>
    <w:rsid w:val="7AC676A0"/>
    <w:rsid w:val="7B4A02D1"/>
    <w:rsid w:val="7C1E3C37"/>
    <w:rsid w:val="7C5A4544"/>
    <w:rsid w:val="7D20753B"/>
    <w:rsid w:val="7E1D3D33"/>
    <w:rsid w:val="7E215CC4"/>
    <w:rsid w:val="7E5C27F5"/>
    <w:rsid w:val="7E6E42D6"/>
    <w:rsid w:val="7E7C69F3"/>
    <w:rsid w:val="7EC14D4E"/>
    <w:rsid w:val="7F005876"/>
    <w:rsid w:val="7F7B4EFD"/>
    <w:rsid w:val="7FF6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link w:val="26"/>
    <w:qFormat/>
    <w:uiPriority w:val="9"/>
    <w:pPr>
      <w:widowControl/>
      <w:spacing w:before="100" w:beforeAutospacing="1" w:after="100" w:afterAutospacing="1" w:line="240" w:lineRule="auto"/>
      <w:ind w:firstLine="0" w:firstLineChars="0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8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18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8">
    <w:name w:val="HTML Preformatted"/>
    <w:basedOn w:val="1"/>
    <w:link w:val="29"/>
    <w:semiHidden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9">
    <w:name w:val="Normal (Web)"/>
    <w:basedOn w:val="1"/>
    <w:unhideWhenUsed/>
    <w:qFormat/>
    <w:uiPriority w:val="99"/>
    <w:pPr>
      <w:widowControl/>
      <w:spacing w:beforeAutospacing="1" w:afterAutospacing="1"/>
      <w:jc w:val="left"/>
    </w:pPr>
    <w:rPr>
      <w:rFonts w:hint="eastAsia" w:ascii="宋体" w:hAnsi="宋体"/>
      <w:kern w:val="0"/>
    </w:rPr>
  </w:style>
  <w:style w:type="paragraph" w:styleId="10">
    <w:name w:val="annotation subject"/>
    <w:basedOn w:val="4"/>
    <w:next w:val="4"/>
    <w:link w:val="22"/>
    <w:semiHidden/>
    <w:unhideWhenUsed/>
    <w:qFormat/>
    <w:uiPriority w:val="99"/>
    <w:rPr>
      <w:b/>
      <w:bCs/>
    </w:r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styleId="14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2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字符"/>
    <w:basedOn w:val="12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/>
    </w:pPr>
  </w:style>
  <w:style w:type="character" w:customStyle="1" w:styleId="18">
    <w:name w:val="批注框文本 字符"/>
    <w:basedOn w:val="12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9">
    <w:name w:val="111"/>
    <w:basedOn w:val="1"/>
    <w:link w:val="20"/>
    <w:qFormat/>
    <w:uiPriority w:val="0"/>
    <w:pPr>
      <w:spacing w:beforeLines="50"/>
      <w:ind w:firstLine="480"/>
    </w:pPr>
  </w:style>
  <w:style w:type="character" w:customStyle="1" w:styleId="20">
    <w:name w:val="111 Char"/>
    <w:basedOn w:val="12"/>
    <w:link w:val="19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21">
    <w:name w:val="批注文字 字符"/>
    <w:basedOn w:val="12"/>
    <w:link w:val="4"/>
    <w:semiHidden/>
    <w:qFormat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22">
    <w:name w:val="批注主题 字符"/>
    <w:basedOn w:val="21"/>
    <w:link w:val="10"/>
    <w:semiHidden/>
    <w:qFormat/>
    <w:uiPriority w:val="99"/>
    <w:rPr>
      <w:rFonts w:ascii="Times New Roman" w:hAnsi="Times New Roman" w:eastAsia="宋体" w:cs="Times New Roman"/>
      <w:b/>
      <w:bCs/>
      <w:sz w:val="24"/>
      <w:szCs w:val="24"/>
    </w:rPr>
  </w:style>
  <w:style w:type="paragraph" w:customStyle="1" w:styleId="23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customStyle="1" w:styleId="24">
    <w:name w:val="Table Paragraph"/>
    <w:basedOn w:val="1"/>
    <w:qFormat/>
    <w:uiPriority w:val="1"/>
    <w:pPr>
      <w:ind w:left="107"/>
    </w:pPr>
    <w:rPr>
      <w:rFonts w:ascii="宋体" w:hAnsi="宋体" w:cs="宋体"/>
      <w:lang w:val="zh-CN" w:bidi="zh-CN"/>
    </w:rPr>
  </w:style>
  <w:style w:type="paragraph" w:customStyle="1" w:styleId="25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customStyle="1" w:styleId="26">
    <w:name w:val="标题 1 字符"/>
    <w:basedOn w:val="12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27">
    <w:name w:val="md-size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</w:rPr>
  </w:style>
  <w:style w:type="character" w:customStyle="1" w:styleId="28">
    <w:name w:val="标题 2 字符"/>
    <w:basedOn w:val="12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9">
    <w:name w:val="HTML 预设格式 字符"/>
    <w:basedOn w:val="12"/>
    <w:link w:val="8"/>
    <w:semiHidden/>
    <w:qFormat/>
    <w:uiPriority w:val="99"/>
    <w:rPr>
      <w:rFonts w:ascii="Courier New" w:hAnsi="Courier New" w:eastAsia="宋体" w:cs="Courier New"/>
      <w:kern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2450</Words>
  <Characters>2490</Characters>
  <Lines>19</Lines>
  <Paragraphs>5</Paragraphs>
  <TotalTime>16</TotalTime>
  <ScaleCrop>false</ScaleCrop>
  <LinksUpToDate>false</LinksUpToDate>
  <CharactersWithSpaces>2614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2024-09-19T03:28:00Z</dcterms:created>
  <dc:creator>LZG</dc:creator>
  <cp:lastModifiedBy>于百岁</cp:lastModifiedBy>
  <dcterms:modified xsi:type="dcterms:W3CDTF">2026-11-03T08:53:19Z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C31CC0DCB5B44F60B8FAE408E82E4652_13</vt:lpwstr>
  </property>
  <property fmtid="{D5CDD505-2E9C-101B-9397-08002B2CF9AE}" pid="4" name="KSOTemplateDocerSaveRecord">
    <vt:lpwstr>eyJoZGlkIjoiNjk4Y2I4NTA0ZWZlNjU2N2VkMTA1ZDUzYzExZWVlNGQiLCJ1c2VySWQiOiIyODg2MzQyMTIifQ==</vt:lpwstr>
  </property>
</Properties>
</file>