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8E55E9">
      <w:pPr>
        <w:keepNext/>
        <w:keepLines/>
        <w:spacing w:before="260" w:after="260"/>
        <w:rPr>
          <w:rFonts w:hint="eastAsia" w:ascii="宋体" w:hAnsi="宋体" w:cs="Times New Roman"/>
          <w:b/>
          <w:bCs/>
          <w:iCs/>
          <w:sz w:val="24"/>
          <w:szCs w:val="24"/>
        </w:rPr>
      </w:pPr>
      <w:r>
        <w:rPr>
          <w:rFonts w:hint="eastAsia" w:ascii="宋体" w:hAnsi="宋体" w:cs="Times New Roman"/>
          <w:b/>
          <w:bCs/>
          <w:iCs/>
          <w:sz w:val="24"/>
          <w:szCs w:val="24"/>
        </w:rPr>
        <w:t>证券代码：</w:t>
      </w:r>
      <w:r>
        <w:rPr>
          <w:rFonts w:ascii="宋体" w:hAnsi="宋体" w:cs="Times New Roman"/>
          <w:b/>
          <w:bCs/>
          <w:iCs/>
          <w:sz w:val="24"/>
          <w:szCs w:val="24"/>
        </w:rPr>
        <w:t>60</w:t>
      </w:r>
      <w:r>
        <w:rPr>
          <w:rFonts w:hint="eastAsia" w:ascii="宋体" w:hAnsi="宋体" w:cs="Times New Roman"/>
          <w:b/>
          <w:bCs/>
          <w:iCs/>
          <w:sz w:val="24"/>
          <w:szCs w:val="24"/>
        </w:rPr>
        <w:t>5488</w:t>
      </w:r>
      <w:r>
        <w:rPr>
          <w:rFonts w:ascii="宋体" w:hAnsi="宋体" w:cs="Times New Roman"/>
          <w:b/>
          <w:bCs/>
          <w:iCs/>
          <w:sz w:val="24"/>
          <w:szCs w:val="24"/>
        </w:rPr>
        <w:t xml:space="preserve"> </w:t>
      </w:r>
      <w:r>
        <w:rPr>
          <w:rFonts w:hint="eastAsia" w:ascii="宋体" w:hAnsi="宋体" w:cs="Times New Roman"/>
          <w:b/>
          <w:bCs/>
          <w:iCs/>
          <w:sz w:val="24"/>
          <w:szCs w:val="24"/>
        </w:rPr>
        <w:t xml:space="preserve">                                证券简称：福莱新材</w:t>
      </w:r>
    </w:p>
    <w:p w14:paraId="77829CF0">
      <w:pPr>
        <w:keepNext/>
        <w:keepLines/>
        <w:spacing w:before="260" w:after="260"/>
        <w:rPr>
          <w:rFonts w:hint="eastAsia" w:ascii="宋体" w:hAnsi="宋体" w:cs="Times New Roman"/>
          <w:b/>
          <w:bCs/>
          <w:iCs/>
          <w:sz w:val="24"/>
          <w:szCs w:val="24"/>
        </w:rPr>
      </w:pPr>
      <w:r>
        <w:rPr>
          <w:rFonts w:hint="eastAsia" w:ascii="宋体" w:hAnsi="宋体" w:cs="Times New Roman"/>
          <w:b/>
          <w:bCs/>
          <w:iCs/>
          <w:sz w:val="24"/>
          <w:szCs w:val="24"/>
        </w:rPr>
        <w:t>债券代码：111012                                 债券简称：福新转债</w:t>
      </w:r>
    </w:p>
    <w:p w14:paraId="68CBA676">
      <w:pPr>
        <w:keepNext/>
        <w:keepLines/>
        <w:spacing w:before="156" w:beforeLines="50" w:after="156" w:afterLines="50" w:line="360" w:lineRule="auto"/>
        <w:jc w:val="center"/>
        <w:rPr>
          <w:rFonts w:hint="eastAsia" w:ascii="宋体" w:hAnsi="宋体" w:cs="Times New Roman"/>
          <w:b/>
          <w:bCs/>
          <w:sz w:val="32"/>
          <w:szCs w:val="32"/>
        </w:rPr>
      </w:pPr>
      <w:r>
        <w:rPr>
          <w:rFonts w:hint="eastAsia" w:ascii="宋体" w:hAnsi="宋体" w:cs="Times New Roman"/>
          <w:b/>
          <w:bCs/>
          <w:sz w:val="32"/>
          <w:szCs w:val="32"/>
        </w:rPr>
        <w:t>浙江福莱新材料股份有限公司</w:t>
      </w:r>
    </w:p>
    <w:p w14:paraId="67BDDFB2">
      <w:pPr>
        <w:keepNext/>
        <w:keepLines/>
        <w:spacing w:before="156" w:beforeLines="50" w:after="156" w:afterLines="50" w:line="360" w:lineRule="auto"/>
        <w:jc w:val="center"/>
        <w:rPr>
          <w:rFonts w:hint="eastAsia" w:ascii="宋体" w:hAnsi="宋体" w:cs="Times New Roman"/>
          <w:b/>
          <w:bCs/>
          <w:sz w:val="32"/>
          <w:szCs w:val="32"/>
        </w:rPr>
      </w:pPr>
      <w:r>
        <w:rPr>
          <w:rFonts w:hint="eastAsia" w:ascii="宋体" w:hAnsi="宋体" w:cs="Times New Roman"/>
          <w:b/>
          <w:bCs/>
          <w:sz w:val="32"/>
          <w:szCs w:val="32"/>
        </w:rPr>
        <w:t>投资者关系活动记录表</w:t>
      </w:r>
    </w:p>
    <w:p w14:paraId="7A3B9FE7">
      <w:pPr>
        <w:keepNext/>
        <w:keepLines/>
        <w:spacing w:before="260" w:after="260" w:line="360" w:lineRule="auto"/>
        <w:jc w:val="left"/>
        <w:outlineLvl w:val="1"/>
        <w:rPr>
          <w:rFonts w:hint="eastAsia" w:ascii="宋体" w:hAnsi="宋体" w:eastAsia="宋体" w:cs="Times New Roman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Times New Roman"/>
          <w:b/>
          <w:bCs/>
          <w:sz w:val="24"/>
          <w:szCs w:val="24"/>
        </w:rPr>
        <w:t>编号：2026-00</w:t>
      </w:r>
      <w:r>
        <w:rPr>
          <w:rFonts w:hint="eastAsia" w:ascii="宋体" w:hAnsi="宋体" w:cs="Times New Roman"/>
          <w:b/>
          <w:bCs/>
          <w:sz w:val="24"/>
          <w:szCs w:val="24"/>
          <w:lang w:val="en-US" w:eastAsia="zh-CN"/>
        </w:rPr>
        <w:t>5</w:t>
      </w:r>
    </w:p>
    <w:tbl>
      <w:tblPr>
        <w:tblStyle w:val="11"/>
        <w:tblW w:w="8913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5"/>
        <w:gridCol w:w="7258"/>
      </w:tblGrid>
      <w:tr w14:paraId="0BBCE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55" w:type="dxa"/>
            <w:vAlign w:val="center"/>
          </w:tcPr>
          <w:p w14:paraId="5C7264DE">
            <w:pPr>
              <w:spacing w:line="360" w:lineRule="auto"/>
              <w:jc w:val="left"/>
              <w:rPr>
                <w:rFonts w:hint="eastAsia" w:ascii="宋体" w:hAnsi="宋体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b/>
                <w:bCs/>
                <w:iCs/>
                <w:sz w:val="24"/>
                <w:szCs w:val="24"/>
              </w:rPr>
              <w:t>投资者关系活动类别</w:t>
            </w:r>
          </w:p>
        </w:tc>
        <w:tc>
          <w:tcPr>
            <w:tcW w:w="7258" w:type="dxa"/>
          </w:tcPr>
          <w:p w14:paraId="2B946D8B">
            <w:pPr>
              <w:spacing w:line="360" w:lineRule="auto"/>
              <w:rPr>
                <w:rFonts w:hint="eastAsia" w:ascii="宋体" w:hAnsi="宋体" w:cs="Times New Roman"/>
                <w:bCs/>
                <w:iCs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■</w:t>
            </w:r>
            <w:r>
              <w:rPr>
                <w:rFonts w:hint="eastAsia" w:ascii="宋体" w:hAnsi="宋体" w:cs="Times New Roman"/>
                <w:sz w:val="24"/>
                <w:szCs w:val="24"/>
              </w:rPr>
              <w:t xml:space="preserve">特定对象调研        </w:t>
            </w:r>
            <w:r>
              <w:rPr>
                <w:rFonts w:hint="eastAsia" w:ascii="宋体" w:hAnsi="宋体" w:cs="Times New Roman"/>
                <w:bCs/>
                <w:iCs/>
                <w:sz w:val="24"/>
                <w:szCs w:val="24"/>
              </w:rPr>
              <w:t>□</w:t>
            </w:r>
            <w:r>
              <w:rPr>
                <w:rFonts w:hint="eastAsia" w:ascii="宋体" w:hAnsi="宋体" w:cs="Times New Roman"/>
                <w:sz w:val="24"/>
                <w:szCs w:val="24"/>
              </w:rPr>
              <w:t>分析师会议</w:t>
            </w:r>
          </w:p>
          <w:p w14:paraId="783B3F9D">
            <w:pPr>
              <w:spacing w:line="360" w:lineRule="auto"/>
              <w:rPr>
                <w:rFonts w:hint="eastAsia" w:ascii="宋体" w:hAnsi="宋体" w:cs="Times New Roman"/>
                <w:bCs/>
                <w:iCs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bCs/>
                <w:iCs/>
                <w:sz w:val="24"/>
                <w:szCs w:val="24"/>
              </w:rPr>
              <w:t>□</w:t>
            </w:r>
            <w:r>
              <w:rPr>
                <w:rFonts w:hint="eastAsia" w:ascii="宋体" w:hAnsi="宋体" w:cs="Times New Roman"/>
                <w:sz w:val="24"/>
                <w:szCs w:val="24"/>
              </w:rPr>
              <w:t xml:space="preserve">媒体采访            </w:t>
            </w:r>
            <w:r>
              <w:rPr>
                <w:rFonts w:hint="eastAsia" w:ascii="宋体" w:hAnsi="宋体" w:cs="Times New Roman"/>
                <w:bCs/>
                <w:iCs/>
                <w:sz w:val="24"/>
                <w:szCs w:val="24"/>
              </w:rPr>
              <w:t>□</w:t>
            </w:r>
            <w:r>
              <w:rPr>
                <w:rFonts w:hint="eastAsia" w:ascii="宋体" w:hAnsi="宋体" w:cs="Times New Roman"/>
                <w:sz w:val="24"/>
                <w:szCs w:val="24"/>
              </w:rPr>
              <w:t>业绩说明会</w:t>
            </w:r>
          </w:p>
          <w:p w14:paraId="14046D3D">
            <w:pPr>
              <w:spacing w:line="360" w:lineRule="auto"/>
              <w:rPr>
                <w:rFonts w:hint="eastAsia" w:ascii="宋体" w:hAnsi="宋体" w:cs="Times New Roman"/>
                <w:bCs/>
                <w:iCs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bCs/>
                <w:iCs/>
                <w:sz w:val="24"/>
                <w:szCs w:val="24"/>
              </w:rPr>
              <w:t>□</w:t>
            </w:r>
            <w:r>
              <w:rPr>
                <w:rFonts w:hint="eastAsia" w:ascii="宋体" w:hAnsi="宋体" w:cs="Times New Roman"/>
                <w:sz w:val="24"/>
                <w:szCs w:val="24"/>
              </w:rPr>
              <w:t xml:space="preserve">新闻发布会          </w:t>
            </w:r>
            <w:r>
              <w:rPr>
                <w:rFonts w:hint="eastAsia" w:ascii="宋体" w:hAnsi="宋体" w:cs="Times New Roman"/>
                <w:bCs/>
                <w:iCs/>
                <w:sz w:val="24"/>
                <w:szCs w:val="24"/>
              </w:rPr>
              <w:t>□</w:t>
            </w:r>
            <w:r>
              <w:rPr>
                <w:rFonts w:hint="eastAsia" w:ascii="宋体" w:hAnsi="宋体" w:cs="Times New Roman"/>
                <w:sz w:val="24"/>
                <w:szCs w:val="24"/>
              </w:rPr>
              <w:t>路演活动</w:t>
            </w:r>
          </w:p>
          <w:p w14:paraId="08DF72BD">
            <w:pPr>
              <w:tabs>
                <w:tab w:val="left" w:pos="2690"/>
                <w:tab w:val="center" w:pos="3199"/>
              </w:tabs>
              <w:spacing w:line="360" w:lineRule="auto"/>
              <w:rPr>
                <w:rFonts w:hint="eastAsia" w:ascii="宋体" w:hAnsi="宋体" w:cs="Times New Roman"/>
                <w:bCs/>
                <w:iCs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■</w:t>
            </w:r>
            <w:r>
              <w:rPr>
                <w:rFonts w:hint="eastAsia" w:ascii="宋体" w:hAnsi="宋体" w:cs="Times New Roman"/>
                <w:sz w:val="24"/>
                <w:szCs w:val="24"/>
              </w:rPr>
              <w:t xml:space="preserve">现场参观 </w:t>
            </w:r>
            <w:r>
              <w:rPr>
                <w:rFonts w:ascii="宋体" w:hAnsi="宋体" w:cs="Times New Roman"/>
                <w:sz w:val="24"/>
                <w:szCs w:val="24"/>
              </w:rPr>
              <w:t xml:space="preserve">         </w:t>
            </w:r>
            <w:r>
              <w:rPr>
                <w:rFonts w:hint="eastAsia" w:ascii="宋体" w:hAnsi="宋体" w:cs="Times New Roman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Times New Roman"/>
                <w:bCs/>
                <w:iCs/>
                <w:sz w:val="24"/>
                <w:szCs w:val="24"/>
              </w:rPr>
              <w:t>□</w:t>
            </w:r>
            <w:r>
              <w:rPr>
                <w:rFonts w:hint="eastAsia" w:ascii="宋体" w:hAnsi="宋体" w:cs="Times New Roman"/>
                <w:sz w:val="24"/>
                <w:szCs w:val="24"/>
              </w:rPr>
              <w:t>电话会议</w:t>
            </w:r>
          </w:p>
          <w:p w14:paraId="7F416B43">
            <w:pPr>
              <w:tabs>
                <w:tab w:val="center" w:pos="3199"/>
              </w:tabs>
              <w:spacing w:line="360" w:lineRule="auto"/>
              <w:rPr>
                <w:rFonts w:hint="eastAsia" w:ascii="宋体" w:hAnsi="宋体" w:cs="Times New Roman"/>
                <w:bCs/>
                <w:iCs/>
                <w:sz w:val="24"/>
                <w:szCs w:val="24"/>
                <w:u w:val="single"/>
              </w:rPr>
            </w:pPr>
            <w:r>
              <w:rPr>
                <w:rFonts w:hint="eastAsia" w:ascii="宋体" w:hAnsi="宋体" w:cs="Times New Roman"/>
                <w:bCs/>
                <w:iCs/>
                <w:sz w:val="24"/>
                <w:szCs w:val="24"/>
              </w:rPr>
              <w:t>□</w:t>
            </w:r>
            <w:r>
              <w:rPr>
                <w:rFonts w:hint="eastAsia" w:ascii="宋体" w:hAnsi="宋体" w:cs="Times New Roman"/>
                <w:sz w:val="24"/>
                <w:szCs w:val="24"/>
              </w:rPr>
              <w:t>其他</w:t>
            </w:r>
            <w:r>
              <w:rPr>
                <w:rFonts w:hint="eastAsia" w:ascii="宋体" w:hAnsi="宋体" w:cs="Times New Roman"/>
                <w:sz w:val="24"/>
                <w:szCs w:val="24"/>
                <w:u w:val="single"/>
              </w:rPr>
              <w:t xml:space="preserve">     </w:t>
            </w:r>
            <w:r>
              <w:rPr>
                <w:rFonts w:ascii="宋体" w:hAnsi="宋体" w:cs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cs="Times New Roman"/>
                <w:sz w:val="24"/>
                <w:szCs w:val="24"/>
                <w:u w:val="single"/>
              </w:rPr>
              <w:t xml:space="preserve"> </w:t>
            </w:r>
          </w:p>
        </w:tc>
      </w:tr>
      <w:tr w14:paraId="762EAB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55" w:type="dxa"/>
            <w:vAlign w:val="center"/>
          </w:tcPr>
          <w:p w14:paraId="693B8C89">
            <w:pPr>
              <w:pStyle w:val="9"/>
              <w:rPr>
                <w:rFonts w:hint="eastAsia" w:cs="Times New Roman"/>
                <w:b/>
                <w:bCs/>
                <w:iCs/>
              </w:rPr>
            </w:pPr>
            <w:r>
              <w:rPr>
                <w:rFonts w:hint="eastAsia" w:cs="Times New Roman"/>
                <w:b/>
                <w:bCs/>
                <w:iCs/>
                <w:kern w:val="2"/>
              </w:rPr>
              <w:t>参与单位名称</w:t>
            </w:r>
          </w:p>
        </w:tc>
        <w:tc>
          <w:tcPr>
            <w:tcW w:w="7258" w:type="dxa"/>
          </w:tcPr>
          <w:p w14:paraId="24000E80">
            <w:pPr>
              <w:spacing w:line="360" w:lineRule="auto"/>
              <w:rPr>
                <w:rFonts w:hint="eastAsia" w:ascii="宋体" w:hAnsi="宋体" w:eastAsia="宋体" w:cs="Times New Roman"/>
                <w:bCs/>
                <w:iCs/>
                <w:sz w:val="24"/>
                <w:szCs w:val="24"/>
                <w:highlight w:val="yellow"/>
                <w:lang w:eastAsia="zh-CN"/>
              </w:rPr>
            </w:pPr>
            <w:r>
              <w:rPr>
                <w:rFonts w:hint="eastAsia" w:ascii="宋体" w:hAnsi="宋体" w:cs="Times New Roman"/>
                <w:bCs/>
                <w:iCs/>
                <w:sz w:val="24"/>
                <w:szCs w:val="24"/>
                <w:highlight w:val="none"/>
              </w:rPr>
              <w:t>财通证券</w:t>
            </w:r>
            <w:r>
              <w:rPr>
                <w:rFonts w:hint="eastAsia" w:ascii="宋体" w:hAnsi="宋体" w:cs="Times New Roman"/>
                <w:bCs/>
                <w:iCs/>
                <w:sz w:val="24"/>
                <w:szCs w:val="24"/>
                <w:highlight w:val="none"/>
                <w:lang w:eastAsia="zh-CN"/>
              </w:rPr>
              <w:t>、长信基金、太平养老、中欧基金、惠升基金、兴业基金、景林资产、中泰</w:t>
            </w:r>
            <w:r>
              <w:rPr>
                <w:rFonts w:hint="eastAsia" w:ascii="宋体" w:hAnsi="宋体" w:cs="Times New Roman"/>
                <w:bCs/>
                <w:iCs/>
                <w:sz w:val="24"/>
                <w:szCs w:val="24"/>
                <w:highlight w:val="none"/>
                <w:lang w:val="en-US" w:eastAsia="zh-CN"/>
              </w:rPr>
              <w:t>证券</w:t>
            </w:r>
            <w:r>
              <w:rPr>
                <w:rFonts w:hint="eastAsia" w:ascii="宋体" w:hAnsi="宋体" w:cs="Times New Roman"/>
                <w:bCs/>
                <w:iCs/>
                <w:sz w:val="24"/>
                <w:szCs w:val="24"/>
                <w:highlight w:val="none"/>
                <w:lang w:eastAsia="zh-CN"/>
              </w:rPr>
              <w:t>、东方财富、长江证券、浦银安盛、聚鸣投资、睿郡资产、国金</w:t>
            </w:r>
            <w:r>
              <w:rPr>
                <w:rFonts w:hint="eastAsia" w:ascii="宋体" w:hAnsi="宋体" w:cs="Times New Roman"/>
                <w:bCs/>
                <w:iCs/>
                <w:sz w:val="24"/>
                <w:szCs w:val="24"/>
                <w:highlight w:val="none"/>
                <w:lang w:val="en-US" w:eastAsia="zh-CN"/>
              </w:rPr>
              <w:t>证券</w:t>
            </w:r>
            <w:r>
              <w:rPr>
                <w:rFonts w:hint="eastAsia" w:ascii="宋体" w:hAnsi="宋体" w:cs="Times New Roman"/>
                <w:bCs/>
                <w:iCs/>
                <w:sz w:val="24"/>
                <w:szCs w:val="24"/>
                <w:highlight w:val="none"/>
                <w:lang w:eastAsia="zh-CN"/>
              </w:rPr>
              <w:t>、野村东方、天风证券、国泰海通、华泰证券、中金众鑫、国联民生、杭州艾瑟特、中浦资产管理、森然投资、国华兴益、鹏华基金、淳厚基金、摩根基金、孝庸基金、上海歌汝私募、广发基金、运舟资本、广发证券、平安人寿、中银国际证券资管、敦和资管</w:t>
            </w:r>
          </w:p>
        </w:tc>
      </w:tr>
      <w:tr w14:paraId="61DA47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1655" w:type="dxa"/>
            <w:vAlign w:val="center"/>
          </w:tcPr>
          <w:p w14:paraId="7769CCB0">
            <w:pPr>
              <w:spacing w:line="360" w:lineRule="auto"/>
              <w:jc w:val="left"/>
              <w:rPr>
                <w:rFonts w:hint="eastAsia" w:ascii="宋体" w:hAnsi="宋体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b/>
                <w:bCs/>
                <w:iCs/>
                <w:sz w:val="24"/>
                <w:szCs w:val="24"/>
              </w:rPr>
              <w:t>时间</w:t>
            </w:r>
          </w:p>
        </w:tc>
        <w:tc>
          <w:tcPr>
            <w:tcW w:w="7258" w:type="dxa"/>
            <w:vAlign w:val="center"/>
          </w:tcPr>
          <w:p w14:paraId="30DE7925">
            <w:pPr>
              <w:spacing w:line="360" w:lineRule="auto"/>
              <w:jc w:val="both"/>
              <w:rPr>
                <w:rFonts w:hint="default" w:ascii="宋体" w:hAnsi="宋体" w:eastAsia="宋体" w:cs="Times New Roman"/>
                <w:b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2026年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11</w:t>
            </w:r>
            <w:r>
              <w:rPr>
                <w:rFonts w:hint="eastAsia" w:ascii="宋体" w:hAnsi="宋体"/>
                <w:sz w:val="24"/>
              </w:rPr>
              <w:t>月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03日</w:t>
            </w:r>
          </w:p>
        </w:tc>
      </w:tr>
      <w:tr w14:paraId="7A94CD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655" w:type="dxa"/>
            <w:vAlign w:val="center"/>
          </w:tcPr>
          <w:p w14:paraId="0E08ED63">
            <w:pPr>
              <w:spacing w:line="360" w:lineRule="auto"/>
              <w:jc w:val="left"/>
              <w:rPr>
                <w:rFonts w:hint="eastAsia" w:ascii="宋体" w:hAnsi="宋体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b/>
                <w:bCs/>
                <w:iCs/>
                <w:sz w:val="24"/>
                <w:szCs w:val="24"/>
              </w:rPr>
              <w:t>地点</w:t>
            </w:r>
          </w:p>
        </w:tc>
        <w:tc>
          <w:tcPr>
            <w:tcW w:w="7258" w:type="dxa"/>
            <w:vAlign w:val="center"/>
          </w:tcPr>
          <w:p w14:paraId="0787AA16">
            <w:pPr>
              <w:spacing w:line="360" w:lineRule="auto"/>
              <w:jc w:val="both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公司会议室</w:t>
            </w:r>
          </w:p>
        </w:tc>
      </w:tr>
      <w:tr w14:paraId="701DF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1" w:hRule="atLeast"/>
        </w:trPr>
        <w:tc>
          <w:tcPr>
            <w:tcW w:w="1655" w:type="dxa"/>
            <w:vAlign w:val="center"/>
          </w:tcPr>
          <w:p w14:paraId="399DB572">
            <w:pPr>
              <w:spacing w:line="360" w:lineRule="auto"/>
              <w:jc w:val="left"/>
              <w:rPr>
                <w:rFonts w:hint="eastAsia" w:ascii="宋体" w:hAnsi="宋体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b/>
                <w:bCs/>
                <w:iCs/>
                <w:sz w:val="24"/>
                <w:szCs w:val="24"/>
              </w:rPr>
              <w:t>上市公司接待人员姓名</w:t>
            </w:r>
          </w:p>
        </w:tc>
        <w:tc>
          <w:tcPr>
            <w:tcW w:w="7258" w:type="dxa"/>
            <w:vAlign w:val="center"/>
          </w:tcPr>
          <w:p w14:paraId="40BBD1C6">
            <w:pPr>
              <w:autoSpaceDE w:val="0"/>
              <w:autoSpaceDN w:val="0"/>
              <w:adjustRightInd w:val="0"/>
              <w:spacing w:line="360" w:lineRule="auto"/>
              <w:rPr>
                <w:rFonts w:ascii="sans-serif" w:hAnsi="sans-serif" w:eastAsia="sans-serif" w:cs="sans-serif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ascii="sans-serif" w:hAnsi="sans-serif" w:eastAsia="sans-serif" w:cs="sans-serif"/>
                <w:sz w:val="24"/>
                <w:szCs w:val="24"/>
                <w:highlight w:val="none"/>
                <w:shd w:val="clear" w:color="auto" w:fill="FFFFFF"/>
              </w:rPr>
              <w:t>董事会秘书：聂胜先生</w:t>
            </w:r>
          </w:p>
          <w:p w14:paraId="444EAAE3">
            <w:pPr>
              <w:autoSpaceDE w:val="0"/>
              <w:autoSpaceDN w:val="0"/>
              <w:adjustRightInd w:val="0"/>
              <w:spacing w:line="360" w:lineRule="auto"/>
              <w:rPr>
                <w:rFonts w:hint="eastAsia" w:ascii="sans-serif" w:hAnsi="sans-serif" w:cs="sans-serif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sans-serif" w:hAnsi="sans-serif" w:cs="sans-serif"/>
                <w:sz w:val="24"/>
                <w:szCs w:val="24"/>
                <w:highlight w:val="none"/>
                <w:shd w:val="clear" w:color="auto" w:fill="FFFFFF"/>
              </w:rPr>
              <w:t>首席科学家：陈书厅</w:t>
            </w:r>
            <w:r>
              <w:rPr>
                <w:rFonts w:hint="eastAsia" w:ascii="sans-serif" w:hAnsi="sans-serif" w:cs="sans-serif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先生</w:t>
            </w:r>
          </w:p>
          <w:p w14:paraId="35D51D07">
            <w:pPr>
              <w:autoSpaceDE w:val="0"/>
              <w:autoSpaceDN w:val="0"/>
              <w:adjustRightInd w:val="0"/>
              <w:spacing w:line="360" w:lineRule="auto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shd w:val="clear" w:color="auto" w:fill="FFFFFF"/>
              </w:rPr>
              <w:t>算法总监：廖永兴先生</w:t>
            </w:r>
          </w:p>
          <w:p w14:paraId="10B29970">
            <w:pPr>
              <w:autoSpaceDE w:val="0"/>
              <w:autoSpaceDN w:val="0"/>
              <w:adjustRightInd w:val="0"/>
              <w:spacing w:line="360" w:lineRule="auto"/>
              <w:rPr>
                <w:rFonts w:hint="eastAsia" w:ascii="sans-serif" w:hAnsi="sans-serif" w:cs="sans-serif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sans-serif" w:hAnsi="sans-serif" w:cs="sans-serif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投关总监：张敏女士</w:t>
            </w:r>
          </w:p>
        </w:tc>
      </w:tr>
      <w:tr w14:paraId="1C7B2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</w:trPr>
        <w:tc>
          <w:tcPr>
            <w:tcW w:w="1655" w:type="dxa"/>
            <w:vAlign w:val="center"/>
          </w:tcPr>
          <w:p w14:paraId="47B2B82E">
            <w:pPr>
              <w:spacing w:line="360" w:lineRule="auto"/>
              <w:jc w:val="left"/>
              <w:rPr>
                <w:rFonts w:hint="eastAsia" w:ascii="宋体" w:hAnsi="宋体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b/>
                <w:bCs/>
                <w:iCs/>
                <w:sz w:val="24"/>
                <w:szCs w:val="24"/>
              </w:rPr>
              <w:t>投资者关系活动主要内容介绍</w:t>
            </w:r>
          </w:p>
        </w:tc>
        <w:tc>
          <w:tcPr>
            <w:tcW w:w="7258" w:type="dxa"/>
          </w:tcPr>
          <w:p w14:paraId="785725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2" w:firstLineChars="200"/>
              <w:jc w:val="both"/>
              <w:textAlignment w:val="auto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风险提示：</w:t>
            </w:r>
          </w:p>
          <w:p w14:paraId="025CD7B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1、</w:t>
            </w:r>
            <w:r>
              <w:rPr>
                <w:rFonts w:hint="default"/>
                <w:sz w:val="24"/>
                <w:szCs w:val="24"/>
                <w:lang w:val="en-US" w:eastAsia="zh-CN"/>
              </w:rPr>
              <w:t>公司主营业务为广告喷墨打印材料、标签标识印刷材料、电子级功能材料、功能基膜材料、胶粘材料等工业消费品。公司关注到市场对公司柔性传感器关注度较高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14:ligatures w14:val="standardContextual"/>
              </w:rPr>
              <w:t>截至本公告披露日，</w:t>
            </w:r>
            <w:r>
              <w:rPr>
                <w:rFonts w:hint="default"/>
                <w:sz w:val="24"/>
                <w:szCs w:val="24"/>
                <w:lang w:val="en-US" w:eastAsia="zh-CN"/>
              </w:rPr>
              <w:t>公司柔性传感器项目收入占公司整体收入比重极低，对公司主营业务无重大影响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。</w:t>
            </w:r>
          </w:p>
          <w:p w14:paraId="37FC38F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2、公司</w:t>
            </w:r>
            <w:r>
              <w:rPr>
                <w:rFonts w:hint="default"/>
                <w:sz w:val="24"/>
                <w:szCs w:val="24"/>
                <w:lang w:val="en-US" w:eastAsia="zh-CN"/>
              </w:rPr>
              <w:t>柔性传感器项目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后续发展受行业技术迭代、市场竞争格局变化、客户拓展节奏及项目订单落地进度等多重因素影响，后续研发和订单存在一定的变化性与不确定性。本文中涉及的未来计划、预期等前瞻性陈述，不构成公司对投资者的实质承诺。</w:t>
            </w:r>
          </w:p>
          <w:p w14:paraId="21CF259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2" w:firstLineChars="200"/>
              <w:jc w:val="both"/>
              <w:textAlignment w:val="auto"/>
              <w:rPr>
                <w:rFonts w:hint="default" w:ascii="宋体" w:hAnsi="宋体" w:eastAsia="宋体"/>
                <w:b/>
                <w:bCs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default" w:ascii="宋体" w:hAnsi="宋体" w:eastAsia="宋体"/>
                <w:b/>
                <w:bCs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特此郑重提醒广大投资者理性投资，规避热点，防范投资风险。</w:t>
            </w:r>
          </w:p>
          <w:p w14:paraId="73A63F5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2" w:firstLineChars="200"/>
              <w:jc w:val="both"/>
              <w:textAlignment w:val="auto"/>
              <w:rPr>
                <w:rFonts w:hint="eastAsia" w:ascii="宋体" w:hAnsi="宋体"/>
                <w:b/>
                <w:bCs/>
                <w:sz w:val="24"/>
                <w:szCs w:val="24"/>
                <w:highlight w:val="none"/>
                <w:shd w:val="clear" w:color="auto" w:fill="FFFFFF"/>
              </w:rPr>
            </w:pPr>
          </w:p>
          <w:p w14:paraId="6AC5FE7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2" w:firstLineChars="200"/>
              <w:jc w:val="both"/>
              <w:textAlignment w:val="auto"/>
              <w:rPr>
                <w:rFonts w:hint="eastAsia" w:ascii="宋体" w:hAnsi="宋体" w:eastAsia="宋体"/>
                <w:b/>
                <w:bCs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24"/>
                <w:szCs w:val="24"/>
                <w:highlight w:val="none"/>
                <w:shd w:val="clear" w:color="auto" w:fill="FFFFFF"/>
              </w:rPr>
              <w:t>问题</w:t>
            </w:r>
            <w:r>
              <w:rPr>
                <w:rFonts w:hint="eastAsia" w:ascii="宋体" w:hAnsi="宋体"/>
                <w:b/>
                <w:bCs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1</w:t>
            </w:r>
            <w:r>
              <w:rPr>
                <w:rFonts w:hint="eastAsia" w:ascii="宋体" w:hAnsi="宋体"/>
                <w:b/>
                <w:bCs/>
                <w:sz w:val="24"/>
                <w:szCs w:val="24"/>
                <w:highlight w:val="none"/>
                <w:shd w:val="clear" w:color="auto" w:fill="FFFFFF"/>
              </w:rPr>
              <w:t>：</w:t>
            </w: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训练数据分成真机数据、以人为中心的数据、仿真数据三层金字塔，怎么看待三者定位，为什么以人为中心的数采手套会成为当前阶段重要突破口？</w:t>
            </w:r>
          </w:p>
          <w:p w14:paraId="625E1C4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19"/>
                <w:szCs w:val="19"/>
                <w:shd w:val="clear" w:fill="FFFFFF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答：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三类数据在具身智能训练体系中定位互补，各有优劣。真机</w:t>
            </w:r>
            <w:bookmarkStart w:id="0" w:name="_GoBack"/>
            <w:bookmarkEnd w:id="0"/>
            <w:r>
              <w:rPr>
                <w:rFonts w:hint="eastAsia"/>
                <w:sz w:val="24"/>
                <w:szCs w:val="24"/>
                <w:lang w:val="en-US" w:eastAsia="zh-CN"/>
              </w:rPr>
              <w:t>采集得到的数据真实性最高，但受限于硬件设备数量，采集效率低、成本高昂，较难实现百万小时级别的大规模数据积累；仿真数据能够产出海量样本，可覆盖丰富场景，但普遍存在仿真—真机鸿沟，在仿真环境训练完成的策略，迁移至真实物理环境容易失效。而通过以人为中心的数采手套，可以高效产出大量多模态人类操作示范数据，整体成本可控，能够有效弥补真机数据供给不足的短板。三者并非替代关系，形成协同：依靠数采手套完成大规模人类示范数据采集，利用仿真扩充边缘与极端场景样本，再通过真机开展闭环验证迭代。</w:t>
            </w:r>
          </w:p>
          <w:p w14:paraId="7EED0D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/>
                <w:sz w:val="24"/>
                <w:szCs w:val="24"/>
              </w:rPr>
            </w:pPr>
          </w:p>
          <w:p w14:paraId="68C695C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2" w:firstLineChars="200"/>
              <w:jc w:val="both"/>
              <w:textAlignment w:val="auto"/>
              <w:rPr>
                <w:rFonts w:ascii="宋体" w:hAnsi="宋体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sz w:val="24"/>
                <w:szCs w:val="24"/>
                <w:highlight w:val="none"/>
              </w:rPr>
              <w:t>问题</w:t>
            </w:r>
            <w:r>
              <w:rPr>
                <w:rFonts w:hint="eastAsia" w:ascii="宋体" w:hAnsi="宋体"/>
                <w:b/>
                <w:bCs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/>
                <w:b/>
                <w:bCs/>
                <w:sz w:val="24"/>
                <w:szCs w:val="24"/>
                <w:highlight w:val="none"/>
              </w:rPr>
              <w:t>、</w:t>
            </w: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从 G1 平面感知迭代到 G4 数采终端，这条技术演进路径是怎么考虑的？灵巧手触觉和数采手套在技术要求上有哪些异同？</w:t>
            </w:r>
          </w:p>
          <w:p w14:paraId="73C723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答：我们开发了压阻式和电容式等多模态的技术路线</w:t>
            </w:r>
            <w:r>
              <w:rPr>
                <w:rFonts w:hint="eastAsia" w:ascii="宋体" w:hAnsi="宋体"/>
                <w:sz w:val="24"/>
                <w:szCs w:val="24"/>
                <w:highlight w:val="none"/>
                <w:lang w:eastAsia="zh-CN"/>
              </w:rPr>
              <w:t>。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G1至G4是公司柔性触觉传感循序渐进的技术迭代路线，从基础的平面感知能力起步，逐步迭代升级至三维力全柔性传感，最终演进为面向大规模数据采集场景的完整终端产品。</w:t>
            </w:r>
          </w:p>
          <w:p w14:paraId="0386DE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灵巧手触觉方案与数采手套具备技术同源性，两者均需要实现三维力感知，同时满足曲面柔性适配的基础要求；但二者的侧重点存在明显差异：灵巧手触觉主要服务本体的闭环实时控制；数采手套服务于生产数据，更加看重多台设备之间的批次一致性、长时间连续采集的信号稳定性以及标准化的数据输出能力，对自动化标定能力要求更高。公司在灵巧手触觉传感积累的量产、质控经验，可以直接复用至数采手套业务。</w:t>
            </w:r>
          </w:p>
          <w:p w14:paraId="55B3F4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</w:rPr>
            </w:pPr>
          </w:p>
          <w:p w14:paraId="517997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2" w:firstLineChars="200"/>
              <w:jc w:val="both"/>
              <w:textAlignment w:val="auto"/>
              <w:rPr>
                <w:rFonts w:hint="eastAsia" w:ascii="宋体" w:hAnsi="宋体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4"/>
                <w:szCs w:val="24"/>
                <w:highlight w:val="none"/>
              </w:rPr>
              <w:t>问题</w:t>
            </w:r>
            <w:r>
              <w:rPr>
                <w:rFonts w:hint="eastAsia" w:ascii="宋体" w:hAnsi="宋体"/>
                <w:b/>
                <w:bCs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/>
                <w:b/>
                <w:bCs/>
                <w:sz w:val="24"/>
                <w:szCs w:val="24"/>
                <w:highlight w:val="none"/>
              </w:rPr>
              <w:t>:</w:t>
            </w: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公司现有的多款触觉数采手套，分别适配哪些应用场景？选择配置主要考量什么？</w:t>
            </w:r>
          </w:p>
          <w:p w14:paraId="625EF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答：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公司针对不同客户的基础条件与业务需求，设计了三类产品配置，主要服务已有动捕能力的企业、大模型企业、具身训练场及数据服务商等主体。</w:t>
            </w:r>
          </w:p>
          <w:p w14:paraId="70E142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一是纯触觉手套：面向已经部署动捕、姿态采集设备的客户，用于补充缺失的触觉维度，完成现有采集体系的能力升级；</w:t>
            </w:r>
          </w:p>
          <w:p w14:paraId="5F2CD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二是触觉+ IMU位姿手套：可独立完成手部姿态与触觉同步采集，适配需要灵活部署的模型研发团队；</w:t>
            </w:r>
          </w:p>
          <w:p w14:paraId="4DFB3D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三是完整多模态系统：主要面向具身训练场、专业数据服务商，一站式输出视频、位姿、触觉经过时间对齐的全套数据，降低客户后期的数据对齐处理工作量。</w:t>
            </w:r>
          </w:p>
          <w:p w14:paraId="70FA02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客户选型主要结合自身现有硬件基础、部署环境条件以及后续数据处理成本综合判断。</w:t>
            </w:r>
          </w:p>
          <w:p w14:paraId="2B9C45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lang w:val="en-US" w:eastAsia="zh-CN"/>
              </w:rPr>
            </w:pPr>
          </w:p>
          <w:p w14:paraId="28FC0D8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2" w:firstLineChars="200"/>
              <w:jc w:val="both"/>
              <w:textAlignment w:val="auto"/>
              <w:rPr>
                <w:rFonts w:hint="eastAsia" w:ascii="宋体" w:hAnsi="宋体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/>
                <w:b/>
                <w:bCs/>
                <w:sz w:val="24"/>
                <w:szCs w:val="24"/>
                <w:highlight w:val="none"/>
              </w:rPr>
              <w:t>问题</w:t>
            </w:r>
            <w:r>
              <w:rPr>
                <w:rFonts w:hint="eastAsia" w:ascii="宋体" w:hAnsi="宋体"/>
                <w:b/>
                <w:bCs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/>
                <w:b/>
                <w:bCs/>
                <w:sz w:val="24"/>
                <w:szCs w:val="24"/>
                <w:highlight w:val="none"/>
              </w:rPr>
              <w:t>:</w:t>
            </w: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对于大规模的数据采集，怎么实现每只手套间的数据一致性？</w:t>
            </w:r>
          </w:p>
          <w:p w14:paraId="68E57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答：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公司主要从三个维度保障多只手套之间的数据一致性：第一，依托卷对卷涂布产线工艺，保障传感材料批次均匀稳定；第二，配套自研自动化标定设备，每一只手套出厂均会生成独立专属标定文件；第三，配套软件支持现场一键归零校准，进一步消除使用过程带来的系统偏差。</w:t>
            </w:r>
          </w:p>
          <w:p w14:paraId="677262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lang w:val="en-US" w:eastAsia="zh-CN"/>
              </w:rPr>
            </w:pPr>
          </w:p>
          <w:p w14:paraId="55003F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2" w:firstLineChars="200"/>
              <w:jc w:val="both"/>
              <w:textAlignment w:val="auto"/>
              <w:rPr>
                <w:rFonts w:hint="eastAsia" w:ascii="宋体" w:hAnsi="宋体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/>
                <w:b/>
                <w:bCs/>
                <w:sz w:val="24"/>
                <w:szCs w:val="24"/>
                <w:shd w:val="clear" w:color="auto" w:fill="FFFFFF"/>
              </w:rPr>
              <w:t>问题</w:t>
            </w:r>
            <w:r>
              <w:rPr>
                <w:rFonts w:hint="eastAsia" w:ascii="宋体" w:hAnsi="宋体"/>
                <w:b/>
                <w:bCs/>
                <w:sz w:val="24"/>
                <w:szCs w:val="24"/>
                <w:shd w:val="clear" w:color="auto" w:fill="FFFFFF"/>
                <w:lang w:val="en-US" w:eastAsia="zh-CN"/>
              </w:rPr>
              <w:t>5</w:t>
            </w:r>
            <w:r>
              <w:rPr>
                <w:rFonts w:hint="eastAsia" w:ascii="宋体" w:hAnsi="宋体"/>
                <w:b/>
                <w:bCs/>
                <w:sz w:val="24"/>
                <w:szCs w:val="24"/>
                <w:shd w:val="clear" w:color="auto" w:fill="FFFFFF"/>
              </w:rPr>
              <w:t>：</w:t>
            </w: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公司的数采手套产品优势，体现在哪些方面？</w:t>
            </w:r>
          </w:p>
          <w:p w14:paraId="33DBEF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答：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公司触觉数采手套产品核心优势可以概括为数据更准、更一致，系统更完整，主要分为触觉、位姿、系统三个维度：</w:t>
            </w:r>
          </w:p>
          <w:p w14:paraId="464563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第一，触觉层面，数据测得准、一致性强。我们自研传感材料，对压力、剪切力均做标定，信号灵敏低噪；每只手套配备专属标定文件，支持一键归零，感知点位和区域可根据任务需求定制；依托卷对卷产线搭配自研标定设备，具备稳定量产能力。对于需要开展数万小时大规模采集的客户，多设备之间的数据一致性，比单只手套的极限参数性能更为关键。</w:t>
            </w:r>
          </w:p>
          <w:p w14:paraId="6821C2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第二，位姿层面，方案稳定、部署便捷。采用IMU独立测量，不需要外部发射基站，不受发射器工作范围约束，采集空间不受限制；同时整机轻量化，成本可控，便于规模化落地。</w:t>
            </w:r>
          </w:p>
          <w:p w14:paraId="7F5693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第三，系统层面，方案完整、接口开放。产品既可以独立使用，也能够对接第三方手部追踪设备；支持CSV文件导出、TCP实时数据流输出，适配下游不同研发框架，方便客户开展数据处理与模型训练。</w:t>
            </w:r>
          </w:p>
        </w:tc>
      </w:tr>
      <w:tr w14:paraId="5B6A8C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55" w:type="dxa"/>
            <w:vAlign w:val="center"/>
          </w:tcPr>
          <w:p w14:paraId="3AAD239C">
            <w:pPr>
              <w:spacing w:line="360" w:lineRule="auto"/>
              <w:jc w:val="left"/>
              <w:rPr>
                <w:rFonts w:hint="eastAsia" w:ascii="宋体" w:hAnsi="宋体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b/>
                <w:bCs/>
                <w:iCs/>
                <w:sz w:val="24"/>
                <w:szCs w:val="24"/>
              </w:rPr>
              <w:t>附件清单（如有）</w:t>
            </w:r>
          </w:p>
        </w:tc>
        <w:tc>
          <w:tcPr>
            <w:tcW w:w="7258" w:type="dxa"/>
          </w:tcPr>
          <w:p w14:paraId="1F3BFD21">
            <w:pPr>
              <w:spacing w:line="360" w:lineRule="auto"/>
              <w:rPr>
                <w:rFonts w:hint="eastAsia" w:ascii="宋体" w:hAnsi="宋体" w:cs="Times New Roman"/>
                <w:bCs/>
                <w:iCs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bCs/>
                <w:iCs/>
                <w:sz w:val="24"/>
                <w:szCs w:val="24"/>
              </w:rPr>
              <w:t>无</w:t>
            </w:r>
          </w:p>
        </w:tc>
      </w:tr>
      <w:tr w14:paraId="34E81D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55" w:type="dxa"/>
            <w:vAlign w:val="center"/>
          </w:tcPr>
          <w:p w14:paraId="5DDDC60A">
            <w:pPr>
              <w:spacing w:line="360" w:lineRule="auto"/>
              <w:jc w:val="left"/>
              <w:rPr>
                <w:rFonts w:hint="eastAsia" w:ascii="宋体" w:hAnsi="宋体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b/>
                <w:bCs/>
                <w:iCs/>
                <w:sz w:val="24"/>
                <w:szCs w:val="24"/>
              </w:rPr>
              <w:t>日期</w:t>
            </w:r>
          </w:p>
        </w:tc>
        <w:tc>
          <w:tcPr>
            <w:tcW w:w="7258" w:type="dxa"/>
          </w:tcPr>
          <w:p w14:paraId="477BE493">
            <w:pPr>
              <w:spacing w:line="360" w:lineRule="auto"/>
              <w:rPr>
                <w:rFonts w:hint="eastAsia" w:ascii="宋体" w:hAnsi="宋体" w:cs="Times New Roman"/>
                <w:bCs/>
                <w:iCs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</w:rPr>
              <w:t>2026年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11</w:t>
            </w:r>
            <w:r>
              <w:rPr>
                <w:rFonts w:hint="eastAsia" w:ascii="宋体" w:hAnsi="宋体"/>
                <w:sz w:val="24"/>
              </w:rPr>
              <w:t>月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03日</w:t>
            </w:r>
          </w:p>
        </w:tc>
      </w:tr>
    </w:tbl>
    <w:p w14:paraId="739450A3">
      <w:pPr>
        <w:rPr>
          <w:rFonts w:hint="eastAsia" w:ascii="宋体" w:hAnsi="宋体" w:cs="Times New Roman"/>
          <w:bCs/>
          <w:iCs/>
          <w:sz w:val="24"/>
          <w:szCs w:val="24"/>
        </w:rPr>
      </w:pPr>
    </w:p>
    <w:sectPr>
      <w:footerReference r:id="rId3" w:type="default"/>
      <w:pgSz w:w="11906" w:h="16838"/>
      <w:pgMar w:top="1423" w:right="1797" w:bottom="1423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1D3684">
    <w:pPr>
      <w:pStyle w:val="6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 xml:space="preserve">PAGE   \* MERGEFORMAT</w:instrText>
    </w:r>
    <w:r>
      <w:rPr>
        <w:rFonts w:ascii="Times New Roman" w:hAnsi="Times New Roman" w:cs="Times New Roman"/>
      </w:rPr>
      <w:fldChar w:fldCharType="separate"/>
    </w:r>
    <w:r>
      <w:rPr>
        <w:rFonts w:ascii="Times New Roman" w:hAnsi="Times New Roman" w:cs="Times New Roman"/>
        <w:lang w:val="zh-CN"/>
      </w:rPr>
      <w:t>5</w:t>
    </w:r>
    <w:r>
      <w:rPr>
        <w:rFonts w:ascii="Times New Roman" w:hAnsi="Times New Roman" w:cs="Times New Roman"/>
      </w:rPr>
      <w:fldChar w:fldCharType="end"/>
    </w:r>
  </w:p>
  <w:p w14:paraId="44C14C28">
    <w:pPr>
      <w:pStyle w:val="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RkMzAwMzhhZDYyNTY3OTUxNjEwODFlNjI5MjZiN2EifQ=="/>
    <w:docVar w:name="KSO_WPS_MARK_KEY" w:val="a3834838-84a0-4bf6-b69f-5593973aeb9b"/>
  </w:docVars>
  <w:rsids>
    <w:rsidRoot w:val="00B94C50"/>
    <w:rsid w:val="00003748"/>
    <w:rsid w:val="0001008A"/>
    <w:rsid w:val="00011A35"/>
    <w:rsid w:val="00012CDE"/>
    <w:rsid w:val="00036C4A"/>
    <w:rsid w:val="00041F2D"/>
    <w:rsid w:val="00053FE2"/>
    <w:rsid w:val="00055095"/>
    <w:rsid w:val="00066D8C"/>
    <w:rsid w:val="00072A65"/>
    <w:rsid w:val="00077E56"/>
    <w:rsid w:val="00081ECA"/>
    <w:rsid w:val="000876A5"/>
    <w:rsid w:val="00093543"/>
    <w:rsid w:val="00097F1A"/>
    <w:rsid w:val="000A21E9"/>
    <w:rsid w:val="000A5C1D"/>
    <w:rsid w:val="000E3873"/>
    <w:rsid w:val="000F18CD"/>
    <w:rsid w:val="000F2B33"/>
    <w:rsid w:val="001027EC"/>
    <w:rsid w:val="00110519"/>
    <w:rsid w:val="001155CE"/>
    <w:rsid w:val="001262CD"/>
    <w:rsid w:val="00133492"/>
    <w:rsid w:val="00135C30"/>
    <w:rsid w:val="0015063C"/>
    <w:rsid w:val="00152466"/>
    <w:rsid w:val="001650B3"/>
    <w:rsid w:val="001932D3"/>
    <w:rsid w:val="00194DD7"/>
    <w:rsid w:val="001B226E"/>
    <w:rsid w:val="001B723D"/>
    <w:rsid w:val="001C25B7"/>
    <w:rsid w:val="001C3439"/>
    <w:rsid w:val="001D51C8"/>
    <w:rsid w:val="001E3615"/>
    <w:rsid w:val="001E785A"/>
    <w:rsid w:val="001F483F"/>
    <w:rsid w:val="00210EF3"/>
    <w:rsid w:val="00211462"/>
    <w:rsid w:val="00223643"/>
    <w:rsid w:val="0022572C"/>
    <w:rsid w:val="002262EF"/>
    <w:rsid w:val="00236703"/>
    <w:rsid w:val="00257959"/>
    <w:rsid w:val="00260367"/>
    <w:rsid w:val="00264D8F"/>
    <w:rsid w:val="002749EB"/>
    <w:rsid w:val="0029143C"/>
    <w:rsid w:val="00296348"/>
    <w:rsid w:val="002966A7"/>
    <w:rsid w:val="002967BA"/>
    <w:rsid w:val="002A190A"/>
    <w:rsid w:val="002A304B"/>
    <w:rsid w:val="002A4005"/>
    <w:rsid w:val="002B6F54"/>
    <w:rsid w:val="002C76A1"/>
    <w:rsid w:val="002D2021"/>
    <w:rsid w:val="002E0686"/>
    <w:rsid w:val="002E7286"/>
    <w:rsid w:val="002E77CF"/>
    <w:rsid w:val="002F4770"/>
    <w:rsid w:val="00303CC6"/>
    <w:rsid w:val="00303CCD"/>
    <w:rsid w:val="0031181B"/>
    <w:rsid w:val="00313E36"/>
    <w:rsid w:val="00313FDF"/>
    <w:rsid w:val="003170A5"/>
    <w:rsid w:val="00331410"/>
    <w:rsid w:val="00342698"/>
    <w:rsid w:val="003624C5"/>
    <w:rsid w:val="00367347"/>
    <w:rsid w:val="00381804"/>
    <w:rsid w:val="003830BB"/>
    <w:rsid w:val="0038451C"/>
    <w:rsid w:val="00391CED"/>
    <w:rsid w:val="003A3053"/>
    <w:rsid w:val="003A4281"/>
    <w:rsid w:val="003B147C"/>
    <w:rsid w:val="003B64D5"/>
    <w:rsid w:val="003C624C"/>
    <w:rsid w:val="003D5E84"/>
    <w:rsid w:val="003F079D"/>
    <w:rsid w:val="00405713"/>
    <w:rsid w:val="00410009"/>
    <w:rsid w:val="00444385"/>
    <w:rsid w:val="00450E98"/>
    <w:rsid w:val="00452D25"/>
    <w:rsid w:val="00470A66"/>
    <w:rsid w:val="00471EF8"/>
    <w:rsid w:val="00480B17"/>
    <w:rsid w:val="004872DA"/>
    <w:rsid w:val="00495CD1"/>
    <w:rsid w:val="004B2FE2"/>
    <w:rsid w:val="004B7BB2"/>
    <w:rsid w:val="004E066D"/>
    <w:rsid w:val="00513934"/>
    <w:rsid w:val="005232AF"/>
    <w:rsid w:val="00531F67"/>
    <w:rsid w:val="00536D2D"/>
    <w:rsid w:val="00550E69"/>
    <w:rsid w:val="00552152"/>
    <w:rsid w:val="00570D0D"/>
    <w:rsid w:val="00571B62"/>
    <w:rsid w:val="005A058C"/>
    <w:rsid w:val="005A1A68"/>
    <w:rsid w:val="005A6F19"/>
    <w:rsid w:val="005B485C"/>
    <w:rsid w:val="005B7E57"/>
    <w:rsid w:val="005D0541"/>
    <w:rsid w:val="005D0BFA"/>
    <w:rsid w:val="005E0EAD"/>
    <w:rsid w:val="005E1EC7"/>
    <w:rsid w:val="005E5E91"/>
    <w:rsid w:val="005F6276"/>
    <w:rsid w:val="00603FAB"/>
    <w:rsid w:val="00623FB8"/>
    <w:rsid w:val="006250F6"/>
    <w:rsid w:val="00627306"/>
    <w:rsid w:val="00631E88"/>
    <w:rsid w:val="00641283"/>
    <w:rsid w:val="00652BE2"/>
    <w:rsid w:val="006552AA"/>
    <w:rsid w:val="00683F46"/>
    <w:rsid w:val="00691EAA"/>
    <w:rsid w:val="006B56B9"/>
    <w:rsid w:val="006D1272"/>
    <w:rsid w:val="00707369"/>
    <w:rsid w:val="007331A8"/>
    <w:rsid w:val="007351A7"/>
    <w:rsid w:val="00740827"/>
    <w:rsid w:val="0074154F"/>
    <w:rsid w:val="0076184D"/>
    <w:rsid w:val="00794D10"/>
    <w:rsid w:val="0079774C"/>
    <w:rsid w:val="00797DF6"/>
    <w:rsid w:val="007A24B2"/>
    <w:rsid w:val="007A46C4"/>
    <w:rsid w:val="007A6470"/>
    <w:rsid w:val="007B3E5C"/>
    <w:rsid w:val="007C1647"/>
    <w:rsid w:val="007C1AF9"/>
    <w:rsid w:val="007C29A9"/>
    <w:rsid w:val="007D38C7"/>
    <w:rsid w:val="007E2F10"/>
    <w:rsid w:val="007F4F77"/>
    <w:rsid w:val="00810A63"/>
    <w:rsid w:val="00821EF1"/>
    <w:rsid w:val="00823548"/>
    <w:rsid w:val="00863CF2"/>
    <w:rsid w:val="00864348"/>
    <w:rsid w:val="008714C9"/>
    <w:rsid w:val="00882563"/>
    <w:rsid w:val="00883806"/>
    <w:rsid w:val="0089482B"/>
    <w:rsid w:val="008C1FCD"/>
    <w:rsid w:val="008D4393"/>
    <w:rsid w:val="008D46FC"/>
    <w:rsid w:val="008D4D59"/>
    <w:rsid w:val="008D54A7"/>
    <w:rsid w:val="008D57F5"/>
    <w:rsid w:val="008D65B6"/>
    <w:rsid w:val="008E10C6"/>
    <w:rsid w:val="008E1FBC"/>
    <w:rsid w:val="008F04C1"/>
    <w:rsid w:val="008F7CAC"/>
    <w:rsid w:val="008F7D92"/>
    <w:rsid w:val="0090427B"/>
    <w:rsid w:val="009102EE"/>
    <w:rsid w:val="00922BB9"/>
    <w:rsid w:val="00924B6A"/>
    <w:rsid w:val="009275E0"/>
    <w:rsid w:val="0093064C"/>
    <w:rsid w:val="00936887"/>
    <w:rsid w:val="00955AA1"/>
    <w:rsid w:val="00960FDD"/>
    <w:rsid w:val="00963DB3"/>
    <w:rsid w:val="00966EC4"/>
    <w:rsid w:val="00975426"/>
    <w:rsid w:val="00976C58"/>
    <w:rsid w:val="00977B1E"/>
    <w:rsid w:val="00982F95"/>
    <w:rsid w:val="0098657E"/>
    <w:rsid w:val="00991702"/>
    <w:rsid w:val="00993BBB"/>
    <w:rsid w:val="009A1AAC"/>
    <w:rsid w:val="009C3C32"/>
    <w:rsid w:val="009E4C7E"/>
    <w:rsid w:val="009F1591"/>
    <w:rsid w:val="009F2F1E"/>
    <w:rsid w:val="00A02EED"/>
    <w:rsid w:val="00A141CB"/>
    <w:rsid w:val="00A174A3"/>
    <w:rsid w:val="00A3359D"/>
    <w:rsid w:val="00A4039C"/>
    <w:rsid w:val="00A40990"/>
    <w:rsid w:val="00A60456"/>
    <w:rsid w:val="00A647D6"/>
    <w:rsid w:val="00A71746"/>
    <w:rsid w:val="00A72139"/>
    <w:rsid w:val="00A72F96"/>
    <w:rsid w:val="00A73927"/>
    <w:rsid w:val="00A73BC9"/>
    <w:rsid w:val="00A759E6"/>
    <w:rsid w:val="00A83E12"/>
    <w:rsid w:val="00A9065C"/>
    <w:rsid w:val="00A9202F"/>
    <w:rsid w:val="00A9477C"/>
    <w:rsid w:val="00A97D40"/>
    <w:rsid w:val="00AA3AE9"/>
    <w:rsid w:val="00AA471B"/>
    <w:rsid w:val="00AA5FDC"/>
    <w:rsid w:val="00AC284C"/>
    <w:rsid w:val="00AE58C7"/>
    <w:rsid w:val="00B17990"/>
    <w:rsid w:val="00B42E27"/>
    <w:rsid w:val="00B509FA"/>
    <w:rsid w:val="00B607A5"/>
    <w:rsid w:val="00B65A08"/>
    <w:rsid w:val="00B73F72"/>
    <w:rsid w:val="00B94C50"/>
    <w:rsid w:val="00BA65BA"/>
    <w:rsid w:val="00BB0166"/>
    <w:rsid w:val="00BB61DA"/>
    <w:rsid w:val="00BC4B0B"/>
    <w:rsid w:val="00BD3C0D"/>
    <w:rsid w:val="00BD7A3D"/>
    <w:rsid w:val="00BF3DBF"/>
    <w:rsid w:val="00C2004A"/>
    <w:rsid w:val="00C35F09"/>
    <w:rsid w:val="00C45567"/>
    <w:rsid w:val="00C46E27"/>
    <w:rsid w:val="00C50989"/>
    <w:rsid w:val="00C517FD"/>
    <w:rsid w:val="00C74AAE"/>
    <w:rsid w:val="00C8255E"/>
    <w:rsid w:val="00C9091C"/>
    <w:rsid w:val="00CA1F01"/>
    <w:rsid w:val="00CA7B61"/>
    <w:rsid w:val="00CC4AB9"/>
    <w:rsid w:val="00CC783F"/>
    <w:rsid w:val="00CD36E1"/>
    <w:rsid w:val="00CD79DA"/>
    <w:rsid w:val="00CE08DF"/>
    <w:rsid w:val="00CE55C1"/>
    <w:rsid w:val="00D161EF"/>
    <w:rsid w:val="00D31AE6"/>
    <w:rsid w:val="00D33AA9"/>
    <w:rsid w:val="00D3622A"/>
    <w:rsid w:val="00D41DEE"/>
    <w:rsid w:val="00D4479B"/>
    <w:rsid w:val="00D4484D"/>
    <w:rsid w:val="00D628FD"/>
    <w:rsid w:val="00D64015"/>
    <w:rsid w:val="00D64311"/>
    <w:rsid w:val="00D64ED9"/>
    <w:rsid w:val="00D810B1"/>
    <w:rsid w:val="00D83847"/>
    <w:rsid w:val="00D8532D"/>
    <w:rsid w:val="00DC35D0"/>
    <w:rsid w:val="00DC6C67"/>
    <w:rsid w:val="00DE668C"/>
    <w:rsid w:val="00DE6A16"/>
    <w:rsid w:val="00DF18B7"/>
    <w:rsid w:val="00E00BF7"/>
    <w:rsid w:val="00E01542"/>
    <w:rsid w:val="00E16FD5"/>
    <w:rsid w:val="00E236DD"/>
    <w:rsid w:val="00E559A2"/>
    <w:rsid w:val="00E6169F"/>
    <w:rsid w:val="00E62792"/>
    <w:rsid w:val="00E71446"/>
    <w:rsid w:val="00E72D28"/>
    <w:rsid w:val="00EE7642"/>
    <w:rsid w:val="00EF1FD5"/>
    <w:rsid w:val="00F0408B"/>
    <w:rsid w:val="00F057E9"/>
    <w:rsid w:val="00F14C92"/>
    <w:rsid w:val="00F1676A"/>
    <w:rsid w:val="00F16DD6"/>
    <w:rsid w:val="00F24524"/>
    <w:rsid w:val="00F3509A"/>
    <w:rsid w:val="00F469EE"/>
    <w:rsid w:val="00F5164C"/>
    <w:rsid w:val="00F56FC3"/>
    <w:rsid w:val="00F614D1"/>
    <w:rsid w:val="00F838D5"/>
    <w:rsid w:val="00F9730F"/>
    <w:rsid w:val="00F97689"/>
    <w:rsid w:val="00FB523C"/>
    <w:rsid w:val="00FC7F15"/>
    <w:rsid w:val="00FD0592"/>
    <w:rsid w:val="00FD437A"/>
    <w:rsid w:val="00FE6AE3"/>
    <w:rsid w:val="01066A48"/>
    <w:rsid w:val="02117D9A"/>
    <w:rsid w:val="02527DA9"/>
    <w:rsid w:val="02CD7EE2"/>
    <w:rsid w:val="03081801"/>
    <w:rsid w:val="03113F7F"/>
    <w:rsid w:val="03744E62"/>
    <w:rsid w:val="03F400FF"/>
    <w:rsid w:val="044D5B72"/>
    <w:rsid w:val="05613AD2"/>
    <w:rsid w:val="05AA7D89"/>
    <w:rsid w:val="05E03D0C"/>
    <w:rsid w:val="0669325F"/>
    <w:rsid w:val="06ED43D6"/>
    <w:rsid w:val="07E40CF7"/>
    <w:rsid w:val="0A0330D1"/>
    <w:rsid w:val="0A147F4C"/>
    <w:rsid w:val="0A9E3E01"/>
    <w:rsid w:val="0B257148"/>
    <w:rsid w:val="0C5D43D5"/>
    <w:rsid w:val="0D556D8D"/>
    <w:rsid w:val="0DA07645"/>
    <w:rsid w:val="0DA91EF6"/>
    <w:rsid w:val="0DEF71E2"/>
    <w:rsid w:val="10A41E19"/>
    <w:rsid w:val="10B97633"/>
    <w:rsid w:val="10DC5535"/>
    <w:rsid w:val="11466EEB"/>
    <w:rsid w:val="124D4798"/>
    <w:rsid w:val="126B1215"/>
    <w:rsid w:val="126B3346"/>
    <w:rsid w:val="12A372EC"/>
    <w:rsid w:val="12B01E3A"/>
    <w:rsid w:val="13117313"/>
    <w:rsid w:val="13294F44"/>
    <w:rsid w:val="14706840"/>
    <w:rsid w:val="14944D78"/>
    <w:rsid w:val="14A70815"/>
    <w:rsid w:val="15873613"/>
    <w:rsid w:val="15B825AF"/>
    <w:rsid w:val="15BB3E4D"/>
    <w:rsid w:val="161F618A"/>
    <w:rsid w:val="169A5732"/>
    <w:rsid w:val="17F00434"/>
    <w:rsid w:val="18F07A15"/>
    <w:rsid w:val="18F457BB"/>
    <w:rsid w:val="193E2DCB"/>
    <w:rsid w:val="197D37E5"/>
    <w:rsid w:val="1A197394"/>
    <w:rsid w:val="1AE259D8"/>
    <w:rsid w:val="1C5E4EFC"/>
    <w:rsid w:val="1C8C4A6C"/>
    <w:rsid w:val="1E164317"/>
    <w:rsid w:val="1E1D01DB"/>
    <w:rsid w:val="1EF67432"/>
    <w:rsid w:val="1F1351E9"/>
    <w:rsid w:val="1FF666E7"/>
    <w:rsid w:val="20B342AC"/>
    <w:rsid w:val="20E97AC1"/>
    <w:rsid w:val="21115269"/>
    <w:rsid w:val="228F4698"/>
    <w:rsid w:val="22B67F62"/>
    <w:rsid w:val="22F61C41"/>
    <w:rsid w:val="24077A99"/>
    <w:rsid w:val="24B0459D"/>
    <w:rsid w:val="25F9650B"/>
    <w:rsid w:val="263F0183"/>
    <w:rsid w:val="27156A7C"/>
    <w:rsid w:val="27602DE7"/>
    <w:rsid w:val="27781B9E"/>
    <w:rsid w:val="27D422BB"/>
    <w:rsid w:val="28F2481C"/>
    <w:rsid w:val="29813E2D"/>
    <w:rsid w:val="2A261CBC"/>
    <w:rsid w:val="2A497822"/>
    <w:rsid w:val="2A7412A2"/>
    <w:rsid w:val="2A90243D"/>
    <w:rsid w:val="2B067F68"/>
    <w:rsid w:val="2B283656"/>
    <w:rsid w:val="2B4D14A4"/>
    <w:rsid w:val="2C5854C5"/>
    <w:rsid w:val="2C6A3498"/>
    <w:rsid w:val="2CE92A50"/>
    <w:rsid w:val="2D284BB4"/>
    <w:rsid w:val="2D407F4C"/>
    <w:rsid w:val="2D55028C"/>
    <w:rsid w:val="2F026159"/>
    <w:rsid w:val="2F49728F"/>
    <w:rsid w:val="30793384"/>
    <w:rsid w:val="30EA2FB7"/>
    <w:rsid w:val="336E7556"/>
    <w:rsid w:val="33B522B9"/>
    <w:rsid w:val="33D82DC4"/>
    <w:rsid w:val="35A973C7"/>
    <w:rsid w:val="35BD40AB"/>
    <w:rsid w:val="35F37727"/>
    <w:rsid w:val="36F741C0"/>
    <w:rsid w:val="377C3728"/>
    <w:rsid w:val="37CD3A20"/>
    <w:rsid w:val="37F406F2"/>
    <w:rsid w:val="38ED6BF3"/>
    <w:rsid w:val="391021AE"/>
    <w:rsid w:val="394109C9"/>
    <w:rsid w:val="3AF107ED"/>
    <w:rsid w:val="3B7F1712"/>
    <w:rsid w:val="3C454A78"/>
    <w:rsid w:val="3CE82ECA"/>
    <w:rsid w:val="3E831D97"/>
    <w:rsid w:val="3EC7747B"/>
    <w:rsid w:val="3F5B7E6D"/>
    <w:rsid w:val="3FDE0FDB"/>
    <w:rsid w:val="3FFD3AD5"/>
    <w:rsid w:val="40FB736C"/>
    <w:rsid w:val="414A30E4"/>
    <w:rsid w:val="41856FE0"/>
    <w:rsid w:val="418C3EED"/>
    <w:rsid w:val="419D38A3"/>
    <w:rsid w:val="427F7E2D"/>
    <w:rsid w:val="42A46591"/>
    <w:rsid w:val="430F7403"/>
    <w:rsid w:val="442D7B2C"/>
    <w:rsid w:val="4475773A"/>
    <w:rsid w:val="45655C72"/>
    <w:rsid w:val="45B6056B"/>
    <w:rsid w:val="45B83507"/>
    <w:rsid w:val="46001285"/>
    <w:rsid w:val="471F2091"/>
    <w:rsid w:val="478671A1"/>
    <w:rsid w:val="47DE6468"/>
    <w:rsid w:val="48522F43"/>
    <w:rsid w:val="485D30D5"/>
    <w:rsid w:val="49355CE9"/>
    <w:rsid w:val="4A7F112E"/>
    <w:rsid w:val="4AE01D69"/>
    <w:rsid w:val="4AE478DC"/>
    <w:rsid w:val="4B816D98"/>
    <w:rsid w:val="4C5A6380"/>
    <w:rsid w:val="4C656CEA"/>
    <w:rsid w:val="4E121B55"/>
    <w:rsid w:val="4E667237"/>
    <w:rsid w:val="4EB8126E"/>
    <w:rsid w:val="4FC730A4"/>
    <w:rsid w:val="4FE92D8A"/>
    <w:rsid w:val="51C12E42"/>
    <w:rsid w:val="51D00DCA"/>
    <w:rsid w:val="51DD18E7"/>
    <w:rsid w:val="5290036C"/>
    <w:rsid w:val="52D64D59"/>
    <w:rsid w:val="53A15CF2"/>
    <w:rsid w:val="540A2677"/>
    <w:rsid w:val="547B1529"/>
    <w:rsid w:val="54891BE5"/>
    <w:rsid w:val="553F7A1A"/>
    <w:rsid w:val="557B7D23"/>
    <w:rsid w:val="572E731B"/>
    <w:rsid w:val="57633422"/>
    <w:rsid w:val="57AD25FE"/>
    <w:rsid w:val="57CB25AC"/>
    <w:rsid w:val="57E3340C"/>
    <w:rsid w:val="59864E85"/>
    <w:rsid w:val="59C16CF2"/>
    <w:rsid w:val="59DC0F38"/>
    <w:rsid w:val="59E85337"/>
    <w:rsid w:val="59F367F2"/>
    <w:rsid w:val="5A5B1025"/>
    <w:rsid w:val="5AED2C74"/>
    <w:rsid w:val="5BE52173"/>
    <w:rsid w:val="5BF92507"/>
    <w:rsid w:val="5C201D8F"/>
    <w:rsid w:val="5CDF3149"/>
    <w:rsid w:val="5D913274"/>
    <w:rsid w:val="5DB03139"/>
    <w:rsid w:val="5F246AEA"/>
    <w:rsid w:val="5F92546E"/>
    <w:rsid w:val="5F964DD5"/>
    <w:rsid w:val="60CD53C0"/>
    <w:rsid w:val="60D13EB1"/>
    <w:rsid w:val="61AB0FA1"/>
    <w:rsid w:val="61C6707F"/>
    <w:rsid w:val="61FD7E58"/>
    <w:rsid w:val="62A23B09"/>
    <w:rsid w:val="62E35A7A"/>
    <w:rsid w:val="637C0150"/>
    <w:rsid w:val="642F69A3"/>
    <w:rsid w:val="64D85196"/>
    <w:rsid w:val="64F7097A"/>
    <w:rsid w:val="652E32C1"/>
    <w:rsid w:val="658642F0"/>
    <w:rsid w:val="65E35C92"/>
    <w:rsid w:val="67171665"/>
    <w:rsid w:val="67464C22"/>
    <w:rsid w:val="678E5BEE"/>
    <w:rsid w:val="681304D3"/>
    <w:rsid w:val="68B47A96"/>
    <w:rsid w:val="68F06F2B"/>
    <w:rsid w:val="691409AD"/>
    <w:rsid w:val="69166546"/>
    <w:rsid w:val="69392234"/>
    <w:rsid w:val="696E20F2"/>
    <w:rsid w:val="69AB4EB6"/>
    <w:rsid w:val="69C84162"/>
    <w:rsid w:val="6A12053A"/>
    <w:rsid w:val="6A1B1B6D"/>
    <w:rsid w:val="6A7F45BF"/>
    <w:rsid w:val="6A9D2C3C"/>
    <w:rsid w:val="6AA046FB"/>
    <w:rsid w:val="6C3A04AE"/>
    <w:rsid w:val="6C77379F"/>
    <w:rsid w:val="6D782168"/>
    <w:rsid w:val="6D7D6E05"/>
    <w:rsid w:val="6DA1788F"/>
    <w:rsid w:val="6E0C3048"/>
    <w:rsid w:val="6E547872"/>
    <w:rsid w:val="6E9C6399"/>
    <w:rsid w:val="6F1E43A6"/>
    <w:rsid w:val="6F640099"/>
    <w:rsid w:val="6F71097A"/>
    <w:rsid w:val="6F7D77C0"/>
    <w:rsid w:val="700D20BB"/>
    <w:rsid w:val="709A5CAE"/>
    <w:rsid w:val="70AE3508"/>
    <w:rsid w:val="71296F3C"/>
    <w:rsid w:val="72B56DCF"/>
    <w:rsid w:val="72B96B80"/>
    <w:rsid w:val="72DA4239"/>
    <w:rsid w:val="734621EC"/>
    <w:rsid w:val="73910668"/>
    <w:rsid w:val="73D21A17"/>
    <w:rsid w:val="74F146EB"/>
    <w:rsid w:val="75192C18"/>
    <w:rsid w:val="757D333A"/>
    <w:rsid w:val="7588638B"/>
    <w:rsid w:val="75DE19E6"/>
    <w:rsid w:val="763E4DD3"/>
    <w:rsid w:val="769B5C41"/>
    <w:rsid w:val="76C15D6B"/>
    <w:rsid w:val="76DA5E99"/>
    <w:rsid w:val="76F15606"/>
    <w:rsid w:val="77707E41"/>
    <w:rsid w:val="787968F6"/>
    <w:rsid w:val="79AA7F60"/>
    <w:rsid w:val="79FC1788"/>
    <w:rsid w:val="7AB3178D"/>
    <w:rsid w:val="7AC7547F"/>
    <w:rsid w:val="7B4B5354"/>
    <w:rsid w:val="7B922FC1"/>
    <w:rsid w:val="7C305719"/>
    <w:rsid w:val="7C653614"/>
    <w:rsid w:val="7D4742F4"/>
    <w:rsid w:val="7D6D1CA6"/>
    <w:rsid w:val="7DD61194"/>
    <w:rsid w:val="7DE71E07"/>
    <w:rsid w:val="7DF7797A"/>
    <w:rsid w:val="7E2F4237"/>
    <w:rsid w:val="7F792F33"/>
    <w:rsid w:val="7FE20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99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17"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3">
    <w:name w:val="Default Paragraph Font"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8"/>
    <w:qFormat/>
    <w:uiPriority w:val="99"/>
    <w:pPr>
      <w:jc w:val="left"/>
    </w:pPr>
  </w:style>
  <w:style w:type="paragraph" w:styleId="4">
    <w:name w:val="Body Text"/>
    <w:basedOn w:val="1"/>
    <w:link w:val="19"/>
    <w:qFormat/>
    <w:uiPriority w:val="99"/>
    <w:pPr>
      <w:widowControl/>
      <w:spacing w:after="120" w:line="276" w:lineRule="auto"/>
      <w:jc w:val="left"/>
    </w:pPr>
    <w:rPr>
      <w:rFonts w:ascii="宋体" w:hAnsi="宋体"/>
      <w:kern w:val="0"/>
      <w:sz w:val="22"/>
      <w:lang w:eastAsia="en-US"/>
    </w:rPr>
  </w:style>
  <w:style w:type="paragraph" w:styleId="5">
    <w:name w:val="Balloon Text"/>
    <w:basedOn w:val="1"/>
    <w:link w:val="20"/>
    <w:qFormat/>
    <w:uiPriority w:val="99"/>
    <w:rPr>
      <w:sz w:val="18"/>
      <w:szCs w:val="18"/>
    </w:rPr>
  </w:style>
  <w:style w:type="paragraph" w:styleId="6">
    <w:name w:val="footer"/>
    <w:basedOn w:val="1"/>
    <w:link w:val="2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HTML Preformatted"/>
    <w:basedOn w:val="1"/>
    <w:link w:val="23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cs="Times New Roman"/>
      <w:kern w:val="0"/>
      <w:sz w:val="24"/>
      <w:szCs w:val="24"/>
    </w:rPr>
  </w:style>
  <w:style w:type="paragraph" w:styleId="9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10">
    <w:name w:val="annotation subject"/>
    <w:basedOn w:val="3"/>
    <w:next w:val="3"/>
    <w:link w:val="24"/>
    <w:qFormat/>
    <w:uiPriority w:val="99"/>
    <w:rPr>
      <w:b/>
      <w:bCs/>
    </w:rPr>
  </w:style>
  <w:style w:type="table" w:styleId="12">
    <w:name w:val="Table Grid"/>
    <w:basedOn w:val="11"/>
    <w:qFormat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4">
    <w:name w:val="Strong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563C1"/>
      <w:u w:val="single"/>
    </w:rPr>
  </w:style>
  <w:style w:type="character" w:styleId="16">
    <w:name w:val="annotation reference"/>
    <w:qFormat/>
    <w:uiPriority w:val="99"/>
    <w:rPr>
      <w:sz w:val="21"/>
      <w:szCs w:val="21"/>
    </w:rPr>
  </w:style>
  <w:style w:type="character" w:customStyle="1" w:styleId="17">
    <w:name w:val="标题 3 字符"/>
    <w:link w:val="2"/>
    <w:qFormat/>
    <w:uiPriority w:val="9"/>
    <w:rPr>
      <w:b/>
      <w:bCs/>
      <w:kern w:val="2"/>
      <w:sz w:val="32"/>
      <w:szCs w:val="32"/>
    </w:rPr>
  </w:style>
  <w:style w:type="character" w:customStyle="1" w:styleId="18">
    <w:name w:val="批注文字 字符"/>
    <w:link w:val="3"/>
    <w:qFormat/>
    <w:uiPriority w:val="99"/>
    <w:rPr>
      <w:kern w:val="2"/>
      <w:sz w:val="21"/>
      <w:szCs w:val="22"/>
    </w:rPr>
  </w:style>
  <w:style w:type="character" w:customStyle="1" w:styleId="19">
    <w:name w:val="正文文本 字符"/>
    <w:link w:val="4"/>
    <w:qFormat/>
    <w:uiPriority w:val="99"/>
    <w:rPr>
      <w:rFonts w:ascii="宋体" w:hAnsi="宋体" w:eastAsia="宋体"/>
      <w:sz w:val="22"/>
      <w:szCs w:val="22"/>
      <w:lang w:eastAsia="en-US"/>
    </w:rPr>
  </w:style>
  <w:style w:type="character" w:customStyle="1" w:styleId="20">
    <w:name w:val="批注框文本 字符"/>
    <w:link w:val="5"/>
    <w:qFormat/>
    <w:uiPriority w:val="99"/>
    <w:rPr>
      <w:kern w:val="2"/>
      <w:sz w:val="18"/>
      <w:szCs w:val="18"/>
    </w:rPr>
  </w:style>
  <w:style w:type="character" w:customStyle="1" w:styleId="21">
    <w:name w:val="页脚 字符"/>
    <w:link w:val="6"/>
    <w:qFormat/>
    <w:uiPriority w:val="99"/>
    <w:rPr>
      <w:kern w:val="2"/>
      <w:sz w:val="18"/>
      <w:szCs w:val="18"/>
    </w:rPr>
  </w:style>
  <w:style w:type="character" w:customStyle="1" w:styleId="22">
    <w:name w:val="页眉 字符"/>
    <w:link w:val="7"/>
    <w:qFormat/>
    <w:uiPriority w:val="99"/>
    <w:rPr>
      <w:kern w:val="2"/>
      <w:sz w:val="18"/>
      <w:szCs w:val="18"/>
    </w:rPr>
  </w:style>
  <w:style w:type="character" w:customStyle="1" w:styleId="23">
    <w:name w:val="HTML 预设格式 字符"/>
    <w:link w:val="8"/>
    <w:qFormat/>
    <w:uiPriority w:val="0"/>
    <w:rPr>
      <w:rFonts w:ascii="宋体" w:hAnsi="宋体" w:eastAsia="宋体" w:cs="Times New Roman"/>
      <w:sz w:val="24"/>
      <w:szCs w:val="24"/>
    </w:rPr>
  </w:style>
  <w:style w:type="character" w:customStyle="1" w:styleId="24">
    <w:name w:val="批注主题 字符"/>
    <w:link w:val="10"/>
    <w:qFormat/>
    <w:uiPriority w:val="99"/>
    <w:rPr>
      <w:b/>
      <w:bCs/>
      <w:kern w:val="2"/>
      <w:sz w:val="21"/>
      <w:szCs w:val="22"/>
    </w:rPr>
  </w:style>
  <w:style w:type="paragraph" w:styleId="25">
    <w:name w:val="List Paragraph"/>
    <w:basedOn w:val="1"/>
    <w:qFormat/>
    <w:uiPriority w:val="99"/>
    <w:pPr>
      <w:ind w:firstLine="420" w:firstLineChars="200"/>
    </w:pPr>
  </w:style>
  <w:style w:type="paragraph" w:customStyle="1" w:styleId="26">
    <w:name w:val="Table Paragraph"/>
    <w:basedOn w:val="1"/>
    <w:qFormat/>
    <w:uiPriority w:val="1"/>
    <w:pPr>
      <w:autoSpaceDE w:val="0"/>
      <w:autoSpaceDN w:val="0"/>
      <w:jc w:val="left"/>
    </w:pPr>
    <w:rPr>
      <w:rFonts w:ascii="仿宋" w:hAnsi="仿宋" w:eastAsia="仿宋" w:cs="仿宋"/>
      <w:kern w:val="0"/>
      <w:sz w:val="22"/>
      <w:lang w:val="zh-CN" w:bidi="zh-CN"/>
    </w:rPr>
  </w:style>
  <w:style w:type="paragraph" w:customStyle="1" w:styleId="27">
    <w:name w:val="修订1"/>
    <w:qFormat/>
    <w:uiPriority w:val="99"/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customStyle="1" w:styleId="28">
    <w:name w:val="未处理的提及1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29">
    <w:name w:val="修订2"/>
    <w:hidden/>
    <w:unhideWhenUsed/>
    <w:qFormat/>
    <w:uiPriority w:val="99"/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paragraph" w:customStyle="1" w:styleId="30">
    <w:name w:val="修订3"/>
    <w:hidden/>
    <w:unhideWhenUsed/>
    <w:qFormat/>
    <w:uiPriority w:val="99"/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paragraph" w:customStyle="1" w:styleId="31">
    <w:name w:val="Revision"/>
    <w:hidden/>
    <w:unhideWhenUsed/>
    <w:qFormat/>
    <w:uiPriority w:val="99"/>
    <w:rPr>
      <w:rFonts w:ascii="Calibri" w:hAnsi="Calibri" w:eastAsia="宋体" w:cs="宋体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2202</Words>
  <Characters>2238</Characters>
  <Lines>56</Lines>
  <Paragraphs>48</Paragraphs>
  <TotalTime>4</TotalTime>
  <ScaleCrop>false</ScaleCrop>
  <LinksUpToDate>false</LinksUpToDate>
  <CharactersWithSpaces>2358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2026-01-28T15:09:00Z</dcterms:created>
  <dc:creator>Li Xiang</dc:creator>
  <cp:lastModifiedBy>Ye~叶</cp:lastModifiedBy>
  <dcterms:modified xsi:type="dcterms:W3CDTF">2026-11-04T07:27:00Z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22607B803F1B45DA80E4BD5450E74BD9_13</vt:lpwstr>
  </property>
  <property fmtid="{D5CDD505-2E9C-101B-9397-08002B2CF9AE}" pid="4" name="KSOTemplateDocerSaveRecord">
    <vt:lpwstr>eyJoZGlkIjoiOGYzN2YwOGE0NjA1ZGJiNTM3ZDJiNmRhNzZhYTFjOGQiLCJ1c2VySWQiOiIyMjMxOTA0NjcifQ==</vt:lpwstr>
  </property>
</Properties>
</file>