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77E02">
      <w:pPr>
        <w:spacing w:before="156" w:beforeLines="50" w:after="156" w:afterLines="50" w:line="400" w:lineRule="exact"/>
        <w:rPr>
          <w:rFonts w:ascii="宋体" w:hAnsi="宋体"/>
          <w:b/>
          <w:bCs/>
          <w:iCs/>
          <w:color w:val="000000" w:themeColor="text1"/>
          <w:sz w:val="24"/>
          <w14:textFill>
            <w14:solidFill>
              <w14:schemeClr w14:val="tx1"/>
            </w14:solidFill>
          </w14:textFill>
        </w:rPr>
      </w:pPr>
      <w:r>
        <w:rPr>
          <w:rFonts w:hint="eastAsia" w:ascii="宋体" w:hAnsi="宋体"/>
          <w:b/>
          <w:bCs/>
          <w:iCs/>
          <w:color w:val="000000" w:themeColor="text1"/>
          <w:sz w:val="24"/>
          <w14:textFill>
            <w14:solidFill>
              <w14:schemeClr w14:val="tx1"/>
            </w14:solidFill>
          </w14:textFill>
        </w:rPr>
        <w:t>证券代码：603062</w:t>
      </w:r>
      <w:r>
        <w:rPr>
          <w:rFonts w:ascii="宋体" w:hAnsi="宋体"/>
          <w:b/>
          <w:bCs/>
          <w:iCs/>
          <w:color w:val="000000" w:themeColor="text1"/>
          <w:sz w:val="24"/>
          <w14:textFill>
            <w14:solidFill>
              <w14:schemeClr w14:val="tx1"/>
            </w14:solidFill>
          </w14:textFill>
        </w:rPr>
        <w:t xml:space="preserve">                              </w:t>
      </w:r>
      <w:r>
        <w:rPr>
          <w:rFonts w:hint="eastAsia" w:ascii="宋体" w:hAnsi="宋体"/>
          <w:b/>
          <w:bCs/>
          <w:iCs/>
          <w:color w:val="000000" w:themeColor="text1"/>
          <w:sz w:val="24"/>
          <w:lang w:val="en-US" w:eastAsia="zh-CN"/>
          <w14:textFill>
            <w14:solidFill>
              <w14:schemeClr w14:val="tx1"/>
            </w14:solidFill>
          </w14:textFill>
        </w:rPr>
        <w:t xml:space="preserve"> </w:t>
      </w:r>
      <w:r>
        <w:rPr>
          <w:rFonts w:ascii="宋体" w:hAnsi="宋体"/>
          <w:b/>
          <w:bCs/>
          <w:iCs/>
          <w:color w:val="000000" w:themeColor="text1"/>
          <w:sz w:val="24"/>
          <w14:textFill>
            <w14:solidFill>
              <w14:schemeClr w14:val="tx1"/>
            </w14:solidFill>
          </w14:textFill>
        </w:rPr>
        <w:t xml:space="preserve">   </w:t>
      </w:r>
      <w:r>
        <w:rPr>
          <w:rFonts w:hint="eastAsia" w:ascii="宋体" w:hAnsi="宋体"/>
          <w:b/>
          <w:bCs/>
          <w:iCs/>
          <w:color w:val="000000" w:themeColor="text1"/>
          <w:sz w:val="24"/>
          <w14:textFill>
            <w14:solidFill>
              <w14:schemeClr w14:val="tx1"/>
            </w14:solidFill>
          </w14:textFill>
        </w:rPr>
        <w:t>证券简称：麦加芯彩</w:t>
      </w:r>
    </w:p>
    <w:p w14:paraId="2DBD4433">
      <w:pPr>
        <w:autoSpaceDE w:val="0"/>
        <w:autoSpaceDN w:val="0"/>
        <w:adjustRightInd w:val="0"/>
        <w:snapToGrid w:val="0"/>
        <w:ind w:left="141" w:hanging="141" w:hangingChars="50"/>
        <w:jc w:val="center"/>
        <w:rPr>
          <w:rFonts w:asciiTheme="minorEastAsia" w:hAnsiTheme="minorEastAsia" w:eastAsiaTheme="minorEastAsia"/>
          <w:b/>
          <w:color w:val="000000" w:themeColor="text1"/>
          <w:sz w:val="28"/>
          <w:szCs w:val="24"/>
          <w14:textFill>
            <w14:solidFill>
              <w14:schemeClr w14:val="tx1"/>
            </w14:solidFill>
          </w14:textFill>
        </w:rPr>
      </w:pPr>
      <w:r>
        <w:rPr>
          <w:rFonts w:hint="eastAsia" w:asciiTheme="minorEastAsia" w:hAnsiTheme="minorEastAsia" w:eastAsiaTheme="minorEastAsia"/>
          <w:b/>
          <w:color w:val="000000" w:themeColor="text1"/>
          <w:sz w:val="28"/>
          <w:szCs w:val="24"/>
          <w14:textFill>
            <w14:solidFill>
              <w14:schemeClr w14:val="tx1"/>
            </w14:solidFill>
          </w14:textFill>
        </w:rPr>
        <w:t>麦加芯彩新材料科技（上海）股份有限公司投资者关系活动记录表</w:t>
      </w:r>
    </w:p>
    <w:p w14:paraId="5C3DB02B">
      <w:pPr>
        <w:spacing w:line="400" w:lineRule="exact"/>
        <w:ind w:right="-313" w:rightChars="-149"/>
        <w:rPr>
          <w:rFonts w:hint="default" w:ascii="宋体" w:hAnsi="宋体" w:eastAsia="宋体"/>
          <w:bCs/>
          <w:iCs/>
          <w:color w:val="000000" w:themeColor="text1"/>
          <w:sz w:val="24"/>
          <w:szCs w:val="24"/>
          <w:lang w:val="en-US" w:eastAsia="zh-CN"/>
          <w14:textFill>
            <w14:solidFill>
              <w14:schemeClr w14:val="tx1"/>
            </w14:solidFill>
          </w14:textFill>
        </w:rPr>
      </w:pPr>
      <w:r>
        <w:rPr>
          <w:rFonts w:hint="eastAsia" w:ascii="宋体" w:hAnsi="宋体"/>
          <w:bCs/>
          <w:iCs/>
          <w:color w:val="000000" w:themeColor="text1"/>
          <w:sz w:val="24"/>
          <w:szCs w:val="24"/>
          <w14:textFill>
            <w14:solidFill>
              <w14:schemeClr w14:val="tx1"/>
            </w14:solidFill>
          </w14:textFill>
        </w:rPr>
        <w:t xml:space="preserve">                                                      </w:t>
      </w:r>
      <w:r>
        <w:rPr>
          <w:rFonts w:hint="eastAsia" w:ascii="宋体" w:hAnsi="宋体"/>
          <w:bCs/>
          <w:iCs/>
          <w:color w:val="000000" w:themeColor="text1"/>
          <w:sz w:val="24"/>
          <w:szCs w:val="24"/>
          <w:lang w:val="en-US" w:eastAsia="zh-CN"/>
          <w14:textFill>
            <w14:solidFill>
              <w14:schemeClr w14:val="tx1"/>
            </w14:solidFill>
          </w14:textFill>
        </w:rPr>
        <w:t xml:space="preserve">   </w:t>
      </w:r>
      <w:r>
        <w:rPr>
          <w:rFonts w:hint="eastAsia" w:ascii="宋体" w:hAnsi="宋体"/>
          <w:bCs/>
          <w:iCs/>
          <w:color w:val="000000" w:themeColor="text1"/>
          <w:sz w:val="24"/>
          <w:szCs w:val="24"/>
          <w14:textFill>
            <w14:solidFill>
              <w14:schemeClr w14:val="tx1"/>
            </w14:solidFill>
          </w14:textFill>
        </w:rPr>
        <w:t>编号：202</w:t>
      </w:r>
      <w:r>
        <w:rPr>
          <w:rFonts w:hint="default" w:ascii="宋体" w:hAnsi="宋体"/>
          <w:bCs/>
          <w:iCs/>
          <w:color w:val="000000" w:themeColor="text1"/>
          <w:sz w:val="24"/>
          <w:szCs w:val="24"/>
          <w:lang w:val="en-US"/>
          <w14:textFill>
            <w14:solidFill>
              <w14:schemeClr w14:val="tx1"/>
            </w14:solidFill>
          </w14:textFill>
        </w:rPr>
        <w:t>6</w:t>
      </w:r>
      <w:r>
        <w:rPr>
          <w:rFonts w:hint="eastAsia" w:ascii="宋体" w:hAnsi="宋体"/>
          <w:bCs/>
          <w:iCs/>
          <w:color w:val="000000" w:themeColor="text1"/>
          <w:sz w:val="24"/>
          <w:szCs w:val="24"/>
          <w14:textFill>
            <w14:solidFill>
              <w14:schemeClr w14:val="tx1"/>
            </w14:solidFill>
          </w14:textFill>
        </w:rPr>
        <w:t>-0</w:t>
      </w:r>
      <w:r>
        <w:rPr>
          <w:rFonts w:hint="default" w:ascii="宋体" w:hAnsi="宋体"/>
          <w:bCs/>
          <w:iCs/>
          <w:color w:val="000000" w:themeColor="text1"/>
          <w:sz w:val="24"/>
          <w:szCs w:val="24"/>
          <w:lang w:val="en-US" w:eastAsia="zh-CN"/>
          <w14:textFill>
            <w14:solidFill>
              <w14:schemeClr w14:val="tx1"/>
            </w14:solidFill>
          </w14:textFill>
        </w:rPr>
        <w:t>0</w:t>
      </w:r>
      <w:r>
        <w:rPr>
          <w:rFonts w:hint="eastAsia" w:ascii="宋体" w:hAnsi="宋体"/>
          <w:bCs/>
          <w:iCs/>
          <w:color w:val="000000" w:themeColor="text1"/>
          <w:sz w:val="24"/>
          <w:szCs w:val="24"/>
          <w:highlight w:val="none"/>
          <w:lang w:val="en-US" w:eastAsia="zh-CN"/>
          <w14:textFill>
            <w14:solidFill>
              <w14:schemeClr w14:val="tx1"/>
            </w14:solidFill>
          </w14:textFill>
        </w:rPr>
        <w:t>6</w:t>
      </w:r>
    </w:p>
    <w:tbl>
      <w:tblPr>
        <w:tblStyle w:val="8"/>
        <w:tblW w:w="8727"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7146"/>
      </w:tblGrid>
      <w:tr w14:paraId="3C3F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1581" w:type="dxa"/>
            <w:shd w:val="clear" w:color="auto" w:fill="auto"/>
            <w:vAlign w:val="center"/>
          </w:tcPr>
          <w:p w14:paraId="7389850F">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投资者关系</w:t>
            </w:r>
          </w:p>
          <w:p w14:paraId="04F5B209">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活动类别</w:t>
            </w:r>
          </w:p>
          <w:p w14:paraId="7BD3BE3C">
            <w:pPr>
              <w:rPr>
                <w:rFonts w:ascii="宋体" w:hAnsi="宋体"/>
                <w:b/>
                <w:bCs/>
                <w:iCs/>
                <w:color w:val="000000" w:themeColor="text1"/>
                <w:szCs w:val="21"/>
                <w14:textFill>
                  <w14:solidFill>
                    <w14:schemeClr w14:val="tx1"/>
                  </w14:solidFill>
                </w14:textFill>
              </w:rPr>
            </w:pPr>
          </w:p>
        </w:tc>
        <w:tc>
          <w:tcPr>
            <w:tcW w:w="7146" w:type="dxa"/>
            <w:shd w:val="clear" w:color="auto" w:fill="auto"/>
          </w:tcPr>
          <w:p w14:paraId="43DE05C5">
            <w:pPr>
              <w:spacing w:line="480" w:lineRule="atLeast"/>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特定对象调研        </w:t>
            </w:r>
            <w:r>
              <w:rPr>
                <w:rFonts w:hint="eastAsia" w:ascii="宋体" w:hAnsi="宋体"/>
                <w:bCs/>
                <w:i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分析师会议</w:t>
            </w:r>
          </w:p>
          <w:p w14:paraId="272E8BCE">
            <w:pPr>
              <w:spacing w:line="480" w:lineRule="atLeast"/>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媒体采访            </w:t>
            </w:r>
            <w:r>
              <w:rPr>
                <w:rFonts w:hint="eastAsia" w:ascii="宋体" w:hAnsi="宋体"/>
                <w:bCs/>
                <w:iCs/>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业绩说明会</w:t>
            </w:r>
          </w:p>
          <w:p w14:paraId="69744CC0">
            <w:pPr>
              <w:spacing w:line="480" w:lineRule="atLeast"/>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新闻发布会          </w:t>
            </w:r>
            <w:r>
              <w:rPr>
                <w:rFonts w:hint="eastAsia" w:ascii="宋体" w:hAnsi="宋体"/>
                <w:bCs/>
                <w:i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路演活动</w:t>
            </w:r>
          </w:p>
          <w:p w14:paraId="1A68DCAE">
            <w:pPr>
              <w:tabs>
                <w:tab w:val="left" w:pos="2210"/>
                <w:tab w:val="center" w:pos="3199"/>
              </w:tabs>
              <w:spacing w:line="480" w:lineRule="atLeast"/>
              <w:rPr>
                <w:rFonts w:hint="eastAsia"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现场参观</w:t>
            </w:r>
            <w:r>
              <w:rPr>
                <w:rFonts w:hint="eastAsia" w:ascii="宋体" w:hAnsi="宋体"/>
                <w:bCs/>
                <w:iCs/>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其他 （</w:t>
            </w:r>
            <w:r>
              <w:rPr>
                <w:rFonts w:hint="eastAsia" w:ascii="宋体" w:hAnsi="宋体"/>
                <w:color w:val="000000" w:themeColor="text1"/>
                <w:szCs w:val="21"/>
                <w:u w:val="single"/>
                <w14:textFill>
                  <w14:solidFill>
                    <w14:schemeClr w14:val="tx1"/>
                  </w14:solidFill>
                </w14:textFill>
              </w:rPr>
              <w:t>请</w:t>
            </w:r>
            <w:bookmarkStart w:id="1" w:name="_GoBack"/>
            <w:bookmarkEnd w:id="1"/>
            <w:r>
              <w:rPr>
                <w:rFonts w:hint="eastAsia" w:ascii="宋体" w:hAnsi="宋体"/>
                <w:color w:val="000000" w:themeColor="text1"/>
                <w:szCs w:val="21"/>
                <w:u w:val="single"/>
                <w14:textFill>
                  <w14:solidFill>
                    <w14:schemeClr w14:val="tx1"/>
                  </w14:solidFill>
                </w14:textFill>
              </w:rPr>
              <w:t>文字说明其他活动内容）</w:t>
            </w:r>
          </w:p>
        </w:tc>
      </w:tr>
      <w:tr w14:paraId="4975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581" w:type="dxa"/>
            <w:shd w:val="clear" w:color="auto" w:fill="auto"/>
            <w:vAlign w:val="center"/>
          </w:tcPr>
          <w:p w14:paraId="66504776">
            <w:pPr>
              <w:rPr>
                <w:rFonts w:hint="default" w:ascii="宋体" w:hAnsi="宋体" w:eastAsia="宋体"/>
                <w:b/>
                <w:bCs/>
                <w:iCs/>
                <w:color w:val="000000" w:themeColor="text1"/>
                <w:szCs w:val="21"/>
                <w:lang w:val="en-US" w:eastAsia="zh-CN"/>
                <w14:textFill>
                  <w14:solidFill>
                    <w14:schemeClr w14:val="tx1"/>
                  </w14:solidFill>
                </w14:textFill>
              </w:rPr>
            </w:pPr>
            <w:r>
              <w:rPr>
                <w:rFonts w:hint="eastAsia" w:ascii="宋体" w:hAnsi="宋体"/>
                <w:b/>
                <w:bCs/>
                <w:iCs/>
                <w:color w:val="000000" w:themeColor="text1"/>
                <w:szCs w:val="21"/>
                <w:lang w:val="en-US" w:eastAsia="zh-CN"/>
                <w14:textFill>
                  <w14:solidFill>
                    <w14:schemeClr w14:val="tx1"/>
                  </w14:solidFill>
                </w14:textFill>
              </w:rPr>
              <w:t>活动主题</w:t>
            </w:r>
          </w:p>
        </w:tc>
        <w:tc>
          <w:tcPr>
            <w:tcW w:w="7146" w:type="dxa"/>
            <w:tcBorders>
              <w:bottom w:val="single" w:color="FFFFFF" w:themeColor="background1" w:sz="4" w:space="0"/>
            </w:tcBorders>
            <w:shd w:val="clear" w:color="auto" w:fill="auto"/>
            <w:vAlign w:val="center"/>
          </w:tcPr>
          <w:p w14:paraId="06800718">
            <w:pPr>
              <w:spacing w:line="240" w:lineRule="auto"/>
              <w:jc w:val="both"/>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麦加芯彩202</w:t>
            </w:r>
            <w:r>
              <w:rPr>
                <w:rFonts w:hint="default" w:ascii="宋体" w:hAnsi="宋体"/>
                <w:bCs/>
                <w:iCs/>
                <w:color w:val="000000" w:themeColor="text1"/>
                <w:szCs w:val="21"/>
                <w:lang w:val="en-US"/>
                <w14:textFill>
                  <w14:solidFill>
                    <w14:schemeClr w14:val="tx1"/>
                  </w14:solidFill>
                </w14:textFill>
              </w:rPr>
              <w:t>6</w:t>
            </w:r>
            <w:r>
              <w:rPr>
                <w:rFonts w:hint="eastAsia" w:ascii="宋体" w:hAnsi="宋体"/>
                <w:bCs/>
                <w:iCs/>
                <w:color w:val="000000" w:themeColor="text1"/>
                <w:szCs w:val="21"/>
                <w14:textFill>
                  <w14:solidFill>
                    <w14:schemeClr w14:val="tx1"/>
                  </w14:solidFill>
                </w14:textFill>
              </w:rPr>
              <w:t>年</w:t>
            </w:r>
            <w:r>
              <w:rPr>
                <w:rFonts w:hint="eastAsia" w:ascii="宋体" w:hAnsi="宋体" w:eastAsia="宋体" w:cs="宋体"/>
                <w:bCs/>
                <w:iCs/>
                <w:color w:val="000000"/>
                <w:sz w:val="24"/>
                <w:highlight w:val="none"/>
                <w:lang w:val="en-GB"/>
              </w:rPr>
              <w:t>第三季度</w:t>
            </w:r>
            <w:r>
              <w:rPr>
                <w:rFonts w:hint="eastAsia" w:ascii="宋体" w:hAnsi="宋体"/>
                <w:bCs/>
                <w:iCs/>
                <w:color w:val="000000" w:themeColor="text1"/>
                <w:szCs w:val="21"/>
                <w14:textFill>
                  <w14:solidFill>
                    <w14:schemeClr w14:val="tx1"/>
                  </w14:solidFill>
                </w14:textFill>
              </w:rPr>
              <w:t>业绩说明会</w:t>
            </w:r>
          </w:p>
        </w:tc>
      </w:tr>
      <w:tr w14:paraId="0590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dxa"/>
            <w:shd w:val="clear" w:color="auto" w:fill="auto"/>
            <w:vAlign w:val="center"/>
          </w:tcPr>
          <w:p w14:paraId="68497D19">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时间</w:t>
            </w:r>
          </w:p>
        </w:tc>
        <w:tc>
          <w:tcPr>
            <w:tcW w:w="7146" w:type="dxa"/>
            <w:shd w:val="clear" w:color="auto" w:fill="auto"/>
            <w:vAlign w:val="center"/>
          </w:tcPr>
          <w:p w14:paraId="6B266CDC">
            <w:pPr>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202</w:t>
            </w:r>
            <w:r>
              <w:rPr>
                <w:rFonts w:hint="default" w:ascii="宋体" w:hAnsi="宋体"/>
                <w:bCs/>
                <w:iCs/>
                <w:color w:val="000000" w:themeColor="text1"/>
                <w:szCs w:val="21"/>
                <w:lang w:val="en-US" w:eastAsia="zh-CN"/>
                <w14:textFill>
                  <w14:solidFill>
                    <w14:schemeClr w14:val="tx1"/>
                  </w14:solidFill>
                </w14:textFill>
              </w:rPr>
              <w:t>6</w:t>
            </w:r>
            <w:r>
              <w:rPr>
                <w:rFonts w:hint="eastAsia" w:ascii="宋体" w:hAnsi="宋体"/>
                <w:bCs/>
                <w:iCs/>
                <w:color w:val="000000" w:themeColor="text1"/>
                <w:szCs w:val="21"/>
                <w14:textFill>
                  <w14:solidFill>
                    <w14:schemeClr w14:val="tx1"/>
                  </w14:solidFill>
                </w14:textFill>
              </w:rPr>
              <w:t>年</w:t>
            </w:r>
            <w:r>
              <w:rPr>
                <w:rFonts w:hint="eastAsia" w:ascii="宋体" w:hAnsi="宋体"/>
                <w:bCs/>
                <w:iCs/>
                <w:color w:val="000000" w:themeColor="text1"/>
                <w:szCs w:val="21"/>
                <w:lang w:val="en-US" w:eastAsia="zh-CN"/>
                <w14:textFill>
                  <w14:solidFill>
                    <w14:schemeClr w14:val="tx1"/>
                  </w14:solidFill>
                </w14:textFill>
              </w:rPr>
              <w:t>11</w:t>
            </w:r>
            <w:r>
              <w:rPr>
                <w:rFonts w:hint="eastAsia" w:ascii="宋体" w:hAnsi="宋体"/>
                <w:bCs/>
                <w:iCs/>
                <w:color w:val="000000" w:themeColor="text1"/>
                <w:szCs w:val="21"/>
                <w14:textFill>
                  <w14:solidFill>
                    <w14:schemeClr w14:val="tx1"/>
                  </w14:solidFill>
                </w14:textFill>
              </w:rPr>
              <w:t>月</w:t>
            </w:r>
            <w:r>
              <w:rPr>
                <w:rFonts w:hint="eastAsia" w:ascii="宋体" w:hAnsi="宋体"/>
                <w:bCs/>
                <w:iCs/>
                <w:color w:val="000000" w:themeColor="text1"/>
                <w:szCs w:val="21"/>
                <w:lang w:val="en-US" w:eastAsia="zh-CN"/>
                <w14:textFill>
                  <w14:solidFill>
                    <w14:schemeClr w14:val="tx1"/>
                  </w14:solidFill>
                </w14:textFill>
              </w:rPr>
              <w:t>4</w:t>
            </w:r>
            <w:r>
              <w:rPr>
                <w:rFonts w:hint="eastAsia" w:ascii="宋体" w:hAnsi="宋体"/>
                <w:bCs/>
                <w:iCs/>
                <w:color w:val="000000" w:themeColor="text1"/>
                <w:szCs w:val="21"/>
                <w14:textFill>
                  <w14:solidFill>
                    <w14:schemeClr w14:val="tx1"/>
                  </w14:solidFill>
                </w14:textFill>
              </w:rPr>
              <w:t>日</w:t>
            </w:r>
            <w:r>
              <w:rPr>
                <w:rFonts w:hint="eastAsia" w:ascii="宋体" w:hAnsi="宋体"/>
                <w:bCs/>
                <w:iCs/>
                <w:color w:val="000000" w:themeColor="text1"/>
                <w:szCs w:val="21"/>
                <w:lang w:val="en-US" w:eastAsia="zh-CN"/>
                <w14:textFill>
                  <w14:solidFill>
                    <w14:schemeClr w14:val="tx1"/>
                  </w14:solidFill>
                </w14:textFill>
              </w:rPr>
              <w:t>1</w:t>
            </w:r>
            <w:r>
              <w:rPr>
                <w:rFonts w:hint="default" w:ascii="宋体" w:hAnsi="宋体"/>
                <w:bCs/>
                <w:iCs/>
                <w:color w:val="000000" w:themeColor="text1"/>
                <w:szCs w:val="21"/>
                <w:lang w:val="en-US" w:eastAsia="zh-CN"/>
                <w14:textFill>
                  <w14:solidFill>
                    <w14:schemeClr w14:val="tx1"/>
                  </w14:solidFill>
                </w14:textFill>
              </w:rPr>
              <w:t>0</w:t>
            </w:r>
            <w:r>
              <w:rPr>
                <w:rFonts w:hint="eastAsia" w:ascii="宋体" w:hAnsi="宋体"/>
                <w:bCs/>
                <w:iCs/>
                <w:color w:val="000000" w:themeColor="text1"/>
                <w:szCs w:val="21"/>
                <w14:textFill>
                  <w14:solidFill>
                    <w14:schemeClr w14:val="tx1"/>
                  </w14:solidFill>
                </w14:textFill>
              </w:rPr>
              <w:t>:</w:t>
            </w:r>
            <w:r>
              <w:rPr>
                <w:rFonts w:hint="eastAsia" w:ascii="宋体" w:hAnsi="宋体"/>
                <w:bCs/>
                <w:iCs/>
                <w:color w:val="000000" w:themeColor="text1"/>
                <w:szCs w:val="21"/>
                <w:lang w:val="en-US" w:eastAsia="zh-CN"/>
                <w14:textFill>
                  <w14:solidFill>
                    <w14:schemeClr w14:val="tx1"/>
                  </w14:solidFill>
                </w14:textFill>
              </w:rPr>
              <w:t>0</w:t>
            </w:r>
            <w:r>
              <w:rPr>
                <w:rFonts w:hint="eastAsia" w:ascii="宋体" w:hAnsi="宋体"/>
                <w:bCs/>
                <w:iCs/>
                <w:color w:val="000000" w:themeColor="text1"/>
                <w:szCs w:val="21"/>
                <w14:textFill>
                  <w14:solidFill>
                    <w14:schemeClr w14:val="tx1"/>
                  </w14:solidFill>
                </w14:textFill>
              </w:rPr>
              <w:t>0-1</w:t>
            </w:r>
            <w:r>
              <w:rPr>
                <w:rFonts w:hint="default" w:ascii="宋体" w:hAnsi="宋体"/>
                <w:bCs/>
                <w:iCs/>
                <w:color w:val="000000" w:themeColor="text1"/>
                <w:szCs w:val="21"/>
                <w:lang w:val="en-US"/>
                <w14:textFill>
                  <w14:solidFill>
                    <w14:schemeClr w14:val="tx1"/>
                  </w14:solidFill>
                </w14:textFill>
              </w:rPr>
              <w:t>1</w:t>
            </w:r>
            <w:r>
              <w:rPr>
                <w:rFonts w:hint="eastAsia" w:ascii="宋体" w:hAnsi="宋体"/>
                <w:bCs/>
                <w:iCs/>
                <w:color w:val="000000" w:themeColor="text1"/>
                <w:szCs w:val="21"/>
                <w14:textFill>
                  <w14:solidFill>
                    <w14:schemeClr w14:val="tx1"/>
                  </w14:solidFill>
                </w14:textFill>
              </w:rPr>
              <w:t>:</w:t>
            </w:r>
            <w:r>
              <w:rPr>
                <w:rFonts w:hint="eastAsia" w:ascii="宋体" w:hAnsi="宋体"/>
                <w:bCs/>
                <w:iCs/>
                <w:color w:val="000000" w:themeColor="text1"/>
                <w:szCs w:val="21"/>
                <w:lang w:val="en-US" w:eastAsia="zh-CN"/>
                <w14:textFill>
                  <w14:solidFill>
                    <w14:schemeClr w14:val="tx1"/>
                  </w14:solidFill>
                </w14:textFill>
              </w:rPr>
              <w:t>0</w:t>
            </w:r>
            <w:r>
              <w:rPr>
                <w:rFonts w:hint="eastAsia" w:ascii="宋体" w:hAnsi="宋体"/>
                <w:bCs/>
                <w:iCs/>
                <w:color w:val="000000" w:themeColor="text1"/>
                <w:szCs w:val="21"/>
                <w14:textFill>
                  <w14:solidFill>
                    <w14:schemeClr w14:val="tx1"/>
                  </w14:solidFill>
                </w14:textFill>
              </w:rPr>
              <w:t>0</w:t>
            </w:r>
          </w:p>
        </w:tc>
      </w:tr>
      <w:tr w14:paraId="0E36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1581" w:type="dxa"/>
            <w:shd w:val="clear" w:color="auto" w:fill="auto"/>
            <w:vAlign w:val="center"/>
          </w:tcPr>
          <w:p w14:paraId="7560457E">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地点</w:t>
            </w:r>
          </w:p>
        </w:tc>
        <w:tc>
          <w:tcPr>
            <w:tcW w:w="7146" w:type="dxa"/>
            <w:shd w:val="clear" w:color="auto" w:fill="auto"/>
            <w:vAlign w:val="center"/>
          </w:tcPr>
          <w:p w14:paraId="4F35B2F9">
            <w:pPr>
              <w:jc w:val="left"/>
              <w:rPr>
                <w:rFonts w:hint="default" w:ascii="宋体" w:hAnsi="宋体" w:eastAsia="宋体"/>
                <w:bCs/>
                <w:iCs/>
                <w:color w:val="000000" w:themeColor="text1"/>
                <w:spacing w:val="-23"/>
                <w:sz w:val="21"/>
                <w:szCs w:val="21"/>
                <w:lang w:val="en-US" w:eastAsia="zh-CN"/>
                <w14:textFill>
                  <w14:solidFill>
                    <w14:schemeClr w14:val="tx1"/>
                  </w14:solidFill>
                </w14:textFill>
              </w:rPr>
            </w:pPr>
            <w:r>
              <w:rPr>
                <w:rFonts w:hint="eastAsia" w:ascii="宋体" w:hAnsi="宋体"/>
                <w:bCs/>
                <w:iCs/>
                <w:color w:val="000000" w:themeColor="text1"/>
                <w:spacing w:val="-23"/>
                <w:sz w:val="21"/>
                <w:szCs w:val="21"/>
                <w:lang w:val="en-US" w:eastAsia="zh-CN"/>
                <w14:textFill>
                  <w14:solidFill>
                    <w14:schemeClr w14:val="tx1"/>
                  </w14:solidFill>
                </w14:textFill>
              </w:rPr>
              <w:t xml:space="preserve">上 海 证 券 交 易 所 上 证 路 演 中 心 </w:t>
            </w:r>
            <w:r>
              <w:rPr>
                <w:rFonts w:hint="eastAsia" w:ascii="宋体" w:hAnsi="宋体"/>
                <w:bCs/>
                <w:iCs/>
                <w:color w:val="000000" w:themeColor="text1"/>
                <w:spacing w:val="-23"/>
                <w:sz w:val="21"/>
                <w:szCs w:val="21"/>
                <w:lang w:val="en-US" w:eastAsia="zh-CN"/>
                <w14:textFill>
                  <w14:solidFill>
                    <w14:schemeClr w14:val="tx1"/>
                  </w14:solidFill>
                </w14:textFill>
              </w:rPr>
              <w:br w:type="textWrapping"/>
            </w:r>
            <w:r>
              <w:rPr>
                <w:rFonts w:hint="eastAsia" w:ascii="宋体" w:hAnsi="宋体"/>
                <w:bCs/>
                <w:iCs/>
                <w:color w:val="000000" w:themeColor="text1"/>
                <w:spacing w:val="-23"/>
                <w:sz w:val="21"/>
                <w:szCs w:val="21"/>
                <w:lang w:val="en-US" w:eastAsia="zh-CN"/>
                <w14:textFill>
                  <w14:solidFill>
                    <w14:schemeClr w14:val="tx1"/>
                  </w14:solidFill>
                </w14:textFill>
              </w:rPr>
              <w:t>（ 网 址 ：</w:t>
            </w:r>
            <w:r>
              <w:rPr>
                <w:rFonts w:hint="eastAsia" w:ascii="宋体" w:hAnsi="宋体" w:eastAsia="宋体" w:cs="宋体"/>
                <w:bCs/>
                <w:iCs/>
                <w:color w:val="000000" w:themeColor="text1"/>
                <w:spacing w:val="6"/>
                <w:sz w:val="21"/>
                <w:szCs w:val="21"/>
                <w:lang w:val="en-US" w:eastAsia="zh-CN"/>
                <w14:textFill>
                  <w14:solidFill>
                    <w14:schemeClr w14:val="tx1"/>
                  </w14:solidFill>
                </w14:textFill>
              </w:rPr>
              <w:t>http://roadshow.sseinfo.com/</w:t>
            </w:r>
            <w:r>
              <w:rPr>
                <w:rFonts w:hint="eastAsia" w:ascii="宋体" w:hAnsi="宋体"/>
                <w:bCs/>
                <w:iCs/>
                <w:color w:val="000000" w:themeColor="text1"/>
                <w:spacing w:val="-23"/>
                <w:sz w:val="21"/>
                <w:szCs w:val="21"/>
                <w:lang w:val="en-US" w:eastAsia="zh-CN"/>
                <w14:textFill>
                  <w14:solidFill>
                    <w14:schemeClr w14:val="tx1"/>
                  </w14:solidFill>
                </w14:textFill>
              </w:rPr>
              <w:t>)</w:t>
            </w:r>
          </w:p>
        </w:tc>
      </w:tr>
      <w:tr w14:paraId="0589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581" w:type="dxa"/>
            <w:shd w:val="clear" w:color="auto" w:fill="auto"/>
            <w:vAlign w:val="center"/>
          </w:tcPr>
          <w:p w14:paraId="696AE364">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上市公司接待人员姓名</w:t>
            </w:r>
          </w:p>
        </w:tc>
        <w:tc>
          <w:tcPr>
            <w:tcW w:w="7146" w:type="dxa"/>
            <w:shd w:val="clear" w:color="auto" w:fill="auto"/>
            <w:vAlign w:val="center"/>
          </w:tcPr>
          <w:p w14:paraId="6A8E187C">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14:textFill>
                  <w14:solidFill>
                    <w14:schemeClr w14:val="tx1"/>
                  </w14:solidFill>
                </w14:textFill>
              </w:rPr>
              <w:t>董事长、总经理：黄雁夷女士</w:t>
            </w:r>
            <w:r>
              <w:rPr>
                <w:rFonts w:hint="eastAsia" w:ascii="宋体" w:hAnsi="宋体"/>
                <w:bCs/>
                <w:iCs/>
                <w:color w:val="000000" w:themeColor="text1"/>
                <w:szCs w:val="21"/>
                <w:lang w:val="en-US" w:eastAsia="zh-CN"/>
                <w14:textFill>
                  <w14:solidFill>
                    <w14:schemeClr w14:val="tx1"/>
                  </w14:solidFill>
                </w14:textFill>
              </w:rPr>
              <w:t xml:space="preserve">      </w:t>
            </w:r>
          </w:p>
          <w:p w14:paraId="2C9F45A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副董事长、副总经理：罗永键先生</w:t>
            </w:r>
          </w:p>
          <w:p w14:paraId="680209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董事会秘书、财务总监：崔健民先生</w:t>
            </w:r>
          </w:p>
          <w:p w14:paraId="7AD73884">
            <w:pPr>
              <w:keepNext w:val="0"/>
              <w:keepLines w:val="0"/>
              <w:pageBreakBefore w:val="0"/>
              <w:widowControl w:val="0"/>
              <w:kinsoku/>
              <w:wordWrap/>
              <w:overflowPunct/>
              <w:topLinePunct w:val="0"/>
              <w:autoSpaceDE/>
              <w:autoSpaceDN/>
              <w:bidi w:val="0"/>
              <w:adjustRightInd/>
              <w:snapToGrid/>
              <w:spacing w:after="157" w:afterLines="50" w:line="312" w:lineRule="auto"/>
              <w:textAlignment w:val="auto"/>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独立董事：</w:t>
            </w:r>
            <w:r>
              <w:rPr>
                <w:rFonts w:hint="eastAsia" w:ascii="宋体" w:hAnsi="宋体"/>
                <w:bCs/>
                <w:iCs/>
                <w:color w:val="000000" w:themeColor="text1"/>
                <w:szCs w:val="21"/>
                <w:lang w:val="en-US" w:eastAsia="zh-CN"/>
                <w14:textFill>
                  <w14:solidFill>
                    <w14:schemeClr w14:val="tx1"/>
                  </w14:solidFill>
                </w14:textFill>
              </w:rPr>
              <w:t>梁达文</w:t>
            </w:r>
            <w:r>
              <w:rPr>
                <w:rFonts w:hint="eastAsia" w:ascii="宋体" w:hAnsi="宋体"/>
                <w:bCs/>
                <w:iCs/>
                <w:color w:val="000000" w:themeColor="text1"/>
                <w:szCs w:val="21"/>
                <w14:textFill>
                  <w14:solidFill>
                    <w14:schemeClr w14:val="tx1"/>
                  </w14:solidFill>
                </w14:textFill>
              </w:rPr>
              <w:t>先生</w:t>
            </w:r>
          </w:p>
        </w:tc>
      </w:tr>
      <w:tr w14:paraId="268A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1581" w:type="dxa"/>
            <w:shd w:val="clear" w:color="auto" w:fill="auto"/>
            <w:vAlign w:val="center"/>
          </w:tcPr>
          <w:p w14:paraId="612C2682">
            <w:pPr>
              <w:jc w:val="left"/>
              <w:rPr>
                <w:rFonts w:ascii="宋体" w:hAnsi="宋体"/>
                <w:b/>
                <w:bCs/>
                <w:iCs/>
                <w:color w:val="000000" w:themeColor="text1"/>
                <w:szCs w:val="21"/>
                <w14:textFill>
                  <w14:solidFill>
                    <w14:schemeClr w14:val="tx1"/>
                  </w14:solidFill>
                </w14:textFill>
              </w:rPr>
            </w:pPr>
            <w:bookmarkStart w:id="0" w:name="_Hlk150442484"/>
            <w:r>
              <w:rPr>
                <w:rFonts w:hint="eastAsia" w:ascii="宋体" w:hAnsi="宋体"/>
                <w:b/>
                <w:bCs/>
                <w:iCs/>
                <w:color w:val="000000" w:themeColor="text1"/>
                <w:szCs w:val="21"/>
                <w14:textFill>
                  <w14:solidFill>
                    <w14:schemeClr w14:val="tx1"/>
                  </w14:solidFill>
                </w14:textFill>
              </w:rPr>
              <w:t>投资者关系</w:t>
            </w:r>
          </w:p>
          <w:p w14:paraId="5E226466">
            <w:pPr>
              <w:jc w:val="left"/>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活动主要</w:t>
            </w:r>
          </w:p>
          <w:p w14:paraId="3418EC05">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内容介绍</w:t>
            </w:r>
          </w:p>
          <w:p w14:paraId="1CCFA22E">
            <w:pPr>
              <w:rPr>
                <w:rFonts w:ascii="宋体" w:hAnsi="宋体"/>
                <w:b/>
                <w:bCs/>
                <w:iCs/>
                <w:color w:val="000000" w:themeColor="text1"/>
                <w:szCs w:val="21"/>
                <w14:textFill>
                  <w14:solidFill>
                    <w14:schemeClr w14:val="tx1"/>
                  </w14:solidFill>
                </w14:textFill>
              </w:rPr>
            </w:pPr>
          </w:p>
        </w:tc>
        <w:tc>
          <w:tcPr>
            <w:tcW w:w="7146" w:type="dxa"/>
            <w:shd w:val="clear" w:color="auto" w:fill="auto"/>
          </w:tcPr>
          <w:p w14:paraId="11B78DB5">
            <w:pPr>
              <w:spacing w:before="156" w:beforeLines="50" w:line="360" w:lineRule="auto"/>
              <w:ind w:firstLine="420" w:firstLineChars="200"/>
              <w:rPr>
                <w:rFonts w:hint="eastAsia"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公司在上证路演</w:t>
            </w:r>
            <w:r>
              <w:rPr>
                <w:rFonts w:hint="eastAsia" w:ascii="宋体" w:hAnsi="宋体"/>
                <w:bCs/>
                <w:iCs/>
                <w:color w:val="000000" w:themeColor="text1"/>
                <w:szCs w:val="21"/>
                <w:lang w:val="en-US" w:eastAsia="zh-CN"/>
                <w14:textFill>
                  <w14:solidFill>
                    <w14:schemeClr w14:val="tx1"/>
                  </w14:solidFill>
                </w14:textFill>
              </w:rPr>
              <w:t>中心</w:t>
            </w:r>
            <w:r>
              <w:rPr>
                <w:rFonts w:hint="eastAsia" w:ascii="宋体" w:hAnsi="宋体"/>
                <w:bCs/>
                <w:iCs/>
                <w:color w:val="000000" w:themeColor="text1"/>
                <w:szCs w:val="21"/>
                <w14:textFill>
                  <w14:solidFill>
                    <w14:schemeClr w14:val="tx1"/>
                  </w14:solidFill>
                </w14:textFill>
              </w:rPr>
              <w:t>以网络</w:t>
            </w:r>
            <w:r>
              <w:rPr>
                <w:rFonts w:hint="eastAsia" w:ascii="宋体" w:hAnsi="宋体"/>
                <w:bCs/>
                <w:iCs/>
                <w:color w:val="000000" w:themeColor="text1"/>
                <w:szCs w:val="21"/>
                <w:lang w:val="en-US" w:eastAsia="zh-CN"/>
                <w14:textFill>
                  <w14:solidFill>
                    <w14:schemeClr w14:val="tx1"/>
                  </w14:solidFill>
                </w14:textFill>
              </w:rPr>
              <w:t>文字</w:t>
            </w:r>
            <w:r>
              <w:rPr>
                <w:rFonts w:hint="eastAsia" w:ascii="宋体" w:hAnsi="宋体"/>
                <w:bCs/>
                <w:iCs/>
                <w:color w:val="000000" w:themeColor="text1"/>
                <w:szCs w:val="21"/>
                <w14:textFill>
                  <w14:solidFill>
                    <w14:schemeClr w14:val="tx1"/>
                  </w14:solidFill>
                </w14:textFill>
              </w:rPr>
              <w:t>互动方式召开公司202</w:t>
            </w:r>
            <w:r>
              <w:rPr>
                <w:rFonts w:hint="eastAsia" w:ascii="宋体" w:hAnsi="宋体"/>
                <w:bCs/>
                <w:iCs/>
                <w:color w:val="000000" w:themeColor="text1"/>
                <w:szCs w:val="21"/>
                <w:lang w:val="en-US" w:eastAsia="zh-CN"/>
                <w14:textFill>
                  <w14:solidFill>
                    <w14:schemeClr w14:val="tx1"/>
                  </w14:solidFill>
                </w14:textFill>
              </w:rPr>
              <w:t>6</w:t>
            </w:r>
            <w:r>
              <w:rPr>
                <w:rFonts w:hint="eastAsia" w:ascii="宋体" w:hAnsi="宋体"/>
                <w:bCs/>
                <w:iCs/>
                <w:color w:val="000000" w:themeColor="text1"/>
                <w:szCs w:val="21"/>
                <w14:textFill>
                  <w14:solidFill>
                    <w14:schemeClr w14:val="tx1"/>
                  </w14:solidFill>
                </w14:textFill>
              </w:rPr>
              <w:t>年</w:t>
            </w:r>
            <w:r>
              <w:rPr>
                <w:rFonts w:hint="eastAsia" w:ascii="宋体" w:hAnsi="宋体"/>
                <w:bCs/>
                <w:iCs/>
                <w:color w:val="000000" w:themeColor="text1"/>
                <w:szCs w:val="21"/>
                <w:lang w:val="en-US" w:eastAsia="zh-CN"/>
                <w14:textFill>
                  <w14:solidFill>
                    <w14:schemeClr w14:val="tx1"/>
                  </w14:solidFill>
                </w14:textFill>
              </w:rPr>
              <w:t>第三季度</w:t>
            </w:r>
            <w:r>
              <w:rPr>
                <w:rFonts w:hint="eastAsia" w:ascii="宋体" w:hAnsi="宋体"/>
                <w:bCs/>
                <w:iCs/>
                <w:color w:val="000000" w:themeColor="text1"/>
                <w:szCs w:val="21"/>
                <w14:textFill>
                  <w14:solidFill>
                    <w14:schemeClr w14:val="tx1"/>
                  </w14:solidFill>
                </w14:textFill>
              </w:rPr>
              <w:t>业绩说明会，针对202</w:t>
            </w:r>
            <w:r>
              <w:rPr>
                <w:rFonts w:hint="eastAsia" w:ascii="宋体" w:hAnsi="宋体"/>
                <w:bCs/>
                <w:iCs/>
                <w:color w:val="000000" w:themeColor="text1"/>
                <w:szCs w:val="21"/>
                <w:lang w:val="en-US" w:eastAsia="zh-CN"/>
                <w14:textFill>
                  <w14:solidFill>
                    <w14:schemeClr w14:val="tx1"/>
                  </w14:solidFill>
                </w14:textFill>
              </w:rPr>
              <w:t>6</w:t>
            </w:r>
            <w:r>
              <w:rPr>
                <w:rFonts w:hint="eastAsia" w:ascii="宋体" w:hAnsi="宋体"/>
                <w:bCs/>
                <w:iCs/>
                <w:color w:val="000000" w:themeColor="text1"/>
                <w:szCs w:val="21"/>
                <w14:textFill>
                  <w14:solidFill>
                    <w14:schemeClr w14:val="tx1"/>
                  </w14:solidFill>
                </w14:textFill>
              </w:rPr>
              <w:t>年</w:t>
            </w:r>
            <w:r>
              <w:rPr>
                <w:rFonts w:hint="eastAsia" w:ascii="宋体" w:hAnsi="宋体"/>
                <w:bCs/>
                <w:iCs/>
                <w:color w:val="000000" w:themeColor="text1"/>
                <w:szCs w:val="21"/>
                <w:lang w:val="en-US" w:eastAsia="zh-CN"/>
                <w14:textFill>
                  <w14:solidFill>
                    <w14:schemeClr w14:val="tx1"/>
                  </w14:solidFill>
                </w14:textFill>
              </w:rPr>
              <w:t>第三季度的</w:t>
            </w:r>
            <w:r>
              <w:rPr>
                <w:rFonts w:hint="eastAsia" w:ascii="宋体" w:hAnsi="宋体"/>
                <w:bCs/>
                <w:iCs/>
                <w:color w:val="000000" w:themeColor="text1"/>
                <w:szCs w:val="21"/>
                <w14:textFill>
                  <w14:solidFill>
                    <w14:schemeClr w14:val="tx1"/>
                  </w14:solidFill>
                </w14:textFill>
              </w:rPr>
              <w:t>经营成果及</w:t>
            </w:r>
            <w:r>
              <w:rPr>
                <w:rFonts w:hint="eastAsia" w:ascii="宋体" w:hAnsi="宋体"/>
                <w:bCs/>
                <w:iCs/>
                <w:color w:val="000000" w:themeColor="text1"/>
                <w:szCs w:val="21"/>
                <w:lang w:val="en-US" w:eastAsia="zh-CN"/>
                <w14:textFill>
                  <w14:solidFill>
                    <w14:schemeClr w14:val="tx1"/>
                  </w14:solidFill>
                </w14:textFill>
              </w:rPr>
              <w:t>业绩</w:t>
            </w:r>
            <w:r>
              <w:rPr>
                <w:rFonts w:hint="eastAsia" w:ascii="宋体" w:hAnsi="宋体"/>
                <w:bCs/>
                <w:iCs/>
                <w:color w:val="000000" w:themeColor="text1"/>
                <w:szCs w:val="21"/>
                <w14:textFill>
                  <w14:solidFill>
                    <w14:schemeClr w14:val="tx1"/>
                  </w14:solidFill>
                </w14:textFill>
              </w:rPr>
              <w:t>情况与投资者进行互动交流和沟通，在信息披露允许的范围内就投资者普遍关注的问题进行回答。</w:t>
            </w:r>
          </w:p>
          <w:p w14:paraId="1AE269C2">
            <w:pPr>
              <w:spacing w:before="156" w:beforeLines="50" w:line="360" w:lineRule="auto"/>
              <w:ind w:firstLine="420" w:firstLineChars="200"/>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以下就投资者提出的问题及公司回复情况作一说明。</w:t>
            </w:r>
          </w:p>
          <w:p w14:paraId="3BBBF6D1">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 xml:space="preserve">问：三季报结果与上一年度同期比较，销量有所增长、营收差不多，但净利润为什么下滑？这个情况何时能够改善？ </w:t>
            </w:r>
          </w:p>
          <w:p w14:paraId="3A15BD91">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eastAsia"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从公司第三季度的业绩表现上来看，销量、营收及净利润环比均有所改善，相比二季度销量增长28.58%、营业收入增长5.13%、净利润增长26.95%；同比来看，第二季度的营收同比开始转正为2.54%，第三季度进一步提速为8.39%，净利润第二季度同比为-53.64%，第三季度同比进一步缩窄为-36.21%。针对公司业务发展，公司主要从几个方面着手：集装箱涂料在保持销量的基础上争取产品价格可以有所回暖；风电涂料致力于扩大境外销售覆盖区域，同时争取尽快实现海上风电塔筒供货；在新产品方面，下一步工作重点致力于境外新船涂装业务能够开启，光伏涂料继续扩大销售包括印度地区出货，电力设备涂料目前已经实现销售，下一步将努力增加出货量及客户覆盖范围，除此之外其他储能、数据中心、离岸设施争取能够有所贡献。随着原有业务的持续改善，以及新业务的持续落地，公司持续盈利能力将不断得以提升。感谢您的提问，谢谢！</w:t>
            </w:r>
          </w:p>
          <w:p w14:paraId="7AFB01D7">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问：公司集装箱漆业务在三季度收入同比开始增长，但毛利率仍然很低，这是什么原因？公司对这个业务近一年的前景怎么判断？</w:t>
            </w:r>
          </w:p>
          <w:p w14:paraId="5FCAB35C">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的确如您所说，集装箱业务的毛利率偏低是公司前三季度业绩下滑的最重要因素，其原因既有行业竞争原因，也有下游价格传导缓慢的原因，当然从财务角度也有诸如珠海投产后折旧增加、股份支付等原因，但核心原因还是价格回暖滞后。目前集装箱行业需求态势良好，同时根据中集披露，集装箱价格也有所回暖，对于公司而言，外部环境有所改善。针对集装箱业务未来一年趋势，公司认为集装箱行业具有长久的生命力，但是近几年国际局势的变化导致集装箱行业的短期预测变得更加困难、变量更多。感谢您的深度提问，谢谢！。</w:t>
            </w:r>
          </w:p>
          <w:p w14:paraId="70BEE1CE">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问：</w:t>
            </w:r>
            <w:r>
              <w:rPr>
                <w:rFonts w:hint="eastAsia" w:ascii="宋体" w:hAnsi="宋体"/>
                <w:bCs/>
                <w:iCs/>
                <w:color w:val="000000" w:themeColor="text1"/>
                <w:szCs w:val="21"/>
                <w:lang w:val="en-US" w:eastAsia="zh-CN"/>
                <w14:textFill>
                  <w14:solidFill>
                    <w14:schemeClr w14:val="tx1"/>
                  </w14:solidFill>
                </w14:textFill>
              </w:rPr>
              <w:t>请教集装箱涂料价格走势，船舶涂料认证、客户拓展进度，产能爬坡完成后降本增效的预期？</w:t>
            </w:r>
          </w:p>
          <w:p w14:paraId="075549EB">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答：尊敬的投资者，您好！</w:t>
            </w:r>
            <w:r>
              <w:rPr>
                <w:rFonts w:hint="eastAsia" w:ascii="宋体" w:hAnsi="宋体"/>
                <w:bCs/>
                <w:iCs/>
                <w:color w:val="000000" w:themeColor="text1"/>
                <w:szCs w:val="21"/>
                <w:lang w:val="en-US" w:eastAsia="zh-CN"/>
                <w14:textFill>
                  <w14:solidFill>
                    <w14:schemeClr w14:val="tx1"/>
                  </w14:solidFill>
                </w14:textFill>
              </w:rPr>
              <w:t>根据集装箱下游第一大客户中集集团披露，近期集装箱价格有所回暖，公司集装箱涂料业务外部经营环境也因此有所改善。针对船舶涂料认证进度，请您参见公司之前的自愿性信息披露及定期报告，总体进展符合预期。当然目前公司还在持续进行更加环保或更具有长期防腐、防污性能的产品。针对客户开拓，公司今年已经完成船舶涂料修复业务的境内境外客户订单，新船涂料业务已经在国内实现突破，下一步对于公司而言更重要的是能否进入境外客户的新船涂料领域。公司目前产能角度可以支持较大规模的销售，但目前重点还是要加大力度开拓几个应用领域的客户，以实现收入和利润的提升。感谢您的提问，谢谢！</w:t>
            </w:r>
          </w:p>
          <w:p w14:paraId="5A50672B">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问</w:t>
            </w:r>
            <w:r>
              <w:rPr>
                <w:rFonts w:hint="eastAsia" w:ascii="宋体" w:hAnsi="宋体"/>
                <w:bCs/>
                <w:iCs/>
                <w:color w:val="000000" w:themeColor="text1"/>
                <w:szCs w:val="21"/>
                <w:lang w:val="en-US" w:eastAsia="zh-CN"/>
                <w14:textFill>
                  <w14:solidFill>
                    <w14:schemeClr w14:val="tx1"/>
                  </w14:solidFill>
                </w14:textFill>
              </w:rPr>
              <w:t>：</w:t>
            </w:r>
            <w:r>
              <w:rPr>
                <w:rFonts w:hint="default" w:ascii="宋体" w:hAnsi="宋体"/>
                <w:bCs/>
                <w:iCs/>
                <w:color w:val="000000" w:themeColor="text1"/>
                <w:szCs w:val="21"/>
                <w:lang w:val="en-US" w:eastAsia="zh-CN"/>
                <w14:textFill>
                  <w14:solidFill>
                    <w14:schemeClr w14:val="tx1"/>
                  </w14:solidFill>
                </w14:textFill>
              </w:rPr>
              <w:t>前三季度归母净利润同比下降约56%，新业务拓展投入的收入贡献仍有滞后。未来推动船舶涂料规模化应用，公司会更侧重完善自有技术服务体系，还是深化与船厂及船舶维修企业的合作</w:t>
            </w:r>
            <w:r>
              <w:rPr>
                <w:rFonts w:hint="eastAsia" w:ascii="宋体" w:hAnsi="宋体"/>
                <w:bCs/>
                <w:iCs/>
                <w:color w:val="000000" w:themeColor="text1"/>
                <w:szCs w:val="21"/>
                <w:lang w:val="en-US" w:eastAsia="zh-CN"/>
                <w14:textFill>
                  <w14:solidFill>
                    <w14:schemeClr w14:val="tx1"/>
                  </w14:solidFill>
                </w14:textFill>
              </w:rPr>
              <w:t>？</w:t>
            </w:r>
          </w:p>
          <w:p w14:paraId="65BCF796">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针对船舶涂料的规模化应用，公司在产品研发、销售体系建设、技服体系搭建方面侧重建立自身体系，但确实在业务发展路径角度，的确可以考虑采取更多战略合作、股权绑定、合资合作等可能带来跨越式发展的路径。感谢您的深度提问，谢谢！</w:t>
            </w:r>
          </w:p>
          <w:p w14:paraId="310AADB2">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 xml:space="preserve">问：珠海7万吨的项目已经转固计提折旧，产能利用率如何？ </w:t>
            </w:r>
          </w:p>
          <w:p w14:paraId="53C43BC1">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公司的珠海生产基地在2025年6月末开始投产，投产后逐步爬坡。大体而言，目前华南地区的客户订单主要由珠海工厂负责供应，一方面可以节省物流运输费用，另一方面，可以更快响应华南地区客户的需求，提高客户满意度。今年以来，珠海产能利用率总体持续改善，对公司整体生产安排、客户响应起到了显著作用。感谢您的提问，谢谢！</w:t>
            </w:r>
          </w:p>
          <w:p w14:paraId="7BC4633D">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 xml:space="preserve">问：三季报显示公司的销售费用增幅较大，主要投入方向是什么？ </w:t>
            </w:r>
          </w:p>
          <w:p w14:paraId="09F8C9DA">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公司销售费用增加有几个方面，现有业务的持续推广及新业务或新市场的拓展工作，新增销售或技术服务人员、因拓展增加的差旅费、市场推广费等。公司新业务目前处于拓展期，收入释放存在滞后效应。工业涂料企业要想实现长期发展，必须居安思危，因此基于未来的投入势在必行，也会造成短期费用增加。相信随着新业务的逐渐落地，公司的综合实力和盈利能力会得到增强。感谢您的提问，谢谢！</w:t>
            </w:r>
          </w:p>
          <w:p w14:paraId="521CB79B">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 xml:space="preserve">问：现在公司的研发投入主要投到哪些方向？ </w:t>
            </w:r>
          </w:p>
          <w:p w14:paraId="5B1AC384">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eastAsia"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今年前三季度公司共有29个研发项目，包括开发更具环保性能、或者更具长期防腐性能的防污漆及船舶涂料、开发用于集装箱及其他工业领域的粉末涂料、开发适用于钻井或海洋设备平台更高性能的海工涂料、开发风电及太阳能等新能源相关领域的涂料、开发电力设备涂料，开发防火涂料以及其他多个研发项目。感谢您的提问，谢谢！</w:t>
            </w:r>
          </w:p>
          <w:p w14:paraId="4F63C278">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w:t>
            </w:r>
            <w:r>
              <w:rPr>
                <w:rFonts w:hint="default" w:ascii="宋体" w:hAnsi="宋体"/>
                <w:bCs/>
                <w:iCs/>
                <w:color w:val="000000" w:themeColor="text1"/>
                <w:szCs w:val="21"/>
                <w:lang w:val="en-US" w:eastAsia="zh-CN"/>
                <w14:textFill>
                  <w14:solidFill>
                    <w14:schemeClr w14:val="tx1"/>
                  </w14:solidFill>
                </w14:textFill>
              </w:rPr>
              <w:t>我注意到公司提到了有防火涂料性能的产品，能否介绍一下这是应用在哪里？</w:t>
            </w:r>
          </w:p>
          <w:p w14:paraId="17A3E331">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eastAsia"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答：</w:t>
            </w:r>
            <w:r>
              <w:rPr>
                <w:rFonts w:hint="eastAsia" w:ascii="宋体" w:hAnsi="宋体"/>
                <w:bCs/>
                <w:iCs/>
                <w:color w:val="000000" w:themeColor="text1"/>
                <w:szCs w:val="21"/>
                <w:lang w:val="en-US" w:eastAsia="zh-CN"/>
                <w14:textFill>
                  <w14:solidFill>
                    <w14:schemeClr w14:val="tx1"/>
                  </w14:solidFill>
                </w14:textFill>
              </w:rPr>
              <w:t>尊敬的投资者，您好！公司的防火涂料可用于不同方面，例如，数据中心的建筑需要防火性能；钢结构也需要防火涂料；海工领域更有防火涂料的用武之地。目前公司防火涂料已经通过了部分测试。谢谢您的提问。</w:t>
            </w:r>
          </w:p>
          <w:p w14:paraId="1226780B">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0" w:leftChars="0" w:firstLine="42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三季报显示公司经营活动产生的现金流量净额同比大幅下降137.06%，且应收账款/利润比率高达450.72%。请问财务总监，在下游客户多为大型船厂或风电整机厂的情况下，如此高的应收款占比是否意味着坏账风险正在积聚？公司未来在加强应收账款催收、改善经营性现金流方面，有哪些实质性的考核与管控措施？</w:t>
            </w:r>
          </w:p>
          <w:p w14:paraId="30AB528D">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公司下游直接客户主要是集装箱制造厂家及风电叶片厂家，主要为大型企业或上市公司，由于收入的季节波动性会造成应收账款的分布也会波动，但总体应收账款风险可控。但您说的应收账款问题我们也在一直关注，在业绩考核、应收账款回收方面公司都做了相应的安排，谢谢您的提醒。</w:t>
            </w:r>
          </w:p>
          <w:p w14:paraId="54B4BACB">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问：公司前三季度存在股份支付费用，上年同期没有，请问股份支付大致金额，股权激励对后续2026年四季度、2027年利润还有多大影响？</w:t>
            </w:r>
          </w:p>
          <w:p w14:paraId="301E579F">
            <w:pPr>
              <w:keepNext w:val="0"/>
              <w:keepLines w:val="0"/>
              <w:pageBreakBefore w:val="0"/>
              <w:widowControl w:val="0"/>
              <w:numPr>
                <w:ilvl w:val="-1"/>
                <w:numId w:val="0"/>
              </w:numPr>
              <w:kinsoku/>
              <w:wordWrap/>
              <w:overflowPunct/>
              <w:topLinePunct w:val="0"/>
              <w:autoSpaceDE/>
              <w:autoSpaceDN/>
              <w:bidi w:val="0"/>
              <w:adjustRightInd/>
              <w:snapToGrid/>
              <w:spacing w:before="63" w:beforeLines="20" w:line="360" w:lineRule="auto"/>
              <w:ind w:left="0"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答：尊敬的投资者，您好！公司 2025 年第四季度推出股权激励计划，2026年前三季度确认对应股份支付费用800多万元，上年同期无该类支出，对本期利润形成一定压制。股份支付会在等待期内分期摊销，后续摊销金额以财务报表数据为准，属于非现金费用，不会影响公司经营性现金流。感谢您的提问，谢谢！</w:t>
            </w:r>
          </w:p>
          <w:p w14:paraId="055143E6">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梁董您好，作为独立董事，您如何评价管理层在前三季度增加信用减值损失及计提股份支付费用的合理性？在集装箱涂料毛利大幅下降、新业务尚未形成规模利润的“青黄不接”时期，董事会审计委员会是否对管理层进行了充分质询，以确保这些会计处理是基于审慎原则，而非利用减值进行跨期利润调节，从而损害中小股东的当期利益？</w:t>
            </w:r>
          </w:p>
          <w:p w14:paraId="726E839B">
            <w:pPr>
              <w:keepNext w:val="0"/>
              <w:keepLines w:val="0"/>
              <w:pageBreakBefore w:val="0"/>
              <w:widowControl w:val="0"/>
              <w:numPr>
                <w:ilvl w:val="-1"/>
                <w:numId w:val="0"/>
              </w:numPr>
              <w:kinsoku/>
              <w:wordWrap/>
              <w:overflowPunct/>
              <w:topLinePunct w:val="0"/>
              <w:autoSpaceDE/>
              <w:autoSpaceDN/>
              <w:bidi w:val="0"/>
              <w:adjustRightInd/>
              <w:snapToGrid/>
              <w:spacing w:before="63" w:beforeLines="20" w:line="360" w:lineRule="auto"/>
              <w:ind w:left="0"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作为独立董事及审计委员会委员，也是资深财务人员，我认为管理层在前三季度信用减值损失及股份支付费用合理、谨慎；审计委员会在每次定期报告之前的审计委员会均会认真质询、严格履职，公司该等会计处理谨慎、合规，不存在调节利润及损害中小股东利益之情形。谢谢您的问题。</w:t>
            </w:r>
          </w:p>
          <w:p w14:paraId="190453F8">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公司2026年上半年派现占归母净利润比例高达90.21%，展现了极强的股东回报意愿。但在当前珠海、南通新产能爬坡以及海外（如荷兰）研发和市场拓展均需大量资金支持的背景下，这种高比例分红是否会透支公司未来的资本开支能力？管理层在平衡“当期股东回报”与“长期战略投入”时，是否有明确的财务红线或量化标准？</w:t>
            </w:r>
          </w:p>
          <w:p w14:paraId="28DC5266">
            <w:pPr>
              <w:keepNext w:val="0"/>
              <w:keepLines w:val="0"/>
              <w:pageBreakBefore w:val="0"/>
              <w:widowControl w:val="0"/>
              <w:kinsoku/>
              <w:wordWrap/>
              <w:overflowPunct/>
              <w:topLinePunct w:val="0"/>
              <w:autoSpaceDE/>
              <w:autoSpaceDN/>
              <w:bidi w:val="0"/>
              <w:adjustRightInd/>
              <w:snapToGrid/>
              <w:spacing w:before="63" w:beforeLines="20" w:line="360" w:lineRule="auto"/>
              <w:ind w:firstLine="420" w:firstLineChars="200"/>
              <w:textAlignment w:val="auto"/>
              <w:rPr>
                <w:rFonts w:hint="eastAsia"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针对现金分红，公司会兼顾股东现金回报与企业可持续发展，审慎评估所需营运资金、研发投入、市场拓展投入以及未来发展所需资金。目前时点，除研发中心之外，公司固定资产大规模建设基本结束，未来几年资本开支相对较少，但随着新业务的进展，尚需研发及流动资金的不断投入。从量化标准来看，公司章程规定是最低红线，但您说的问题是个很好的问题，公司会深入讨论。谢谢您的提问。</w:t>
            </w:r>
          </w:p>
          <w:p w14:paraId="652487AA">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问：报告期末回购专用账户持有 127.40 万股，请问公司后续有无继续回购计划？回购股份未来用途是什么？</w:t>
            </w:r>
          </w:p>
          <w:p w14:paraId="6861DB45">
            <w:pPr>
              <w:keepNext w:val="0"/>
              <w:keepLines w:val="0"/>
              <w:pageBreakBefore w:val="0"/>
              <w:widowControl w:val="0"/>
              <w:numPr>
                <w:ilvl w:val="-1"/>
                <w:numId w:val="0"/>
              </w:numPr>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答：截至报告期末，公司回购专用证券账户股份数量为 1,274,040 股，占总股本 1.18%。回购股份后续用途将按照已披露方案执行，主要用于股权激励。是否继续回购，需要结合公司资金状况、二级市场、董事会审议情况，如有相关计划公司会及时公告。此外，公司也在关注证监会最新的回购指导。感谢您的提问，谢谢！</w:t>
            </w:r>
          </w:p>
          <w:p w14:paraId="2FD89EB9">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11月9日，公司有130万股限售股解禁，而股东上海麦旭企业管理合伙企业（有限合伙）应该是公司高管的股权激励吧？请问这家公司有抛售计划吗？</w:t>
            </w:r>
          </w:p>
          <w:p w14:paraId="42A9EDA9">
            <w:pPr>
              <w:keepNext w:val="0"/>
              <w:keepLines w:val="0"/>
              <w:pageBreakBefore w:val="0"/>
              <w:widowControl w:val="0"/>
              <w:numPr>
                <w:ilvl w:val="-1"/>
                <w:numId w:val="0"/>
              </w:numPr>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上海麦旭企业管理合伙企业（有限合伙）共有19名合伙人，共持有公司324万股。本次解禁40%即129.6万股，对应合伙人17名，其中仅有极少量股份对应1名高管，其余16人均为公司非高管员工。预计部分员工会在一定价格之上有所减持，部分员工暂时未明确减持计划或暂不出售，具体尚未完全确定。感谢您的提问，谢谢！</w:t>
            </w:r>
          </w:p>
          <w:p w14:paraId="6F9A1620">
            <w:pPr>
              <w:keepNext w:val="0"/>
              <w:keepLines w:val="0"/>
              <w:pageBreakBefore w:val="0"/>
              <w:widowControl w:val="0"/>
              <w:numPr>
                <w:ilvl w:val="0"/>
                <w:numId w:val="1"/>
              </w:numPr>
              <w:kinsoku/>
              <w:wordWrap/>
              <w:overflowPunct/>
              <w:topLinePunct w:val="0"/>
              <w:autoSpaceDE/>
              <w:autoSpaceDN/>
              <w:bidi w:val="0"/>
              <w:adjustRightInd/>
              <w:snapToGrid/>
              <w:spacing w:before="156" w:beforeLines="50" w:line="360" w:lineRule="auto"/>
              <w:ind w:left="10" w:firstLine="410" w:firstLineChars="0"/>
              <w:textAlignment w:val="auto"/>
              <w:rPr>
                <w:rFonts w:hint="default" w:ascii="宋体" w:hAnsi="宋体"/>
                <w:bCs/>
                <w:iCs/>
                <w:color w:val="000000" w:themeColor="text1"/>
                <w:szCs w:val="21"/>
                <w:lang w:val="en-US" w:eastAsia="zh-CN"/>
                <w14:textFill>
                  <w14:solidFill>
                    <w14:schemeClr w14:val="tx1"/>
                  </w14:solidFill>
                </w14:textFill>
              </w:rPr>
            </w:pPr>
            <w:r>
              <w:rPr>
                <w:rFonts w:hint="default" w:ascii="宋体" w:hAnsi="宋体"/>
                <w:bCs/>
                <w:iCs/>
                <w:color w:val="000000" w:themeColor="text1"/>
                <w:szCs w:val="21"/>
                <w:lang w:val="en-US" w:eastAsia="zh-CN"/>
                <w14:textFill>
                  <w14:solidFill>
                    <w14:schemeClr w14:val="tx1"/>
                  </w14:solidFill>
                </w14:textFill>
              </w:rPr>
              <w:t>公司到底如何理解市值管理？</w:t>
            </w:r>
          </w:p>
          <w:p w14:paraId="3BC841F1">
            <w:pPr>
              <w:keepNext w:val="0"/>
              <w:keepLines w:val="0"/>
              <w:pageBreakBefore w:val="0"/>
              <w:widowControl w:val="0"/>
              <w:numPr>
                <w:ilvl w:val="-1"/>
                <w:numId w:val="0"/>
              </w:numPr>
              <w:kinsoku/>
              <w:wordWrap/>
              <w:overflowPunct/>
              <w:topLinePunct w:val="0"/>
              <w:autoSpaceDE/>
              <w:autoSpaceDN/>
              <w:bidi w:val="0"/>
              <w:adjustRightInd/>
              <w:snapToGrid/>
              <w:spacing w:before="63" w:beforeLines="20" w:line="360" w:lineRule="auto"/>
              <w:ind w:firstLine="420" w:firstLineChars="200"/>
              <w:textAlignment w:val="auto"/>
              <w:rPr>
                <w:rFonts w:hint="default" w:ascii="宋体" w:hAnsi="宋体"/>
                <w:bCs/>
                <w:iCs/>
                <w:color w:val="000000" w:themeColor="text1"/>
                <w:szCs w:val="21"/>
                <w:lang w:val="en-US" w:eastAsia="zh-CN"/>
                <w14:textFill>
                  <w14:solidFill>
                    <w14:schemeClr w14:val="tx1"/>
                  </w14:solidFill>
                </w14:textFill>
              </w:rPr>
            </w:pPr>
            <w:r>
              <w:rPr>
                <w:rFonts w:hint="eastAsia" w:ascii="宋体" w:hAnsi="宋体"/>
                <w:bCs/>
                <w:iCs/>
                <w:color w:val="000000" w:themeColor="text1"/>
                <w:szCs w:val="21"/>
                <w:lang w:val="en-US" w:eastAsia="zh-CN"/>
                <w14:textFill>
                  <w14:solidFill>
                    <w14:schemeClr w14:val="tx1"/>
                  </w14:solidFill>
                </w14:textFill>
              </w:rPr>
              <w:t>答：尊敬的投资者，您好！针对市值管理，公司认为还是要以打造公司长期价值为目标、以持续强化经营业绩为基础，同时充分利用资本运作类、股东回报类工具箱，强化投资者沟通和信息披露，最终提升股东回报。公司近几年也是一直围绕上述理念，增加新的覆盖领域、持续不断投入，打造公司长期、持续经营能力，同时通过现金分红等强化投资者回报；通过股权激励等安排优化公司治理机制。针对并购重组等措施，公司一直坚持务实理念。从部分投资者的角度，也许希望跨界并购、甚至概念操作营造股价上涨，但这无疑只是短期的盛宴。从公司角度，打造长期价值是我们的核心理念，也借此机会感谢诸多的理性投资人、耐心资本对公司的支持。感谢您的提问，谢谢！</w:t>
            </w:r>
          </w:p>
          <w:p w14:paraId="2539878A">
            <w:pPr>
              <w:keepNext w:val="0"/>
              <w:keepLines w:val="0"/>
              <w:pageBreakBefore w:val="0"/>
              <w:widowControl w:val="0"/>
              <w:numPr>
                <w:ilvl w:val="-1"/>
                <w:numId w:val="0"/>
              </w:numPr>
              <w:kinsoku/>
              <w:wordWrap/>
              <w:overflowPunct/>
              <w:topLinePunct w:val="0"/>
              <w:autoSpaceDE/>
              <w:autoSpaceDN/>
              <w:bidi w:val="0"/>
              <w:adjustRightInd/>
              <w:snapToGrid/>
              <w:spacing w:before="156" w:beforeLines="50" w:line="40" w:lineRule="exact"/>
              <w:ind w:left="0" w:firstLine="0" w:firstLineChars="0"/>
              <w:textAlignment w:val="auto"/>
              <w:rPr>
                <w:rFonts w:hint="default" w:ascii="宋体" w:hAnsi="宋体"/>
                <w:bCs/>
                <w:iCs/>
                <w:color w:val="000000" w:themeColor="text1"/>
                <w:szCs w:val="21"/>
                <w:lang w:val="en-US" w:eastAsia="zh-CN"/>
                <w14:textFill>
                  <w14:solidFill>
                    <w14:schemeClr w14:val="tx1"/>
                  </w14:solidFill>
                </w14:textFill>
              </w:rPr>
            </w:pPr>
          </w:p>
        </w:tc>
      </w:tr>
      <w:bookmarkEnd w:id="0"/>
      <w:tr w14:paraId="4175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81" w:type="dxa"/>
            <w:shd w:val="clear" w:color="auto" w:fill="auto"/>
            <w:vAlign w:val="center"/>
          </w:tcPr>
          <w:p w14:paraId="219512D0">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附件清单</w:t>
            </w:r>
          </w:p>
        </w:tc>
        <w:tc>
          <w:tcPr>
            <w:tcW w:w="7146" w:type="dxa"/>
            <w:shd w:val="clear" w:color="auto" w:fill="auto"/>
          </w:tcPr>
          <w:p w14:paraId="768EED7A">
            <w:pPr>
              <w:spacing w:line="480" w:lineRule="atLeast"/>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无</w:t>
            </w:r>
          </w:p>
        </w:tc>
      </w:tr>
      <w:tr w14:paraId="190F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81" w:type="dxa"/>
            <w:shd w:val="clear" w:color="auto" w:fill="auto"/>
            <w:vAlign w:val="center"/>
          </w:tcPr>
          <w:p w14:paraId="20A09198">
            <w:pPr>
              <w:rPr>
                <w:rFonts w:ascii="宋体" w:hAnsi="宋体"/>
                <w:b/>
                <w:bCs/>
                <w:iCs/>
                <w:color w:val="000000" w:themeColor="text1"/>
                <w:szCs w:val="21"/>
                <w14:textFill>
                  <w14:solidFill>
                    <w14:schemeClr w14:val="tx1"/>
                  </w14:solidFill>
                </w14:textFill>
              </w:rPr>
            </w:pPr>
            <w:r>
              <w:rPr>
                <w:rFonts w:hint="eastAsia" w:ascii="宋体" w:hAnsi="宋体"/>
                <w:b/>
                <w:bCs/>
                <w:iCs/>
                <w:color w:val="000000" w:themeColor="text1"/>
                <w:szCs w:val="21"/>
                <w14:textFill>
                  <w14:solidFill>
                    <w14:schemeClr w14:val="tx1"/>
                  </w14:solidFill>
                </w14:textFill>
              </w:rPr>
              <w:t>公告日期</w:t>
            </w:r>
          </w:p>
        </w:tc>
        <w:tc>
          <w:tcPr>
            <w:tcW w:w="7146" w:type="dxa"/>
            <w:shd w:val="clear" w:color="auto" w:fill="auto"/>
          </w:tcPr>
          <w:p w14:paraId="3D29FF7D">
            <w:pPr>
              <w:spacing w:line="480" w:lineRule="atLeast"/>
              <w:rPr>
                <w:rFonts w:ascii="宋体" w:hAnsi="宋体"/>
                <w:bCs/>
                <w:iCs/>
                <w:color w:val="000000" w:themeColor="text1"/>
                <w:szCs w:val="21"/>
                <w14:textFill>
                  <w14:solidFill>
                    <w14:schemeClr w14:val="tx1"/>
                  </w14:solidFill>
                </w14:textFill>
              </w:rPr>
            </w:pPr>
            <w:r>
              <w:rPr>
                <w:rFonts w:hint="eastAsia" w:ascii="宋体" w:hAnsi="宋体"/>
                <w:bCs/>
                <w:iCs/>
                <w:color w:val="000000" w:themeColor="text1"/>
                <w:szCs w:val="21"/>
                <w14:textFill>
                  <w14:solidFill>
                    <w14:schemeClr w14:val="tx1"/>
                  </w14:solidFill>
                </w14:textFill>
              </w:rPr>
              <w:t>2</w:t>
            </w:r>
            <w:r>
              <w:rPr>
                <w:rFonts w:ascii="宋体" w:hAnsi="宋体"/>
                <w:bCs/>
                <w:iCs/>
                <w:color w:val="000000" w:themeColor="text1"/>
                <w:szCs w:val="21"/>
                <w14:textFill>
                  <w14:solidFill>
                    <w14:schemeClr w14:val="tx1"/>
                  </w14:solidFill>
                </w14:textFill>
              </w:rPr>
              <w:t>02</w:t>
            </w:r>
            <w:r>
              <w:rPr>
                <w:rFonts w:hint="eastAsia" w:ascii="宋体" w:hAnsi="宋体"/>
                <w:bCs/>
                <w:iCs/>
                <w:color w:val="000000" w:themeColor="text1"/>
                <w:szCs w:val="21"/>
                <w:lang w:val="en-US" w:eastAsia="zh-CN"/>
                <w14:textFill>
                  <w14:solidFill>
                    <w14:schemeClr w14:val="tx1"/>
                  </w14:solidFill>
                </w14:textFill>
              </w:rPr>
              <w:t>6</w:t>
            </w:r>
            <w:r>
              <w:rPr>
                <w:rFonts w:hint="eastAsia" w:ascii="宋体" w:hAnsi="宋体"/>
                <w:bCs/>
                <w:iCs/>
                <w:color w:val="000000" w:themeColor="text1"/>
                <w:szCs w:val="21"/>
                <w14:textFill>
                  <w14:solidFill>
                    <w14:schemeClr w14:val="tx1"/>
                  </w14:solidFill>
                </w14:textFill>
              </w:rPr>
              <w:t>年</w:t>
            </w:r>
            <w:r>
              <w:rPr>
                <w:rFonts w:hint="eastAsia" w:ascii="宋体" w:hAnsi="宋体"/>
                <w:bCs/>
                <w:iCs/>
                <w:color w:val="000000" w:themeColor="text1"/>
                <w:szCs w:val="21"/>
                <w:lang w:val="en-US" w:eastAsia="zh-CN"/>
                <w14:textFill>
                  <w14:solidFill>
                    <w14:schemeClr w14:val="tx1"/>
                  </w14:solidFill>
                </w14:textFill>
              </w:rPr>
              <w:t>11</w:t>
            </w:r>
            <w:r>
              <w:rPr>
                <w:rFonts w:hint="eastAsia" w:ascii="宋体" w:hAnsi="宋体"/>
                <w:bCs/>
                <w:iCs/>
                <w:color w:val="000000" w:themeColor="text1"/>
                <w:szCs w:val="21"/>
                <w14:textFill>
                  <w14:solidFill>
                    <w14:schemeClr w14:val="tx1"/>
                  </w14:solidFill>
                </w14:textFill>
              </w:rPr>
              <w:t>月</w:t>
            </w:r>
            <w:r>
              <w:rPr>
                <w:rFonts w:hint="eastAsia" w:ascii="宋体" w:hAnsi="宋体"/>
                <w:bCs/>
                <w:iCs/>
                <w:color w:val="000000" w:themeColor="text1"/>
                <w:szCs w:val="21"/>
                <w:lang w:val="en-US" w:eastAsia="zh-CN"/>
                <w14:textFill>
                  <w14:solidFill>
                    <w14:schemeClr w14:val="tx1"/>
                  </w14:solidFill>
                </w14:textFill>
              </w:rPr>
              <w:t>5</w:t>
            </w:r>
            <w:r>
              <w:rPr>
                <w:rFonts w:hint="eastAsia" w:ascii="宋体" w:hAnsi="宋体"/>
                <w:bCs/>
                <w:iCs/>
                <w:color w:val="000000" w:themeColor="text1"/>
                <w:szCs w:val="21"/>
                <w14:textFill>
                  <w14:solidFill>
                    <w14:schemeClr w14:val="tx1"/>
                  </w14:solidFill>
                </w14:textFill>
              </w:rPr>
              <w:t>日</w:t>
            </w:r>
          </w:p>
        </w:tc>
      </w:tr>
    </w:tbl>
    <w:p w14:paraId="26AEAA9F">
      <w:pPr>
        <w:rPr>
          <w:rFonts w:hint="eastAsia"/>
          <w:color w:val="000000" w:themeColor="text1"/>
          <w14:textFill>
            <w14:solidFill>
              <w14:schemeClr w14:val="tx1"/>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7FB4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0EF2D">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790EF2D">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496DD"/>
    <w:multiLevelType w:val="singleLevel"/>
    <w:tmpl w:val="846496DD"/>
    <w:lvl w:ilvl="0" w:tentative="0">
      <w:start w:val="1"/>
      <w:numFmt w:val="decimal"/>
      <w:suff w:val="nothing"/>
      <w:lvlText w:val="%1．"/>
      <w:lvlJc w:val="left"/>
      <w:pPr>
        <w:ind w:left="21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4NjI5OTBmMDM1ODFlMDkzNDFlZTFiMWNhZWU5ZTMifQ=="/>
  </w:docVars>
  <w:rsids>
    <w:rsidRoot w:val="006B0E6C"/>
    <w:rsid w:val="00004C04"/>
    <w:rsid w:val="00011527"/>
    <w:rsid w:val="00012FF9"/>
    <w:rsid w:val="00016A7E"/>
    <w:rsid w:val="00026B2F"/>
    <w:rsid w:val="00036B52"/>
    <w:rsid w:val="0004299A"/>
    <w:rsid w:val="000435DD"/>
    <w:rsid w:val="000567C9"/>
    <w:rsid w:val="00072282"/>
    <w:rsid w:val="00076410"/>
    <w:rsid w:val="0008221E"/>
    <w:rsid w:val="00092082"/>
    <w:rsid w:val="000959EE"/>
    <w:rsid w:val="000A34AB"/>
    <w:rsid w:val="000A3E4F"/>
    <w:rsid w:val="000C3E42"/>
    <w:rsid w:val="000D4219"/>
    <w:rsid w:val="000D6F15"/>
    <w:rsid w:val="000E51B1"/>
    <w:rsid w:val="000F22B2"/>
    <w:rsid w:val="001128C8"/>
    <w:rsid w:val="0013434A"/>
    <w:rsid w:val="001405E0"/>
    <w:rsid w:val="00141EEE"/>
    <w:rsid w:val="0015404C"/>
    <w:rsid w:val="0015543C"/>
    <w:rsid w:val="00160A36"/>
    <w:rsid w:val="0017474C"/>
    <w:rsid w:val="001813E3"/>
    <w:rsid w:val="00192F82"/>
    <w:rsid w:val="0019316B"/>
    <w:rsid w:val="001A5110"/>
    <w:rsid w:val="001B23CD"/>
    <w:rsid w:val="001B502C"/>
    <w:rsid w:val="001C02A1"/>
    <w:rsid w:val="001C0410"/>
    <w:rsid w:val="001D3513"/>
    <w:rsid w:val="001D4ADB"/>
    <w:rsid w:val="001D5369"/>
    <w:rsid w:val="001E58C4"/>
    <w:rsid w:val="00201372"/>
    <w:rsid w:val="002122D5"/>
    <w:rsid w:val="0021606C"/>
    <w:rsid w:val="002173FD"/>
    <w:rsid w:val="00240FA3"/>
    <w:rsid w:val="0025568F"/>
    <w:rsid w:val="00260609"/>
    <w:rsid w:val="00263496"/>
    <w:rsid w:val="00275288"/>
    <w:rsid w:val="002958D6"/>
    <w:rsid w:val="002A5B01"/>
    <w:rsid w:val="002A6EF6"/>
    <w:rsid w:val="002B2E8E"/>
    <w:rsid w:val="002B392B"/>
    <w:rsid w:val="002B5EB2"/>
    <w:rsid w:val="002C1F7B"/>
    <w:rsid w:val="002C33AB"/>
    <w:rsid w:val="002C7E0B"/>
    <w:rsid w:val="002D28B5"/>
    <w:rsid w:val="002E4C56"/>
    <w:rsid w:val="002F05C7"/>
    <w:rsid w:val="00314911"/>
    <w:rsid w:val="00317C59"/>
    <w:rsid w:val="00333869"/>
    <w:rsid w:val="00337D7A"/>
    <w:rsid w:val="0035619A"/>
    <w:rsid w:val="00361434"/>
    <w:rsid w:val="0036558D"/>
    <w:rsid w:val="00366241"/>
    <w:rsid w:val="00366565"/>
    <w:rsid w:val="00370ECE"/>
    <w:rsid w:val="00390389"/>
    <w:rsid w:val="00394D22"/>
    <w:rsid w:val="00394DE3"/>
    <w:rsid w:val="00396461"/>
    <w:rsid w:val="003A712B"/>
    <w:rsid w:val="003C07D7"/>
    <w:rsid w:val="003E0A10"/>
    <w:rsid w:val="003F0231"/>
    <w:rsid w:val="003F2229"/>
    <w:rsid w:val="003F55F2"/>
    <w:rsid w:val="004009CA"/>
    <w:rsid w:val="00402F61"/>
    <w:rsid w:val="00404CDC"/>
    <w:rsid w:val="00417FC3"/>
    <w:rsid w:val="00444560"/>
    <w:rsid w:val="00471257"/>
    <w:rsid w:val="00472ACD"/>
    <w:rsid w:val="004742AB"/>
    <w:rsid w:val="00475730"/>
    <w:rsid w:val="004809F2"/>
    <w:rsid w:val="00487B8E"/>
    <w:rsid w:val="00491779"/>
    <w:rsid w:val="00491B8D"/>
    <w:rsid w:val="004935C2"/>
    <w:rsid w:val="004B0458"/>
    <w:rsid w:val="004B36A1"/>
    <w:rsid w:val="004B6085"/>
    <w:rsid w:val="004C6E9F"/>
    <w:rsid w:val="004D5BB3"/>
    <w:rsid w:val="004E4725"/>
    <w:rsid w:val="004E61A3"/>
    <w:rsid w:val="004E7C4E"/>
    <w:rsid w:val="00510387"/>
    <w:rsid w:val="00514F48"/>
    <w:rsid w:val="00525195"/>
    <w:rsid w:val="00534818"/>
    <w:rsid w:val="005362CB"/>
    <w:rsid w:val="00544132"/>
    <w:rsid w:val="005510A2"/>
    <w:rsid w:val="00561EA3"/>
    <w:rsid w:val="00565E16"/>
    <w:rsid w:val="005754B0"/>
    <w:rsid w:val="00584040"/>
    <w:rsid w:val="00585C24"/>
    <w:rsid w:val="005970C3"/>
    <w:rsid w:val="005A0DD7"/>
    <w:rsid w:val="005B1464"/>
    <w:rsid w:val="005B7160"/>
    <w:rsid w:val="005C3404"/>
    <w:rsid w:val="005E2F24"/>
    <w:rsid w:val="005F081E"/>
    <w:rsid w:val="005F0FD2"/>
    <w:rsid w:val="005F4790"/>
    <w:rsid w:val="005F5D73"/>
    <w:rsid w:val="00602792"/>
    <w:rsid w:val="006112ED"/>
    <w:rsid w:val="00614F25"/>
    <w:rsid w:val="0061524E"/>
    <w:rsid w:val="006162DC"/>
    <w:rsid w:val="006310F3"/>
    <w:rsid w:val="0064668B"/>
    <w:rsid w:val="006479EF"/>
    <w:rsid w:val="00647FB6"/>
    <w:rsid w:val="006617A3"/>
    <w:rsid w:val="006745D9"/>
    <w:rsid w:val="00683C01"/>
    <w:rsid w:val="00685038"/>
    <w:rsid w:val="00691FF3"/>
    <w:rsid w:val="00697598"/>
    <w:rsid w:val="006A65E6"/>
    <w:rsid w:val="006A7077"/>
    <w:rsid w:val="006A7C6B"/>
    <w:rsid w:val="006B0E6C"/>
    <w:rsid w:val="006B4013"/>
    <w:rsid w:val="006D05C9"/>
    <w:rsid w:val="006D2345"/>
    <w:rsid w:val="006D3080"/>
    <w:rsid w:val="006D36E7"/>
    <w:rsid w:val="006E1FE0"/>
    <w:rsid w:val="006E54C4"/>
    <w:rsid w:val="006E6B79"/>
    <w:rsid w:val="007001D6"/>
    <w:rsid w:val="007238FB"/>
    <w:rsid w:val="00725794"/>
    <w:rsid w:val="00726E87"/>
    <w:rsid w:val="00732916"/>
    <w:rsid w:val="00732E5C"/>
    <w:rsid w:val="007353B8"/>
    <w:rsid w:val="00736473"/>
    <w:rsid w:val="00742C37"/>
    <w:rsid w:val="00743E6A"/>
    <w:rsid w:val="007510CB"/>
    <w:rsid w:val="00766225"/>
    <w:rsid w:val="00774C7A"/>
    <w:rsid w:val="00781BD3"/>
    <w:rsid w:val="0078506B"/>
    <w:rsid w:val="00786523"/>
    <w:rsid w:val="00791D73"/>
    <w:rsid w:val="007B371E"/>
    <w:rsid w:val="007C4B42"/>
    <w:rsid w:val="007D0743"/>
    <w:rsid w:val="007D67AD"/>
    <w:rsid w:val="007E0DAD"/>
    <w:rsid w:val="007E18FA"/>
    <w:rsid w:val="007E3B0E"/>
    <w:rsid w:val="007E4122"/>
    <w:rsid w:val="007F5B86"/>
    <w:rsid w:val="007F7835"/>
    <w:rsid w:val="00806E06"/>
    <w:rsid w:val="00815C0E"/>
    <w:rsid w:val="00831F70"/>
    <w:rsid w:val="00834456"/>
    <w:rsid w:val="008414CC"/>
    <w:rsid w:val="00852785"/>
    <w:rsid w:val="008920C5"/>
    <w:rsid w:val="0089652B"/>
    <w:rsid w:val="00896729"/>
    <w:rsid w:val="008A1A88"/>
    <w:rsid w:val="008A3497"/>
    <w:rsid w:val="008A40AE"/>
    <w:rsid w:val="008C2579"/>
    <w:rsid w:val="008C2D79"/>
    <w:rsid w:val="008E1952"/>
    <w:rsid w:val="008E72E3"/>
    <w:rsid w:val="009001F7"/>
    <w:rsid w:val="00912925"/>
    <w:rsid w:val="00915919"/>
    <w:rsid w:val="00916219"/>
    <w:rsid w:val="00920CB6"/>
    <w:rsid w:val="00927EDA"/>
    <w:rsid w:val="009313A0"/>
    <w:rsid w:val="00931A7C"/>
    <w:rsid w:val="00931F3F"/>
    <w:rsid w:val="00933A68"/>
    <w:rsid w:val="00937DA2"/>
    <w:rsid w:val="00942F2C"/>
    <w:rsid w:val="00947047"/>
    <w:rsid w:val="00950E2B"/>
    <w:rsid w:val="00951467"/>
    <w:rsid w:val="009662BA"/>
    <w:rsid w:val="00973AC4"/>
    <w:rsid w:val="009A57F9"/>
    <w:rsid w:val="009A5C4D"/>
    <w:rsid w:val="009B74E9"/>
    <w:rsid w:val="009F1526"/>
    <w:rsid w:val="009F205A"/>
    <w:rsid w:val="009F469D"/>
    <w:rsid w:val="00A16013"/>
    <w:rsid w:val="00A22593"/>
    <w:rsid w:val="00A300D3"/>
    <w:rsid w:val="00A33A53"/>
    <w:rsid w:val="00A426AE"/>
    <w:rsid w:val="00A519A3"/>
    <w:rsid w:val="00A51DBD"/>
    <w:rsid w:val="00A64115"/>
    <w:rsid w:val="00A6601D"/>
    <w:rsid w:val="00A8798B"/>
    <w:rsid w:val="00A909DC"/>
    <w:rsid w:val="00A96DC6"/>
    <w:rsid w:val="00A9727C"/>
    <w:rsid w:val="00AA41FD"/>
    <w:rsid w:val="00AA6846"/>
    <w:rsid w:val="00AA7346"/>
    <w:rsid w:val="00AB21AA"/>
    <w:rsid w:val="00AC6C8B"/>
    <w:rsid w:val="00B01B6D"/>
    <w:rsid w:val="00B10A7D"/>
    <w:rsid w:val="00B10A80"/>
    <w:rsid w:val="00B1604A"/>
    <w:rsid w:val="00B1765A"/>
    <w:rsid w:val="00B40B4B"/>
    <w:rsid w:val="00B540CC"/>
    <w:rsid w:val="00B604F1"/>
    <w:rsid w:val="00B66570"/>
    <w:rsid w:val="00B8463F"/>
    <w:rsid w:val="00B86935"/>
    <w:rsid w:val="00BB0A02"/>
    <w:rsid w:val="00BD4859"/>
    <w:rsid w:val="00BE1A32"/>
    <w:rsid w:val="00BF286F"/>
    <w:rsid w:val="00BF442B"/>
    <w:rsid w:val="00BF5BDD"/>
    <w:rsid w:val="00C04DB2"/>
    <w:rsid w:val="00C2342B"/>
    <w:rsid w:val="00C42A9B"/>
    <w:rsid w:val="00C57F23"/>
    <w:rsid w:val="00C71512"/>
    <w:rsid w:val="00C739C1"/>
    <w:rsid w:val="00C7657F"/>
    <w:rsid w:val="00C93972"/>
    <w:rsid w:val="00C95F79"/>
    <w:rsid w:val="00CD0DDC"/>
    <w:rsid w:val="00CD64E1"/>
    <w:rsid w:val="00CF5F6B"/>
    <w:rsid w:val="00CF76B5"/>
    <w:rsid w:val="00D07A16"/>
    <w:rsid w:val="00D1217D"/>
    <w:rsid w:val="00D21438"/>
    <w:rsid w:val="00D27DA1"/>
    <w:rsid w:val="00D33963"/>
    <w:rsid w:val="00D46117"/>
    <w:rsid w:val="00D86A26"/>
    <w:rsid w:val="00D935F6"/>
    <w:rsid w:val="00DA093B"/>
    <w:rsid w:val="00DA583E"/>
    <w:rsid w:val="00DB06AA"/>
    <w:rsid w:val="00DB343D"/>
    <w:rsid w:val="00DD5660"/>
    <w:rsid w:val="00DE385E"/>
    <w:rsid w:val="00DE3867"/>
    <w:rsid w:val="00DE4CFB"/>
    <w:rsid w:val="00DF1170"/>
    <w:rsid w:val="00DF479B"/>
    <w:rsid w:val="00E041FD"/>
    <w:rsid w:val="00E1571D"/>
    <w:rsid w:val="00E16BD3"/>
    <w:rsid w:val="00E22F9E"/>
    <w:rsid w:val="00E30BB8"/>
    <w:rsid w:val="00E3175D"/>
    <w:rsid w:val="00E351A5"/>
    <w:rsid w:val="00E44D2F"/>
    <w:rsid w:val="00E60C15"/>
    <w:rsid w:val="00E66347"/>
    <w:rsid w:val="00E70AAE"/>
    <w:rsid w:val="00E74D2E"/>
    <w:rsid w:val="00EA06BF"/>
    <w:rsid w:val="00EA6893"/>
    <w:rsid w:val="00EC71BA"/>
    <w:rsid w:val="00EE6D5E"/>
    <w:rsid w:val="00EF6D1B"/>
    <w:rsid w:val="00EF7AA9"/>
    <w:rsid w:val="00F05A86"/>
    <w:rsid w:val="00F13C15"/>
    <w:rsid w:val="00F16223"/>
    <w:rsid w:val="00F246BA"/>
    <w:rsid w:val="00F60F37"/>
    <w:rsid w:val="00F82BE7"/>
    <w:rsid w:val="00F86C14"/>
    <w:rsid w:val="00FA3C4F"/>
    <w:rsid w:val="00FB2B86"/>
    <w:rsid w:val="00FC0D3D"/>
    <w:rsid w:val="00FC70BC"/>
    <w:rsid w:val="00FE37CF"/>
    <w:rsid w:val="00FE4418"/>
    <w:rsid w:val="00FF0C19"/>
    <w:rsid w:val="00FF7A39"/>
    <w:rsid w:val="08E41A97"/>
    <w:rsid w:val="0992434B"/>
    <w:rsid w:val="0B0805DA"/>
    <w:rsid w:val="0CD0095D"/>
    <w:rsid w:val="16822CFB"/>
    <w:rsid w:val="175F5AED"/>
    <w:rsid w:val="213E4898"/>
    <w:rsid w:val="23D22653"/>
    <w:rsid w:val="24465FD7"/>
    <w:rsid w:val="24D1585E"/>
    <w:rsid w:val="25C2039F"/>
    <w:rsid w:val="25EF76DF"/>
    <w:rsid w:val="27F5401C"/>
    <w:rsid w:val="29776717"/>
    <w:rsid w:val="29E959E8"/>
    <w:rsid w:val="2AC258D0"/>
    <w:rsid w:val="2C7E555C"/>
    <w:rsid w:val="2C9C3410"/>
    <w:rsid w:val="2CF805AA"/>
    <w:rsid w:val="2DB36ACF"/>
    <w:rsid w:val="2E346FDA"/>
    <w:rsid w:val="300D27AF"/>
    <w:rsid w:val="30D540AA"/>
    <w:rsid w:val="319163ED"/>
    <w:rsid w:val="32005CF2"/>
    <w:rsid w:val="333F7FD5"/>
    <w:rsid w:val="33B60F0D"/>
    <w:rsid w:val="37127C6B"/>
    <w:rsid w:val="39A05DA3"/>
    <w:rsid w:val="39B863C1"/>
    <w:rsid w:val="41665D9D"/>
    <w:rsid w:val="431F4B5F"/>
    <w:rsid w:val="44293363"/>
    <w:rsid w:val="45D77EA2"/>
    <w:rsid w:val="469730DC"/>
    <w:rsid w:val="47182731"/>
    <w:rsid w:val="48103B40"/>
    <w:rsid w:val="48D90193"/>
    <w:rsid w:val="49FD4A73"/>
    <w:rsid w:val="4B1906C2"/>
    <w:rsid w:val="4C620504"/>
    <w:rsid w:val="4E940979"/>
    <w:rsid w:val="511E1251"/>
    <w:rsid w:val="512029C8"/>
    <w:rsid w:val="54D577E8"/>
    <w:rsid w:val="55FA28BC"/>
    <w:rsid w:val="575823DC"/>
    <w:rsid w:val="58FC7894"/>
    <w:rsid w:val="59CD102D"/>
    <w:rsid w:val="5C407FA4"/>
    <w:rsid w:val="5C93087D"/>
    <w:rsid w:val="5D497189"/>
    <w:rsid w:val="5E2A6105"/>
    <w:rsid w:val="60D444CD"/>
    <w:rsid w:val="621751B7"/>
    <w:rsid w:val="64AC5CB2"/>
    <w:rsid w:val="65083052"/>
    <w:rsid w:val="657171FE"/>
    <w:rsid w:val="6585041D"/>
    <w:rsid w:val="6F736903"/>
    <w:rsid w:val="702B30AF"/>
    <w:rsid w:val="70A4425D"/>
    <w:rsid w:val="70B0226E"/>
    <w:rsid w:val="71920663"/>
    <w:rsid w:val="71E56A73"/>
    <w:rsid w:val="72193DBF"/>
    <w:rsid w:val="73740A39"/>
    <w:rsid w:val="74EB3E62"/>
    <w:rsid w:val="75875B4C"/>
    <w:rsid w:val="758B46CC"/>
    <w:rsid w:val="784F64E3"/>
    <w:rsid w:val="79A042E2"/>
    <w:rsid w:val="79D37DD8"/>
    <w:rsid w:val="7B8B5D53"/>
    <w:rsid w:val="7E526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2"/>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0"/>
    <w:autoRedefine/>
    <w:semiHidden/>
    <w:unhideWhenUsed/>
    <w:qFormat/>
    <w:uiPriority w:val="99"/>
    <w:pPr>
      <w:jc w:val="left"/>
    </w:pPr>
  </w:style>
  <w:style w:type="paragraph" w:styleId="4">
    <w:name w:val="Balloon Text"/>
    <w:basedOn w:val="1"/>
    <w:link w:val="13"/>
    <w:autoRedefine/>
    <w:semiHidden/>
    <w:unhideWhenUsed/>
    <w:qFormat/>
    <w:uiPriority w:val="99"/>
    <w:rPr>
      <w:sz w:val="18"/>
      <w:szCs w:val="18"/>
    </w:rPr>
  </w:style>
  <w:style w:type="paragraph" w:styleId="5">
    <w:name w:val="footer"/>
    <w:basedOn w:val="1"/>
    <w:link w:val="15"/>
    <w:autoRedefine/>
    <w:unhideWhenUsed/>
    <w:qFormat/>
    <w:uiPriority w:val="99"/>
    <w:pPr>
      <w:tabs>
        <w:tab w:val="center" w:pos="4153"/>
        <w:tab w:val="right" w:pos="8306"/>
      </w:tabs>
      <w:snapToGrid w:val="0"/>
      <w:jc w:val="left"/>
    </w:pPr>
    <w:rPr>
      <w:sz w:val="18"/>
      <w:szCs w:val="18"/>
    </w:rPr>
  </w:style>
  <w:style w:type="paragraph" w:styleId="6">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21"/>
    <w:autoRedefine/>
    <w:semiHidden/>
    <w:unhideWhenUsed/>
    <w:qFormat/>
    <w:uiPriority w:val="99"/>
    <w:rPr>
      <w:b/>
      <w:bCs/>
    </w:rPr>
  </w:style>
  <w:style w:type="character" w:styleId="10">
    <w:name w:val="Hyperlink"/>
    <w:basedOn w:val="9"/>
    <w:autoRedefine/>
    <w:semiHidden/>
    <w:unhideWhenUsed/>
    <w:qFormat/>
    <w:uiPriority w:val="99"/>
    <w:rPr>
      <w:color w:val="0000FF"/>
      <w:u w:val="single"/>
    </w:rPr>
  </w:style>
  <w:style w:type="character" w:styleId="11">
    <w:name w:val="annotation reference"/>
    <w:basedOn w:val="9"/>
    <w:autoRedefine/>
    <w:semiHidden/>
    <w:unhideWhenUsed/>
    <w:qFormat/>
    <w:uiPriority w:val="99"/>
    <w:rPr>
      <w:sz w:val="21"/>
      <w:szCs w:val="21"/>
    </w:rPr>
  </w:style>
  <w:style w:type="character" w:customStyle="1" w:styleId="12">
    <w:name w:val="标题 2 字符"/>
    <w:basedOn w:val="9"/>
    <w:link w:val="2"/>
    <w:autoRedefine/>
    <w:qFormat/>
    <w:uiPriority w:val="9"/>
    <w:rPr>
      <w:rFonts w:asciiTheme="majorHAnsi" w:hAnsiTheme="majorHAnsi" w:eastAsiaTheme="majorEastAsia" w:cstheme="majorBidi"/>
      <w:b/>
      <w:bCs/>
      <w:sz w:val="32"/>
      <w:szCs w:val="32"/>
    </w:rPr>
  </w:style>
  <w:style w:type="character" w:customStyle="1" w:styleId="13">
    <w:name w:val="批注框文本 字符"/>
    <w:basedOn w:val="9"/>
    <w:link w:val="4"/>
    <w:autoRedefine/>
    <w:semiHidden/>
    <w:qFormat/>
    <w:uiPriority w:val="99"/>
    <w:rPr>
      <w:rFonts w:ascii="Times New Roman" w:hAnsi="Times New Roman" w:eastAsia="宋体" w:cs="Times New Roman"/>
      <w:sz w:val="18"/>
      <w:szCs w:val="18"/>
    </w:rPr>
  </w:style>
  <w:style w:type="character" w:customStyle="1" w:styleId="14">
    <w:name w:val="页眉 字符"/>
    <w:basedOn w:val="9"/>
    <w:link w:val="6"/>
    <w:autoRedefine/>
    <w:qFormat/>
    <w:uiPriority w:val="99"/>
    <w:rPr>
      <w:rFonts w:ascii="Times New Roman" w:hAnsi="Times New Roman" w:eastAsia="宋体" w:cs="Times New Roman"/>
      <w:sz w:val="18"/>
      <w:szCs w:val="18"/>
    </w:rPr>
  </w:style>
  <w:style w:type="character" w:customStyle="1" w:styleId="15">
    <w:name w:val="页脚 字符"/>
    <w:basedOn w:val="9"/>
    <w:link w:val="5"/>
    <w:autoRedefine/>
    <w:qFormat/>
    <w:uiPriority w:val="99"/>
    <w:rPr>
      <w:rFonts w:ascii="Times New Roman" w:hAnsi="Times New Roman" w:eastAsia="宋体" w:cs="Times New Roman"/>
      <w:sz w:val="18"/>
      <w:szCs w:val="18"/>
    </w:rPr>
  </w:style>
  <w:style w:type="character" w:customStyle="1" w:styleId="16">
    <w:name w:val="005正文 Char"/>
    <w:link w:val="17"/>
    <w:autoRedefine/>
    <w:qFormat/>
    <w:uiPriority w:val="0"/>
    <w:rPr>
      <w:kern w:val="2"/>
      <w:sz w:val="24"/>
      <w:szCs w:val="22"/>
    </w:rPr>
  </w:style>
  <w:style w:type="paragraph" w:customStyle="1" w:styleId="17">
    <w:name w:val="005正文"/>
    <w:link w:val="16"/>
    <w:autoRedefine/>
    <w:qFormat/>
    <w:uiPriority w:val="0"/>
    <w:pPr>
      <w:widowControl w:val="0"/>
      <w:spacing w:before="50" w:beforeLines="50"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styleId="18">
    <w:name w:val="List Paragraph"/>
    <w:basedOn w:val="1"/>
    <w:autoRedefine/>
    <w:qFormat/>
    <w:uiPriority w:val="34"/>
    <w:pPr>
      <w:ind w:firstLine="420" w:firstLineChars="200"/>
    </w:pPr>
  </w:style>
  <w:style w:type="paragraph" w:customStyle="1" w:styleId="19">
    <w:name w:val="修订1"/>
    <w:autoRedefine/>
    <w:hidden/>
    <w:unhideWhenUsed/>
    <w:qFormat/>
    <w:uiPriority w:val="99"/>
    <w:rPr>
      <w:rFonts w:ascii="Times New Roman" w:hAnsi="Times New Roman" w:eastAsia="宋体" w:cs="Times New Roman"/>
      <w:kern w:val="2"/>
      <w:sz w:val="21"/>
      <w:lang w:val="en-US" w:eastAsia="zh-CN" w:bidi="ar-SA"/>
    </w:rPr>
  </w:style>
  <w:style w:type="character" w:customStyle="1" w:styleId="20">
    <w:name w:val="批注文字 字符"/>
    <w:basedOn w:val="9"/>
    <w:link w:val="3"/>
    <w:autoRedefine/>
    <w:semiHidden/>
    <w:qFormat/>
    <w:uiPriority w:val="99"/>
    <w:rPr>
      <w:kern w:val="2"/>
      <w:sz w:val="21"/>
    </w:rPr>
  </w:style>
  <w:style w:type="character" w:customStyle="1" w:styleId="21">
    <w:name w:val="批注主题 字符"/>
    <w:basedOn w:val="20"/>
    <w:link w:val="7"/>
    <w:autoRedefine/>
    <w:semiHidden/>
    <w:qFormat/>
    <w:uiPriority w:val="99"/>
    <w:rPr>
      <w:b/>
      <w:bCs/>
      <w:kern w:val="2"/>
      <w:sz w:val="21"/>
    </w:rPr>
  </w:style>
  <w:style w:type="paragraph" w:customStyle="1" w:styleId="22">
    <w:name w:val="修订2"/>
    <w:autoRedefine/>
    <w:hidden/>
    <w:unhideWhenUsed/>
    <w:qFormat/>
    <w:uiPriority w:val="99"/>
    <w:rPr>
      <w:rFonts w:ascii="Times New Roman" w:hAnsi="Times New Roman" w:eastAsia="宋体" w:cs="Times New Roman"/>
      <w:kern w:val="2"/>
      <w:sz w:val="21"/>
      <w:lang w:val="en-US" w:eastAsia="zh-CN" w:bidi="ar-SA"/>
    </w:rPr>
  </w:style>
  <w:style w:type="paragraph" w:customStyle="1" w:styleId="23">
    <w:name w:val="修订3"/>
    <w:autoRedefine/>
    <w:hidden/>
    <w:unhideWhenUsed/>
    <w:qFormat/>
    <w:uiPriority w:val="99"/>
    <w:rPr>
      <w:rFonts w:ascii="Times New Roman" w:hAnsi="Times New Roman" w:eastAsia="宋体" w:cs="Times New Roman"/>
      <w:kern w:val="2"/>
      <w:sz w:val="21"/>
      <w:lang w:val="en-US" w:eastAsia="zh-CN" w:bidi="ar-SA"/>
    </w:rPr>
  </w:style>
  <w:style w:type="paragraph" w:customStyle="1" w:styleId="24">
    <w:name w:val="修订4"/>
    <w:autoRedefine/>
    <w:hidden/>
    <w:unhideWhenUsed/>
    <w:qFormat/>
    <w:uiPriority w:val="99"/>
    <w:rPr>
      <w:rFonts w:ascii="Times New Roman" w:hAnsi="Times New Roman" w:eastAsia="宋体" w:cs="Times New Roman"/>
      <w:kern w:val="2"/>
      <w:sz w:val="21"/>
      <w:lang w:val="en-US" w:eastAsia="zh-CN" w:bidi="ar-SA"/>
    </w:rPr>
  </w:style>
  <w:style w:type="paragraph" w:customStyle="1" w:styleId="25">
    <w:name w:val="修订5"/>
    <w:autoRedefine/>
    <w:hidden/>
    <w:unhideWhenUsed/>
    <w:qFormat/>
    <w:uiPriority w:val="99"/>
    <w:rPr>
      <w:rFonts w:ascii="Times New Roman" w:hAnsi="Times New Roman" w:eastAsia="宋体" w:cs="Times New Roman"/>
      <w:kern w:val="2"/>
      <w:sz w:val="21"/>
      <w:lang w:val="en-US" w:eastAsia="zh-CN" w:bidi="ar-SA"/>
    </w:rPr>
  </w:style>
  <w:style w:type="paragraph" w:customStyle="1" w:styleId="26">
    <w:name w:val="Revision"/>
    <w:autoRedefine/>
    <w:hidden/>
    <w:unhideWhenUsed/>
    <w:qFormat/>
    <w:uiPriority w:val="99"/>
    <w:rPr>
      <w:rFonts w:ascii="Times New Roman" w:hAnsi="Times New Roman" w:eastAsia="宋体" w:cs="Times New Roman"/>
      <w:kern w:val="2"/>
      <w:sz w:val="21"/>
      <w:lang w:val="en-US" w:eastAsia="zh-CN" w:bidi="ar-SA"/>
    </w:rPr>
  </w:style>
  <w:style w:type="character" w:customStyle="1" w:styleId="27">
    <w:name w:val="markdown-link-tail"/>
    <w:basedOn w:val="9"/>
    <w:autoRedefin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3647</Words>
  <Characters>3753</Characters>
  <Lines>5</Lines>
  <Paragraphs>1</Paragraphs>
  <TotalTime>62</TotalTime>
  <ScaleCrop>false</ScaleCrop>
  <LinksUpToDate>false</LinksUpToDate>
  <CharactersWithSpaces>3923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2024-05-14T06:11:00Z</dcterms:created>
  <dc:creator>张园园</dc:creator>
  <cp:lastModifiedBy>Charlotte Wang</cp:lastModifiedBy>
  <dcterms:modified xsi:type="dcterms:W3CDTF">2026-11-04T07:30:36Z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7E91023A70C14B2BB1F52FCC34997638_13</vt:lpwstr>
  </property>
  <property fmtid="{D5CDD505-2E9C-101B-9397-08002B2CF9AE}" pid="4" name="KSOTemplateDocerSaveRecord">
    <vt:lpwstr>eyJoZGlkIjoiOGI4NjI5OTBmMDM1ODFlMDkzNDFlZTFiMWNhZWU5ZTMiLCJ1c2VySWQiOiIxMzA1MjE2MzIwIn0=</vt:lpwstr>
  </property>
</Properties>
</file>