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80523">
      <w:pPr>
        <w:pStyle w:val="2"/>
        <w:rPr>
          <w:rFonts w:hint="default" w:ascii="宋体" w:hAnsi="宋体" w:eastAsia="宋体" w:cs="宋体"/>
          <w:sz w:val="20"/>
          <w:szCs w:val="20"/>
          <w:lang w:val="en-US" w:eastAsia="zh-CN"/>
        </w:rPr>
      </w:pPr>
      <w:r>
        <w:rPr>
          <w:rFonts w:hint="eastAsia" w:ascii="宋体" w:hAnsi="宋体" w:eastAsia="宋体" w:cs="宋体"/>
          <w:sz w:val="20"/>
          <w:szCs w:val="20"/>
          <w:lang w:val="en-US"/>
        </w:rPr>
        <w:t>证券代码：</w:t>
      </w:r>
      <w:r>
        <w:rPr>
          <w:rFonts w:hint="eastAsia" w:ascii="宋体" w:hAnsi="宋体" w:eastAsia="宋体" w:cs="宋体"/>
          <w:sz w:val="20"/>
          <w:szCs w:val="20"/>
          <w:lang w:val="en-US" w:eastAsia="zh-CN"/>
        </w:rPr>
        <w:t>600927</w:t>
      </w:r>
      <w:r>
        <w:rPr>
          <w:rFonts w:hint="eastAsia" w:ascii="宋体" w:hAnsi="宋体" w:eastAsia="宋体" w:cs="宋体"/>
          <w:sz w:val="20"/>
          <w:szCs w:val="20"/>
          <w:lang w:val="en-US"/>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0"/>
          <w:szCs w:val="20"/>
          <w:lang w:val="en-US"/>
        </w:rPr>
        <w:t>证券简称：</w:t>
      </w:r>
      <w:r>
        <w:rPr>
          <w:rFonts w:hint="eastAsia" w:ascii="宋体" w:hAnsi="宋体" w:eastAsia="宋体" w:cs="宋体"/>
          <w:sz w:val="20"/>
          <w:szCs w:val="20"/>
          <w:lang w:val="en-US" w:eastAsia="zh-CN"/>
        </w:rPr>
        <w:t>永安期货</w:t>
      </w:r>
    </w:p>
    <w:p w14:paraId="255587AC">
      <w:pPr>
        <w:spacing w:line="360" w:lineRule="auto"/>
        <w:jc w:val="center"/>
        <w:rPr>
          <w:rFonts w:ascii="宋体" w:hAnsi="宋体" w:eastAsia="宋体" w:cs="宋体"/>
          <w:b/>
          <w:bCs/>
          <w:sz w:val="44"/>
          <w:szCs w:val="44"/>
        </w:rPr>
      </w:pPr>
    </w:p>
    <w:p w14:paraId="40CC0B0B">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永安期货股份有限公司</w:t>
      </w:r>
    </w:p>
    <w:p w14:paraId="486C81F6">
      <w:pPr>
        <w:spacing w:line="360" w:lineRule="auto"/>
        <w:jc w:val="center"/>
        <w:rPr>
          <w:rFonts w:ascii="宋体" w:hAnsi="宋体" w:eastAsia="宋体" w:cs="宋体"/>
          <w:sz w:val="44"/>
          <w:szCs w:val="44"/>
        </w:rPr>
      </w:pPr>
      <w:r>
        <w:rPr>
          <w:rFonts w:hint="eastAsia" w:ascii="宋体" w:hAnsi="宋体" w:eastAsia="宋体" w:cs="宋体"/>
          <w:b/>
          <w:bCs/>
          <w:sz w:val="44"/>
          <w:szCs w:val="44"/>
        </w:rPr>
        <w:t>投资者关系活动记录表</w:t>
      </w:r>
    </w:p>
    <w:p w14:paraId="0409AD24">
      <w:pPr>
        <w:spacing w:before="51" w:after="32"/>
        <w:ind w:right="619"/>
        <w:jc w:val="left"/>
        <w:rPr>
          <w:rFonts w:ascii="宋体" w:hAnsi="宋体" w:eastAsia="宋体" w:cs="宋体"/>
          <w:sz w:val="21"/>
          <w:szCs w:val="21"/>
        </w:rPr>
      </w:pPr>
      <w:r>
        <w:rPr>
          <w:rFonts w:hint="eastAsia" w:ascii="宋体" w:hAnsi="宋体" w:eastAsia="宋体" w:cs="宋体"/>
          <w:sz w:val="21"/>
          <w:szCs w:val="21"/>
        </w:rPr>
        <w:t>编号：</w:t>
      </w:r>
      <w:r>
        <w:rPr>
          <w:rFonts w:hint="eastAsia" w:ascii="宋体" w:hAnsi="宋体" w:eastAsia="宋体" w:cs="宋体"/>
          <w:sz w:val="21"/>
          <w:szCs w:val="21"/>
          <w:lang w:val="en-US"/>
        </w:rPr>
        <w:t>2026</w:t>
      </w:r>
      <w:r>
        <w:rPr>
          <w:rFonts w:hint="eastAsia" w:ascii="宋体" w:hAnsi="宋体" w:eastAsia="宋体" w:cs="宋体"/>
          <w:sz w:val="21"/>
          <w:szCs w:val="21"/>
        </w:rPr>
        <w:t>-</w:t>
      </w:r>
      <w:r>
        <w:rPr>
          <w:rFonts w:hint="eastAsia" w:ascii="宋体" w:hAnsi="宋体" w:eastAsia="宋体" w:cs="宋体"/>
          <w:sz w:val="21"/>
          <w:szCs w:val="21"/>
          <w:lang w:val="en-US"/>
        </w:rPr>
        <w:t>00</w:t>
      </w:r>
      <w:r>
        <w:rPr>
          <w:rFonts w:hint="eastAsia" w:ascii="宋体" w:hAnsi="宋体" w:eastAsia="宋体" w:cs="宋体"/>
          <w:sz w:val="21"/>
          <w:szCs w:val="21"/>
          <w:lang w:val="en-US" w:eastAsia="zh-CN"/>
        </w:rPr>
        <w:t>3</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5945"/>
      </w:tblGrid>
      <w:tr w14:paraId="586C6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580" w:type="dxa"/>
            <w:vAlign w:val="center"/>
          </w:tcPr>
          <w:p w14:paraId="77D841E2">
            <w:pPr>
              <w:pStyle w:val="13"/>
              <w:spacing w:before="7"/>
              <w:jc w:val="left"/>
              <w:rPr>
                <w:rFonts w:hint="eastAsia" w:ascii="宋体" w:hAnsi="宋体" w:eastAsia="宋体" w:cs="宋体"/>
                <w:b/>
                <w:bCs/>
                <w:sz w:val="21"/>
                <w:szCs w:val="21"/>
              </w:rPr>
            </w:pPr>
          </w:p>
          <w:p w14:paraId="3C17E170">
            <w:pPr>
              <w:pStyle w:val="13"/>
              <w:spacing w:before="1"/>
              <w:ind w:left="107"/>
              <w:jc w:val="left"/>
              <w:rPr>
                <w:rFonts w:hint="eastAsia" w:ascii="宋体" w:hAnsi="宋体" w:eastAsia="宋体" w:cs="宋体"/>
                <w:b/>
                <w:bCs/>
                <w:sz w:val="21"/>
                <w:szCs w:val="21"/>
              </w:rPr>
            </w:pPr>
            <w:r>
              <w:rPr>
                <w:rFonts w:hint="eastAsia" w:ascii="宋体" w:hAnsi="宋体" w:eastAsia="宋体" w:cs="宋体"/>
                <w:b/>
                <w:bCs/>
                <w:sz w:val="21"/>
                <w:szCs w:val="21"/>
              </w:rPr>
              <w:t>投资者关系活动类别</w:t>
            </w:r>
          </w:p>
        </w:tc>
        <w:tc>
          <w:tcPr>
            <w:tcW w:w="5945" w:type="dxa"/>
          </w:tcPr>
          <w:p w14:paraId="58EABCAE">
            <w:pPr>
              <w:pStyle w:val="13"/>
              <w:spacing w:before="7"/>
              <w:rPr>
                <w:rFonts w:hint="eastAsia" w:ascii="宋体" w:hAnsi="宋体" w:eastAsia="宋体" w:cs="宋体"/>
                <w:sz w:val="21"/>
                <w:szCs w:val="21"/>
              </w:rPr>
            </w:pPr>
          </w:p>
          <w:p w14:paraId="613D0445">
            <w:pPr>
              <w:pStyle w:val="13"/>
              <w:tabs>
                <w:tab w:val="left" w:pos="2418"/>
              </w:tabs>
              <w:spacing w:before="1"/>
              <w:ind w:left="107"/>
              <w:rPr>
                <w:rFonts w:hint="eastAsia" w:ascii="宋体" w:hAnsi="宋体" w:eastAsia="宋体" w:cs="宋体"/>
                <w:sz w:val="21"/>
                <w:szCs w:val="21"/>
              </w:rPr>
            </w:pPr>
            <w:sdt>
              <w:sdtPr>
                <w:rPr>
                  <w:rFonts w:hint="eastAsia" w:ascii="宋体" w:hAnsi="宋体" w:eastAsia="宋体" w:cs="宋体"/>
                  <w:sz w:val="21"/>
                  <w:szCs w:val="21"/>
                </w:rPr>
                <w:id w:val="249780449"/>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宋体" w:hAnsi="宋体" w:eastAsia="宋体" w:cs="宋体"/>
                    <w:sz w:val="21"/>
                    <w:szCs w:val="21"/>
                  </w:rPr>
                  <w:t>☐</w:t>
                </w:r>
              </w:sdtContent>
            </w:sdt>
            <w:r>
              <w:rPr>
                <w:rFonts w:hint="eastAsia" w:ascii="宋体" w:hAnsi="宋体" w:eastAsia="宋体" w:cs="宋体"/>
                <w:sz w:val="21"/>
                <w:szCs w:val="21"/>
              </w:rPr>
              <w:t>特</w:t>
            </w:r>
            <w:r>
              <w:rPr>
                <w:rFonts w:hint="eastAsia" w:ascii="宋体" w:hAnsi="宋体" w:eastAsia="宋体" w:cs="宋体"/>
                <w:spacing w:val="-3"/>
                <w:sz w:val="21"/>
                <w:szCs w:val="21"/>
              </w:rPr>
              <w:t>定</w:t>
            </w:r>
            <w:r>
              <w:rPr>
                <w:rFonts w:hint="eastAsia" w:ascii="宋体" w:hAnsi="宋体" w:eastAsia="宋体" w:cs="宋体"/>
                <w:sz w:val="21"/>
                <w:szCs w:val="21"/>
              </w:rPr>
              <w:t>对</w:t>
            </w:r>
            <w:r>
              <w:rPr>
                <w:rFonts w:hint="eastAsia" w:ascii="宋体" w:hAnsi="宋体" w:eastAsia="宋体" w:cs="宋体"/>
                <w:spacing w:val="-3"/>
                <w:sz w:val="21"/>
                <w:szCs w:val="21"/>
              </w:rPr>
              <w:t>象</w:t>
            </w:r>
            <w:r>
              <w:rPr>
                <w:rFonts w:hint="eastAsia" w:ascii="宋体" w:hAnsi="宋体" w:eastAsia="宋体" w:cs="宋体"/>
                <w:sz w:val="21"/>
                <w:szCs w:val="21"/>
              </w:rPr>
              <w:t>调研</w:t>
            </w:r>
            <w:r>
              <w:rPr>
                <w:rFonts w:hint="eastAsia" w:ascii="宋体" w:hAnsi="宋体" w:eastAsia="宋体" w:cs="宋体"/>
                <w:sz w:val="21"/>
                <w:szCs w:val="21"/>
              </w:rPr>
              <w:tab/>
            </w:r>
            <w:sdt>
              <w:sdtPr>
                <w:rPr>
                  <w:rFonts w:hint="eastAsia" w:ascii="宋体" w:hAnsi="宋体" w:eastAsia="宋体" w:cs="宋体"/>
                  <w:sz w:val="21"/>
                  <w:szCs w:val="21"/>
                </w:rPr>
                <w:id w:val="-416875725"/>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宋体" w:hAnsi="宋体" w:eastAsia="宋体" w:cs="宋体"/>
                    <w:sz w:val="21"/>
                    <w:szCs w:val="21"/>
                  </w:rPr>
                  <w:t>☐</w:t>
                </w:r>
              </w:sdtContent>
            </w:sdt>
            <w:r>
              <w:rPr>
                <w:rFonts w:hint="eastAsia" w:ascii="宋体" w:hAnsi="宋体" w:eastAsia="宋体" w:cs="宋体"/>
                <w:sz w:val="21"/>
                <w:szCs w:val="21"/>
              </w:rPr>
              <w:t>分</w:t>
            </w:r>
            <w:r>
              <w:rPr>
                <w:rFonts w:hint="eastAsia" w:ascii="宋体" w:hAnsi="宋体" w:eastAsia="宋体" w:cs="宋体"/>
                <w:spacing w:val="-3"/>
                <w:sz w:val="21"/>
                <w:szCs w:val="21"/>
              </w:rPr>
              <w:t>析</w:t>
            </w:r>
            <w:r>
              <w:rPr>
                <w:rFonts w:hint="eastAsia" w:ascii="宋体" w:hAnsi="宋体" w:eastAsia="宋体" w:cs="宋体"/>
                <w:sz w:val="21"/>
                <w:szCs w:val="21"/>
              </w:rPr>
              <w:t>师</w:t>
            </w:r>
            <w:r>
              <w:rPr>
                <w:rFonts w:hint="eastAsia" w:ascii="宋体" w:hAnsi="宋体" w:eastAsia="宋体" w:cs="宋体"/>
                <w:spacing w:val="-3"/>
                <w:sz w:val="21"/>
                <w:szCs w:val="21"/>
              </w:rPr>
              <w:t>会</w:t>
            </w:r>
            <w:r>
              <w:rPr>
                <w:rFonts w:hint="eastAsia" w:ascii="宋体" w:hAnsi="宋体" w:eastAsia="宋体" w:cs="宋体"/>
                <w:sz w:val="21"/>
                <w:szCs w:val="21"/>
              </w:rPr>
              <w:t>议</w:t>
            </w:r>
          </w:p>
          <w:p w14:paraId="54ADB19D">
            <w:pPr>
              <w:pStyle w:val="13"/>
              <w:spacing w:before="11"/>
              <w:rPr>
                <w:rFonts w:hint="eastAsia" w:ascii="宋体" w:hAnsi="宋体" w:eastAsia="宋体" w:cs="宋体"/>
                <w:sz w:val="21"/>
                <w:szCs w:val="21"/>
              </w:rPr>
            </w:pPr>
          </w:p>
          <w:p w14:paraId="2CD60D2E">
            <w:pPr>
              <w:pStyle w:val="13"/>
              <w:tabs>
                <w:tab w:val="left" w:pos="2418"/>
              </w:tabs>
              <w:ind w:left="107"/>
              <w:rPr>
                <w:rFonts w:hint="eastAsia" w:ascii="宋体" w:hAnsi="宋体" w:eastAsia="宋体" w:cs="宋体"/>
                <w:sz w:val="21"/>
                <w:szCs w:val="21"/>
              </w:rPr>
            </w:pPr>
            <w:sdt>
              <w:sdtPr>
                <w:rPr>
                  <w:rFonts w:hint="eastAsia" w:ascii="宋体" w:hAnsi="宋体" w:eastAsia="宋体" w:cs="宋体"/>
                  <w:sz w:val="21"/>
                  <w:szCs w:val="21"/>
                </w:rPr>
                <w:id w:val="1206906014"/>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宋体" w:hAnsi="宋体" w:eastAsia="宋体" w:cs="宋体"/>
                    <w:sz w:val="21"/>
                    <w:szCs w:val="21"/>
                  </w:rPr>
                  <w:t>☐</w:t>
                </w:r>
              </w:sdtContent>
            </w:sdt>
            <w:r>
              <w:rPr>
                <w:rFonts w:hint="eastAsia" w:ascii="宋体" w:hAnsi="宋体" w:eastAsia="宋体" w:cs="宋体"/>
                <w:sz w:val="21"/>
                <w:szCs w:val="21"/>
              </w:rPr>
              <w:t>媒</w:t>
            </w:r>
            <w:r>
              <w:rPr>
                <w:rFonts w:hint="eastAsia" w:ascii="宋体" w:hAnsi="宋体" w:eastAsia="宋体" w:cs="宋体"/>
                <w:spacing w:val="-3"/>
                <w:sz w:val="21"/>
                <w:szCs w:val="21"/>
              </w:rPr>
              <w:t>体</w:t>
            </w:r>
            <w:r>
              <w:rPr>
                <w:rFonts w:hint="eastAsia" w:ascii="宋体" w:hAnsi="宋体" w:eastAsia="宋体" w:cs="宋体"/>
                <w:sz w:val="21"/>
                <w:szCs w:val="21"/>
              </w:rPr>
              <w:t>采访</w:t>
            </w:r>
            <w:r>
              <w:rPr>
                <w:rFonts w:hint="eastAsia" w:ascii="宋体" w:hAnsi="宋体" w:eastAsia="宋体" w:cs="宋体"/>
                <w:sz w:val="21"/>
                <w:szCs w:val="21"/>
              </w:rPr>
              <w:tab/>
            </w:r>
            <w:sdt>
              <w:sdtPr>
                <w:rPr>
                  <w:rFonts w:hint="eastAsia" w:ascii="宋体" w:hAnsi="宋体" w:eastAsia="宋体" w:cs="宋体"/>
                  <w:sz w:val="21"/>
                  <w:szCs w:val="21"/>
                </w:rPr>
                <w:id w:val="-66658901"/>
                <w14:checkbox>
                  <w14:checked w14:val="1"/>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Wingdings 2" w:hAnsi="Wingdings 2" w:eastAsia="宋体" w:cs="宋体"/>
                    <w:sz w:val="21"/>
                    <w:szCs w:val="21"/>
                    <w:lang w:val="zh-CN" w:eastAsia="zh-CN" w:bidi="zh-CN"/>
                  </w:rPr>
                  <w:t>R</w:t>
                </w:r>
              </w:sdtContent>
            </w:sdt>
            <w:r>
              <w:rPr>
                <w:rFonts w:hint="eastAsia" w:ascii="宋体" w:hAnsi="宋体" w:eastAsia="宋体" w:cs="宋体"/>
                <w:sz w:val="21"/>
                <w:szCs w:val="21"/>
              </w:rPr>
              <w:t>业</w:t>
            </w:r>
            <w:r>
              <w:rPr>
                <w:rFonts w:hint="eastAsia" w:ascii="宋体" w:hAnsi="宋体" w:eastAsia="宋体" w:cs="宋体"/>
                <w:spacing w:val="-3"/>
                <w:sz w:val="21"/>
                <w:szCs w:val="21"/>
              </w:rPr>
              <w:t>绩</w:t>
            </w:r>
            <w:r>
              <w:rPr>
                <w:rFonts w:hint="eastAsia" w:ascii="宋体" w:hAnsi="宋体" w:eastAsia="宋体" w:cs="宋体"/>
                <w:sz w:val="21"/>
                <w:szCs w:val="21"/>
              </w:rPr>
              <w:t>说</w:t>
            </w:r>
            <w:r>
              <w:rPr>
                <w:rFonts w:hint="eastAsia" w:ascii="宋体" w:hAnsi="宋体" w:eastAsia="宋体" w:cs="宋体"/>
                <w:spacing w:val="-3"/>
                <w:sz w:val="21"/>
                <w:szCs w:val="21"/>
              </w:rPr>
              <w:t>明</w:t>
            </w:r>
            <w:r>
              <w:rPr>
                <w:rFonts w:hint="eastAsia" w:ascii="宋体" w:hAnsi="宋体" w:eastAsia="宋体" w:cs="宋体"/>
                <w:sz w:val="21"/>
                <w:szCs w:val="21"/>
              </w:rPr>
              <w:t>会</w:t>
            </w:r>
          </w:p>
          <w:p w14:paraId="05FA2100">
            <w:pPr>
              <w:pStyle w:val="13"/>
              <w:spacing w:before="8"/>
              <w:rPr>
                <w:rFonts w:hint="eastAsia" w:ascii="宋体" w:hAnsi="宋体" w:eastAsia="宋体" w:cs="宋体"/>
                <w:sz w:val="21"/>
                <w:szCs w:val="21"/>
              </w:rPr>
            </w:pPr>
          </w:p>
          <w:p w14:paraId="4C35C2F3">
            <w:pPr>
              <w:pStyle w:val="13"/>
              <w:tabs>
                <w:tab w:val="left" w:pos="2418"/>
              </w:tabs>
              <w:ind w:left="107"/>
              <w:rPr>
                <w:rFonts w:hint="eastAsia" w:ascii="宋体" w:hAnsi="宋体" w:eastAsia="宋体" w:cs="宋体"/>
                <w:sz w:val="21"/>
                <w:szCs w:val="21"/>
              </w:rPr>
            </w:pPr>
            <w:sdt>
              <w:sdtPr>
                <w:rPr>
                  <w:rFonts w:hint="eastAsia" w:ascii="宋体" w:hAnsi="宋体" w:eastAsia="宋体" w:cs="宋体"/>
                  <w:sz w:val="21"/>
                  <w:szCs w:val="21"/>
                </w:rPr>
                <w:id w:val="-1848167434"/>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宋体" w:hAnsi="宋体" w:eastAsia="宋体" w:cs="宋体"/>
                    <w:sz w:val="21"/>
                    <w:szCs w:val="21"/>
                  </w:rPr>
                  <w:t>☐</w:t>
                </w:r>
              </w:sdtContent>
            </w:sdt>
            <w:r>
              <w:rPr>
                <w:rFonts w:hint="eastAsia" w:ascii="宋体" w:hAnsi="宋体" w:eastAsia="宋体" w:cs="宋体"/>
                <w:sz w:val="21"/>
                <w:szCs w:val="21"/>
              </w:rPr>
              <w:t>新</w:t>
            </w:r>
            <w:r>
              <w:rPr>
                <w:rFonts w:hint="eastAsia" w:ascii="宋体" w:hAnsi="宋体" w:eastAsia="宋体" w:cs="宋体"/>
                <w:spacing w:val="-3"/>
                <w:sz w:val="21"/>
                <w:szCs w:val="21"/>
              </w:rPr>
              <w:t>闻</w:t>
            </w:r>
            <w:r>
              <w:rPr>
                <w:rFonts w:hint="eastAsia" w:ascii="宋体" w:hAnsi="宋体" w:eastAsia="宋体" w:cs="宋体"/>
                <w:sz w:val="21"/>
                <w:szCs w:val="21"/>
              </w:rPr>
              <w:t>发</w:t>
            </w:r>
            <w:r>
              <w:rPr>
                <w:rFonts w:hint="eastAsia" w:ascii="宋体" w:hAnsi="宋体" w:eastAsia="宋体" w:cs="宋体"/>
                <w:spacing w:val="-3"/>
                <w:sz w:val="21"/>
                <w:szCs w:val="21"/>
              </w:rPr>
              <w:t>布</w:t>
            </w:r>
            <w:r>
              <w:rPr>
                <w:rFonts w:hint="eastAsia" w:ascii="宋体" w:hAnsi="宋体" w:eastAsia="宋体" w:cs="宋体"/>
                <w:sz w:val="21"/>
                <w:szCs w:val="21"/>
              </w:rPr>
              <w:t>会</w:t>
            </w:r>
            <w:r>
              <w:rPr>
                <w:rFonts w:hint="eastAsia" w:ascii="宋体" w:hAnsi="宋体" w:eastAsia="宋体" w:cs="宋体"/>
                <w:sz w:val="21"/>
                <w:szCs w:val="21"/>
              </w:rPr>
              <w:tab/>
            </w:r>
            <w:sdt>
              <w:sdtPr>
                <w:rPr>
                  <w:rFonts w:hint="eastAsia" w:ascii="宋体" w:hAnsi="宋体" w:eastAsia="宋体" w:cs="宋体"/>
                  <w:sz w:val="21"/>
                  <w:szCs w:val="21"/>
                </w:rPr>
                <w:id w:val="412049691"/>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宋体" w:hAnsi="宋体" w:eastAsia="宋体" w:cs="宋体"/>
                    <w:sz w:val="21"/>
                    <w:szCs w:val="21"/>
                  </w:rPr>
                  <w:t>☐</w:t>
                </w:r>
              </w:sdtContent>
            </w:sdt>
            <w:r>
              <w:rPr>
                <w:rFonts w:hint="eastAsia" w:ascii="宋体" w:hAnsi="宋体" w:eastAsia="宋体" w:cs="宋体"/>
                <w:sz w:val="21"/>
                <w:szCs w:val="21"/>
              </w:rPr>
              <w:t>路</w:t>
            </w:r>
            <w:r>
              <w:rPr>
                <w:rFonts w:hint="eastAsia" w:ascii="宋体" w:hAnsi="宋体" w:eastAsia="宋体" w:cs="宋体"/>
                <w:spacing w:val="-3"/>
                <w:sz w:val="21"/>
                <w:szCs w:val="21"/>
              </w:rPr>
              <w:t>演</w:t>
            </w:r>
            <w:r>
              <w:rPr>
                <w:rFonts w:hint="eastAsia" w:ascii="宋体" w:hAnsi="宋体" w:eastAsia="宋体" w:cs="宋体"/>
                <w:sz w:val="21"/>
                <w:szCs w:val="21"/>
              </w:rPr>
              <w:t>活动</w:t>
            </w:r>
          </w:p>
          <w:p w14:paraId="4F08C705">
            <w:pPr>
              <w:pStyle w:val="13"/>
              <w:spacing w:before="8"/>
              <w:rPr>
                <w:rFonts w:hint="eastAsia" w:ascii="宋体" w:hAnsi="宋体" w:eastAsia="宋体" w:cs="宋体"/>
                <w:sz w:val="21"/>
                <w:szCs w:val="21"/>
              </w:rPr>
            </w:pPr>
          </w:p>
          <w:p w14:paraId="26B65CF1">
            <w:pPr>
              <w:pStyle w:val="13"/>
              <w:ind w:left="107"/>
              <w:rPr>
                <w:rFonts w:hint="eastAsia" w:ascii="宋体" w:hAnsi="宋体" w:eastAsia="宋体" w:cs="宋体"/>
                <w:sz w:val="21"/>
                <w:szCs w:val="21"/>
              </w:rPr>
            </w:pPr>
            <w:sdt>
              <w:sdtPr>
                <w:rPr>
                  <w:rFonts w:hint="eastAsia" w:ascii="宋体" w:hAnsi="宋体" w:eastAsia="宋体" w:cs="宋体"/>
                  <w:sz w:val="21"/>
                  <w:szCs w:val="21"/>
                </w:rPr>
                <w:id w:val="-1333366911"/>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宋体" w:hAnsi="宋体" w:eastAsia="宋体" w:cs="宋体"/>
                    <w:sz w:val="21"/>
                    <w:szCs w:val="21"/>
                  </w:rPr>
                  <w:t>☐</w:t>
                </w:r>
              </w:sdtContent>
            </w:sdt>
            <w:r>
              <w:rPr>
                <w:rFonts w:hint="eastAsia" w:ascii="宋体" w:hAnsi="宋体" w:eastAsia="宋体" w:cs="宋体"/>
                <w:sz w:val="21"/>
                <w:szCs w:val="21"/>
              </w:rPr>
              <w:t>现场参观</w:t>
            </w:r>
          </w:p>
          <w:p w14:paraId="73DEC8CB">
            <w:pPr>
              <w:pStyle w:val="13"/>
              <w:spacing w:before="11"/>
              <w:rPr>
                <w:rFonts w:hint="eastAsia" w:ascii="宋体" w:hAnsi="宋体" w:eastAsia="宋体" w:cs="宋体"/>
                <w:sz w:val="21"/>
                <w:szCs w:val="21"/>
              </w:rPr>
            </w:pPr>
          </w:p>
          <w:p w14:paraId="26722FDF">
            <w:pPr>
              <w:pStyle w:val="13"/>
              <w:ind w:left="107"/>
              <w:rPr>
                <w:rFonts w:hint="eastAsia" w:ascii="宋体" w:hAnsi="宋体" w:eastAsia="宋体" w:cs="宋体"/>
                <w:sz w:val="21"/>
                <w:szCs w:val="21"/>
              </w:rPr>
            </w:pPr>
            <w:sdt>
              <w:sdtPr>
                <w:rPr>
                  <w:rFonts w:hint="eastAsia" w:ascii="宋体" w:hAnsi="宋体" w:eastAsia="宋体" w:cs="宋体"/>
                  <w:sz w:val="21"/>
                  <w:szCs w:val="21"/>
                </w:rPr>
                <w:id w:val="400885218"/>
                <w14:checkbox>
                  <w14:checked w14:val="0"/>
                  <w14:checkedState w14:val="0052" w14:font="Wingdings 2"/>
                  <w14:uncheckedState w14:val="2610" w14:font="MS Gothic"/>
                </w14:checkbox>
              </w:sdtPr>
              <w:sdtEndPr>
                <w:rPr>
                  <w:rFonts w:hint="eastAsia" w:ascii="宋体" w:hAnsi="宋体" w:eastAsia="宋体" w:cs="宋体"/>
                  <w:sz w:val="21"/>
                  <w:szCs w:val="21"/>
                </w:rPr>
              </w:sdtEndPr>
              <w:sdtContent>
                <w:r>
                  <w:rPr>
                    <w:rFonts w:hint="eastAsia" w:ascii="宋体" w:hAnsi="宋体" w:eastAsia="宋体" w:cs="宋体"/>
                    <w:sz w:val="21"/>
                    <w:szCs w:val="21"/>
                  </w:rPr>
                  <w:t>☐</w:t>
                </w:r>
              </w:sdtContent>
            </w:sdt>
            <w:r>
              <w:rPr>
                <w:rFonts w:hint="eastAsia" w:ascii="宋体" w:hAnsi="宋体" w:eastAsia="宋体" w:cs="宋体"/>
                <w:sz w:val="21"/>
                <w:szCs w:val="21"/>
              </w:rPr>
              <w:t>其他（</w:t>
            </w:r>
            <w:r>
              <w:rPr>
                <w:rFonts w:hint="eastAsia" w:ascii="宋体" w:hAnsi="宋体" w:eastAsia="宋体" w:cs="宋体"/>
                <w:sz w:val="21"/>
                <w:szCs w:val="21"/>
                <w:u w:val="single"/>
              </w:rPr>
              <w:t>请文字说明其他活动内容）</w:t>
            </w:r>
          </w:p>
        </w:tc>
      </w:tr>
      <w:tr w14:paraId="3A9F1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580" w:type="dxa"/>
            <w:vAlign w:val="center"/>
          </w:tcPr>
          <w:p w14:paraId="222F87F4">
            <w:pPr>
              <w:pStyle w:val="13"/>
              <w:spacing w:line="560" w:lineRule="exact"/>
              <w:ind w:left="107" w:right="96"/>
              <w:jc w:val="left"/>
              <w:rPr>
                <w:rFonts w:hint="eastAsia" w:ascii="宋体" w:hAnsi="宋体" w:eastAsia="宋体" w:cs="宋体"/>
                <w:b/>
                <w:bCs/>
                <w:sz w:val="21"/>
                <w:szCs w:val="21"/>
              </w:rPr>
            </w:pPr>
            <w:r>
              <w:rPr>
                <w:rFonts w:hint="eastAsia" w:ascii="宋体" w:hAnsi="宋体" w:eastAsia="宋体" w:cs="宋体"/>
                <w:b/>
                <w:bCs/>
                <w:sz w:val="21"/>
                <w:szCs w:val="21"/>
              </w:rPr>
              <w:t>参与单位名称及人员姓名</w:t>
            </w:r>
          </w:p>
        </w:tc>
        <w:tc>
          <w:tcPr>
            <w:tcW w:w="5945" w:type="dxa"/>
            <w:vAlign w:val="center"/>
          </w:tcPr>
          <w:p w14:paraId="38E87BEC">
            <w:pPr>
              <w:pStyle w:val="13"/>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线上参与永安期货（600927）2026年第三季度业绩说明会的全体投资者</w:t>
            </w:r>
          </w:p>
        </w:tc>
      </w:tr>
      <w:tr w14:paraId="1DFE1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4C7DDAAA">
            <w:pPr>
              <w:pStyle w:val="13"/>
              <w:ind w:left="107"/>
              <w:jc w:val="left"/>
              <w:rPr>
                <w:rFonts w:hint="eastAsia" w:ascii="宋体" w:hAnsi="宋体" w:eastAsia="宋体" w:cs="宋体"/>
                <w:b/>
                <w:bCs/>
                <w:sz w:val="21"/>
                <w:szCs w:val="21"/>
              </w:rPr>
            </w:pPr>
            <w:r>
              <w:rPr>
                <w:rFonts w:hint="eastAsia" w:ascii="宋体" w:hAnsi="宋体" w:eastAsia="宋体" w:cs="宋体"/>
                <w:b/>
                <w:bCs/>
                <w:sz w:val="21"/>
                <w:szCs w:val="21"/>
              </w:rPr>
              <w:t>时间</w:t>
            </w:r>
          </w:p>
        </w:tc>
        <w:tc>
          <w:tcPr>
            <w:tcW w:w="5945" w:type="dxa"/>
            <w:vAlign w:val="center"/>
          </w:tcPr>
          <w:p w14:paraId="564BE7C4">
            <w:pPr>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eastAsia" w:ascii="宋体" w:hAnsi="宋体" w:eastAsia="宋体" w:cs="宋体"/>
                <w:sz w:val="21"/>
                <w:szCs w:val="21"/>
              </w:rPr>
            </w:pPr>
            <w:r>
              <w:rPr>
                <w:rFonts w:hint="eastAsia" w:ascii="宋体" w:hAnsi="宋体" w:eastAsia="宋体" w:cs="宋体"/>
                <w:sz w:val="21"/>
                <w:szCs w:val="21"/>
              </w:rPr>
              <w:t>2026年11月05日 10:00-11:00</w:t>
            </w:r>
          </w:p>
        </w:tc>
      </w:tr>
      <w:tr w14:paraId="3B587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80" w:type="dxa"/>
            <w:vAlign w:val="center"/>
          </w:tcPr>
          <w:p w14:paraId="17F777FD">
            <w:pPr>
              <w:pStyle w:val="13"/>
              <w:ind w:left="107"/>
              <w:jc w:val="left"/>
              <w:rPr>
                <w:rFonts w:hint="eastAsia" w:ascii="宋体" w:hAnsi="宋体" w:eastAsia="宋体" w:cs="宋体"/>
                <w:b/>
                <w:bCs/>
                <w:sz w:val="21"/>
                <w:szCs w:val="21"/>
              </w:rPr>
            </w:pPr>
            <w:r>
              <w:rPr>
                <w:rFonts w:hint="eastAsia" w:ascii="宋体" w:hAnsi="宋体" w:eastAsia="宋体" w:cs="宋体"/>
                <w:b/>
                <w:bCs/>
                <w:sz w:val="21"/>
                <w:szCs w:val="21"/>
              </w:rPr>
              <w:t>地点</w:t>
            </w:r>
          </w:p>
        </w:tc>
        <w:tc>
          <w:tcPr>
            <w:tcW w:w="5945" w:type="dxa"/>
            <w:vAlign w:val="center"/>
          </w:tcPr>
          <w:p w14:paraId="7E3CDEC4">
            <w:pPr>
              <w:pStyle w:val="13"/>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eastAsia" w:ascii="宋体" w:hAnsi="宋体" w:eastAsia="宋体" w:cs="宋体"/>
                <w:sz w:val="21"/>
                <w:szCs w:val="21"/>
              </w:rPr>
            </w:pPr>
            <w:r>
              <w:rPr>
                <w:rFonts w:hint="eastAsia" w:ascii="宋体" w:hAnsi="宋体" w:eastAsia="宋体" w:cs="宋体"/>
                <w:sz w:val="21"/>
                <w:szCs w:val="21"/>
              </w:rPr>
              <w:t>价值在线（https://www.ir-online.cn/）网络互动</w:t>
            </w:r>
          </w:p>
        </w:tc>
      </w:tr>
      <w:tr w14:paraId="2CF82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050DB2AD">
            <w:pPr>
              <w:pStyle w:val="13"/>
              <w:spacing w:before="1"/>
              <w:ind w:left="107"/>
              <w:jc w:val="left"/>
              <w:rPr>
                <w:rFonts w:hint="eastAsia" w:ascii="宋体" w:hAnsi="宋体" w:eastAsia="宋体" w:cs="宋体"/>
                <w:b/>
                <w:bCs/>
                <w:sz w:val="21"/>
                <w:szCs w:val="21"/>
              </w:rPr>
            </w:pPr>
            <w:r>
              <w:rPr>
                <w:rFonts w:hint="eastAsia" w:ascii="宋体" w:hAnsi="宋体" w:eastAsia="宋体" w:cs="宋体"/>
                <w:b/>
                <w:bCs/>
                <w:sz w:val="21"/>
                <w:szCs w:val="21"/>
              </w:rPr>
              <w:t>上市公司接待人员姓名</w:t>
            </w:r>
          </w:p>
        </w:tc>
        <w:tc>
          <w:tcPr>
            <w:tcW w:w="5945" w:type="dxa"/>
            <w:vAlign w:val="center"/>
          </w:tcPr>
          <w:p w14:paraId="333C803E">
            <w:pPr>
              <w:pStyle w:val="13"/>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eastAsia" w:ascii="宋体" w:hAnsi="宋体" w:eastAsia="宋体" w:cs="宋体"/>
                <w:sz w:val="21"/>
                <w:szCs w:val="21"/>
              </w:rPr>
            </w:pPr>
            <w:r>
              <w:rPr>
                <w:rFonts w:hint="eastAsia" w:ascii="宋体" w:hAnsi="宋体" w:eastAsia="宋体" w:cs="宋体"/>
                <w:sz w:val="21"/>
                <w:szCs w:val="21"/>
              </w:rPr>
              <w:t>董事（代行董事长职责）、总经理 马志伟</w:t>
            </w:r>
            <w:r>
              <w:rPr>
                <w:rFonts w:hint="eastAsia" w:ascii="宋体" w:hAnsi="宋体" w:eastAsia="宋体" w:cs="宋体"/>
                <w:sz w:val="21"/>
                <w:szCs w:val="21"/>
              </w:rPr>
              <w:br w:type="textWrapping"/>
            </w:r>
            <w:r>
              <w:rPr>
                <w:rFonts w:hint="eastAsia" w:ascii="宋体" w:hAnsi="宋体" w:eastAsia="宋体" w:cs="宋体"/>
                <w:sz w:val="21"/>
                <w:szCs w:val="21"/>
              </w:rPr>
              <w:t>副总经理、董事会秘书、财务总监 黄峥嵘</w:t>
            </w:r>
            <w:r>
              <w:rPr>
                <w:rFonts w:hint="eastAsia" w:ascii="宋体" w:hAnsi="宋体" w:eastAsia="宋体" w:cs="宋体"/>
                <w:sz w:val="21"/>
                <w:szCs w:val="21"/>
              </w:rPr>
              <w:br w:type="textWrapping"/>
            </w:r>
            <w:r>
              <w:rPr>
                <w:rFonts w:hint="eastAsia" w:ascii="宋体" w:hAnsi="宋体" w:eastAsia="宋体" w:cs="宋体"/>
                <w:sz w:val="21"/>
                <w:szCs w:val="21"/>
              </w:rPr>
              <w:t>独立董事 朱燕建</w:t>
            </w:r>
          </w:p>
        </w:tc>
      </w:tr>
      <w:tr w14:paraId="4D809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0" w:hRule="atLeast"/>
          <w:jc w:val="center"/>
        </w:trPr>
        <w:tc>
          <w:tcPr>
            <w:tcW w:w="2580" w:type="dxa"/>
            <w:vAlign w:val="center"/>
          </w:tcPr>
          <w:p w14:paraId="243F3F63">
            <w:pPr>
              <w:pStyle w:val="13"/>
              <w:jc w:val="left"/>
              <w:rPr>
                <w:rFonts w:hint="eastAsia" w:ascii="宋体" w:hAnsi="宋体" w:eastAsia="宋体" w:cs="宋体"/>
                <w:b/>
                <w:bCs/>
                <w:sz w:val="21"/>
                <w:szCs w:val="21"/>
              </w:rPr>
            </w:pPr>
          </w:p>
          <w:p w14:paraId="523992E6">
            <w:pPr>
              <w:pStyle w:val="13"/>
              <w:jc w:val="left"/>
              <w:rPr>
                <w:rFonts w:hint="eastAsia" w:ascii="宋体" w:hAnsi="宋体" w:eastAsia="宋体" w:cs="宋体"/>
                <w:b/>
                <w:bCs/>
                <w:sz w:val="21"/>
                <w:szCs w:val="21"/>
              </w:rPr>
            </w:pPr>
          </w:p>
          <w:p w14:paraId="36F3FE1E">
            <w:pPr>
              <w:pStyle w:val="13"/>
              <w:spacing w:before="5"/>
              <w:jc w:val="left"/>
              <w:rPr>
                <w:rFonts w:hint="eastAsia" w:ascii="宋体" w:hAnsi="宋体" w:eastAsia="宋体" w:cs="宋体"/>
                <w:b/>
                <w:bCs/>
                <w:sz w:val="21"/>
                <w:szCs w:val="21"/>
              </w:rPr>
            </w:pPr>
          </w:p>
          <w:p w14:paraId="79360AF3">
            <w:pPr>
              <w:pStyle w:val="13"/>
              <w:spacing w:before="1" w:line="499" w:lineRule="auto"/>
              <w:ind w:left="107" w:right="96"/>
              <w:jc w:val="left"/>
              <w:rPr>
                <w:rFonts w:hint="eastAsia" w:ascii="宋体" w:hAnsi="宋体" w:eastAsia="宋体" w:cs="宋体"/>
                <w:b/>
                <w:bCs/>
                <w:sz w:val="21"/>
                <w:szCs w:val="21"/>
              </w:rPr>
            </w:pPr>
            <w:r>
              <w:rPr>
                <w:rFonts w:hint="eastAsia" w:ascii="宋体" w:hAnsi="宋体" w:eastAsia="宋体" w:cs="宋体"/>
                <w:b/>
                <w:bCs/>
                <w:sz w:val="21"/>
                <w:szCs w:val="21"/>
              </w:rPr>
              <w:t>投资者关系活动主要内容介绍</w:t>
            </w:r>
          </w:p>
        </w:tc>
        <w:tc>
          <w:tcPr>
            <w:tcW w:w="5945" w:type="dxa"/>
          </w:tcPr>
          <w:p w14:paraId="70A26085">
            <w:pPr>
              <w:pStyle w:val="13"/>
              <w:keepNext w:val="0"/>
              <w:keepLines w:val="0"/>
              <w:pageBreakBefore w:val="0"/>
              <w:widowControl w:val="0"/>
              <w:numPr>
                <w:ilvl w:val="0"/>
                <w:numId w:val="0"/>
              </w:numPr>
              <w:kinsoku/>
              <w:wordWrap/>
              <w:overflowPunct/>
              <w:topLinePunct w:val="0"/>
              <w:autoSpaceDE w:val="0"/>
              <w:autoSpaceDN w:val="0"/>
              <w:bidi w:val="0"/>
              <w:adjustRightInd/>
              <w:snapToGrid/>
              <w:spacing w:before="100" w:beforeAutospacing="1"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b/>
                <w:sz w:val="21"/>
                <w:szCs w:val="21"/>
                <w:lang w:val="en-US" w:eastAsia="zh-CN"/>
              </w:rPr>
              <w:t>1.</w:t>
            </w:r>
            <w:r>
              <w:rPr>
                <w:rFonts w:hint="eastAsia" w:ascii="宋体" w:hAnsi="宋体" w:eastAsia="宋体" w:cs="宋体"/>
                <w:b/>
                <w:sz w:val="21"/>
                <w:szCs w:val="21"/>
              </w:rPr>
              <w:t>请问公司2026年三季度经营情况如何？</w:t>
            </w:r>
            <w:r>
              <w:rPr>
                <w:rFonts w:hint="eastAsia" w:ascii="宋体" w:hAnsi="宋体" w:eastAsia="宋体" w:cs="宋体"/>
                <w:b/>
                <w:sz w:val="21"/>
                <w:szCs w:val="21"/>
              </w:rPr>
              <w:br w:type="textWrapping"/>
            </w:r>
            <w:r>
              <w:rPr>
                <w:rFonts w:hint="eastAsia" w:ascii="宋体" w:hAnsi="宋体" w:eastAsia="宋体" w:cs="宋体"/>
                <w:b w:val="0"/>
                <w:sz w:val="21"/>
                <w:szCs w:val="21"/>
              </w:rPr>
              <w:t xml:space="preserve">    答:尊敬的投资者，您好。公司前三季度累计实现营业收入14.45亿元，同比增长6.54%；归母净利润6.01亿元，同比增长23.18%，经营业绩稳步提升。分季度来看，第三季度公司实现营业收入6.83亿元，环比增长110.28%；归母净利润2.99亿元，环比增长174.04%，为公司上市以来单季利润第二高点。公司期货经纪业务、风险管理业务、财富管理业务、境外金融服务业务等板块形成合力，业务协同不断深化，盈利韧性持续增强，经营质效稳步提升，为公司稳健发展打下坚实基础。谢谢。</w:t>
            </w:r>
            <w:r>
              <w:rPr>
                <w:rFonts w:hint="eastAsia" w:ascii="宋体" w:hAnsi="宋体" w:eastAsia="宋体" w:cs="宋体"/>
                <w:b w:val="0"/>
                <w:sz w:val="21"/>
                <w:szCs w:val="21"/>
              </w:rPr>
              <w:br w:type="textWrapping"/>
            </w:r>
            <w:r>
              <w:rPr>
                <w:rFonts w:hint="eastAsia" w:ascii="宋体" w:hAnsi="宋体" w:eastAsia="宋体" w:cs="宋体"/>
                <w:b/>
                <w:sz w:val="21"/>
                <w:szCs w:val="21"/>
              </w:rPr>
              <w:t xml:space="preserve">    2.公司三季度收入构成如何？增长驱动因素是什么？</w:t>
            </w:r>
            <w:r>
              <w:rPr>
                <w:rFonts w:hint="eastAsia" w:ascii="宋体" w:hAnsi="宋体" w:eastAsia="宋体" w:cs="宋体"/>
                <w:b/>
                <w:sz w:val="21"/>
                <w:szCs w:val="21"/>
              </w:rPr>
              <w:br w:type="textWrapping"/>
            </w:r>
            <w:r>
              <w:rPr>
                <w:rFonts w:hint="eastAsia" w:ascii="宋体" w:hAnsi="宋体" w:eastAsia="宋体" w:cs="宋体"/>
                <w:b w:val="0"/>
                <w:sz w:val="21"/>
                <w:szCs w:val="21"/>
              </w:rPr>
              <w:t xml:space="preserve">    答:尊敬的投资者，您好。三季度公司经营稳健，整体呈现“基础底盘加固、环比修复显著、特色业务发力”的特点。第一，规模扩张、业务修复、特色突出，利润结构更加健康。一是持续做大经纪业务规模，Q3末客户权益达839.30亿元，同比大增73.56%，直接带动了经纪业务的稳步增长。二是风险管理业务重新步入正轨，期现贸易、场外衍生品和做市业务均有明显增长；三是境外业务势头不减，业绩实现了“高基数上的高增长”。综合看，前三季度基础业务板块业绩增长动能充足，利润结构持续向优调整，整体经营质效迈上新台阶。
</w:t>
            </w:r>
            <w:r>
              <w:rPr>
                <w:rFonts w:hint="eastAsia" w:ascii="宋体" w:hAnsi="宋体" w:eastAsia="宋体" w:cs="宋体"/>
                <w:b w:val="0"/>
                <w:sz w:val="21"/>
                <w:szCs w:val="21"/>
              </w:rPr>
              <w:br w:type="textWrapping"/>
            </w:r>
            <w:r>
              <w:rPr>
                <w:rFonts w:hint="eastAsia" w:ascii="宋体" w:hAnsi="宋体" w:eastAsia="宋体" w:cs="宋体"/>
                <w:b w:val="0"/>
                <w:sz w:val="21"/>
                <w:szCs w:val="21"/>
                <w:lang w:val="en-US" w:eastAsia="zh-CN"/>
              </w:rPr>
              <w:t xml:space="preserve">    </w:t>
            </w:r>
            <w:r>
              <w:rPr>
                <w:rFonts w:hint="eastAsia" w:ascii="宋体" w:hAnsi="宋体" w:eastAsia="宋体" w:cs="宋体"/>
                <w:b w:val="0"/>
                <w:sz w:val="21"/>
                <w:szCs w:val="21"/>
              </w:rPr>
              <w:t>第二</w:t>
            </w:r>
            <w:r>
              <w:rPr>
                <w:rFonts w:hint="eastAsia" w:ascii="宋体" w:hAnsi="宋体" w:eastAsia="宋体" w:cs="宋体"/>
                <w:b w:val="0"/>
                <w:sz w:val="21"/>
                <w:szCs w:val="21"/>
                <w:lang w:eastAsia="zh-CN"/>
              </w:rPr>
              <w:t>，</w:t>
            </w:r>
            <w:r>
              <w:rPr>
                <w:rFonts w:hint="eastAsia" w:ascii="宋体" w:hAnsi="宋体" w:eastAsia="宋体" w:cs="宋体"/>
                <w:b w:val="0"/>
                <w:sz w:val="21"/>
                <w:szCs w:val="21"/>
              </w:rPr>
              <w:t>业绩波动性下降，整体更加稳健。前三季度营收14.45亿元，净利润超6亿元，是公司上市以来前三季度利润的新高，手续费收入和利息收入占比超六成，底盘非常稳固。从单季度业绩看，业务波动幅度较以往年度大幅减少，稳定性明显提升。单看Q3业绩，营收6.83亿元，环比大增110%，除了经纪业务、风险管理业务、境外业务发力外，投资类业务也得到了很好的修复，带动单季归母净利润达2.99亿元，为上市以来单季利润第二高点。谢谢。</w:t>
            </w:r>
            <w:r>
              <w:rPr>
                <w:rFonts w:hint="eastAsia" w:ascii="宋体" w:hAnsi="宋体" w:eastAsia="宋体" w:cs="宋体"/>
                <w:b w:val="0"/>
                <w:sz w:val="21"/>
                <w:szCs w:val="21"/>
              </w:rPr>
              <w:br w:type="textWrapping"/>
            </w:r>
            <w:r>
              <w:rPr>
                <w:rFonts w:hint="eastAsia" w:ascii="宋体" w:hAnsi="宋体" w:eastAsia="宋体" w:cs="宋体"/>
                <w:b/>
                <w:sz w:val="21"/>
                <w:szCs w:val="21"/>
              </w:rPr>
              <w:t xml:space="preserve">    3.当前期货行业都在加大AI投入，能否介绍公司在AI方面的规划？</w:t>
            </w:r>
            <w:r>
              <w:rPr>
                <w:rFonts w:hint="eastAsia" w:ascii="宋体" w:hAnsi="宋体" w:eastAsia="宋体" w:cs="宋体"/>
                <w:b/>
                <w:sz w:val="21"/>
                <w:szCs w:val="21"/>
              </w:rPr>
              <w:br w:type="textWrapping"/>
            </w:r>
            <w:r>
              <w:rPr>
                <w:rFonts w:hint="eastAsia" w:ascii="宋体" w:hAnsi="宋体" w:eastAsia="宋体" w:cs="宋体"/>
                <w:b w:val="0"/>
                <w:sz w:val="21"/>
                <w:szCs w:val="21"/>
              </w:rPr>
              <w:t xml:space="preserve">    答:尊敬的投资者，您好。公司AI布局起步较早，已形成多项落地成果，“安仔智答”“安仔智助”“源点智研”均已投入使用；自研“烽燧・监督一张网”智能风控平台，全面提升风险管理的触达能力、响应效率和精细化管理能力；深化“源点智研”品牌，持续加强产投研一体化建设。</w:t>
            </w:r>
            <w:r>
              <w:rPr>
                <w:rFonts w:hint="eastAsia" w:ascii="宋体" w:hAnsi="宋体" w:eastAsia="宋体" w:cs="宋体"/>
                <w:b w:val="0"/>
                <w:sz w:val="21"/>
                <w:szCs w:val="21"/>
              </w:rPr>
              <w:br w:type="textWrapping"/>
            </w:r>
            <w:r>
              <w:rPr>
                <w:rFonts w:hint="eastAsia" w:ascii="宋体" w:hAnsi="宋体" w:eastAsia="宋体" w:cs="宋体"/>
                <w:b w:val="0"/>
                <w:sz w:val="21"/>
                <w:szCs w:val="21"/>
                <w:lang w:val="en-US" w:eastAsia="zh-CN"/>
              </w:rPr>
              <w:t xml:space="preserve">    </w:t>
            </w:r>
            <w:r>
              <w:rPr>
                <w:rFonts w:hint="eastAsia" w:ascii="宋体" w:hAnsi="宋体" w:eastAsia="宋体" w:cs="宋体"/>
                <w:b w:val="0"/>
                <w:sz w:val="21"/>
                <w:szCs w:val="21"/>
              </w:rPr>
              <w:t>面向未来，公司加大资源投入，构建“永安 AI 大脑”统一底座，应用场景主要涵盖四大方向：一是服务客户，智能客服提供行情解读、业务指引，辅助开展套保方案设计、基差分析、产业数据推演，提升产业客户服务质效；二是赋能员工，由AI承接事务性工作，释放人员精力，聚焦高价值专业判断；三是支撑经营，为管理层科学决策提供信息支持；四是强化风控，拓展“烽燧”平台在市场风险、异常交易识别、反洗钱线索筛查等方面能力。
</w:t>
            </w:r>
            <w:r>
              <w:rPr>
                <w:rFonts w:hint="eastAsia" w:ascii="宋体" w:hAnsi="宋体" w:eastAsia="宋体" w:cs="宋体"/>
                <w:b w:val="0"/>
                <w:sz w:val="21"/>
                <w:szCs w:val="21"/>
              </w:rPr>
              <w:br w:type="textWrapping"/>
            </w:r>
            <w:r>
              <w:rPr>
                <w:rFonts w:hint="eastAsia" w:ascii="宋体" w:hAnsi="宋体" w:eastAsia="宋体" w:cs="宋体"/>
                <w:b w:val="0"/>
                <w:sz w:val="21"/>
                <w:szCs w:val="21"/>
                <w:lang w:val="en-US" w:eastAsia="zh-CN"/>
              </w:rPr>
              <w:t xml:space="preserve">    </w:t>
            </w:r>
            <w:r>
              <w:rPr>
                <w:rFonts w:hint="eastAsia" w:ascii="宋体" w:hAnsi="宋体" w:eastAsia="宋体" w:cs="宋体"/>
                <w:b w:val="0"/>
                <w:sz w:val="21"/>
                <w:szCs w:val="21"/>
              </w:rPr>
              <w:t>公司将按照“夯基、深化、输出、成势”四阶段稳步落地，严守监管要求、坚持关键环节人工把关，推动AI转化为业务服务能力与经营效益，致力打造期货行业产业AI服务样板。谢谢。</w:t>
            </w:r>
            <w:r>
              <w:rPr>
                <w:rFonts w:hint="eastAsia" w:ascii="宋体" w:hAnsi="宋体" w:eastAsia="宋体" w:cs="宋体"/>
                <w:b w:val="0"/>
                <w:sz w:val="21"/>
                <w:szCs w:val="21"/>
              </w:rPr>
              <w:br w:type="textWrapping"/>
            </w:r>
            <w:r>
              <w:rPr>
                <w:rFonts w:hint="eastAsia" w:ascii="宋体" w:hAnsi="宋体" w:eastAsia="宋体" w:cs="宋体"/>
                <w:b/>
                <w:sz w:val="21"/>
                <w:szCs w:val="21"/>
              </w:rPr>
              <w:t xml:space="preserve">    4.请问前三季度期货行业整体运行情况如何？</w:t>
            </w:r>
            <w:r>
              <w:rPr>
                <w:rFonts w:hint="eastAsia" w:ascii="宋体" w:hAnsi="宋体" w:eastAsia="宋体" w:cs="宋体"/>
                <w:b/>
                <w:sz w:val="21"/>
                <w:szCs w:val="21"/>
              </w:rPr>
              <w:br w:type="textWrapping"/>
            </w:r>
            <w:r>
              <w:rPr>
                <w:rFonts w:hint="eastAsia" w:ascii="宋体" w:hAnsi="宋体" w:eastAsia="宋体" w:cs="宋体"/>
                <w:b w:val="0"/>
                <w:sz w:val="21"/>
                <w:szCs w:val="21"/>
              </w:rPr>
              <w:t xml:space="preserve">    答:尊敬的投资者，您好。2026年前三季度，全国期货市场保持较高活跃度。中国期货业协会统计显示，以单边计算，2026年1</w:t>
            </w:r>
            <w:r>
              <w:rPr>
                <w:rFonts w:hint="eastAsia" w:ascii="宋体" w:hAnsi="宋体" w:eastAsia="宋体" w:cs="宋体"/>
                <w:b w:val="0"/>
                <w:sz w:val="21"/>
                <w:szCs w:val="21"/>
                <w:lang w:eastAsia="zh-CN"/>
              </w:rPr>
              <w:t>—</w:t>
            </w:r>
            <w:r>
              <w:rPr>
                <w:rFonts w:hint="eastAsia" w:ascii="宋体" w:hAnsi="宋体" w:eastAsia="宋体" w:cs="宋体"/>
                <w:b w:val="0"/>
                <w:sz w:val="21"/>
                <w:szCs w:val="21"/>
              </w:rPr>
              <w:t>9月全国期货市场累计成交量为83.84亿手，累计成交额738.54万亿元，同比分别增长24.2%和34.86%；全国期货公司累计实现营业收入330.47亿元，同比增长7.04%；净利润91.27亿元，同比增长3.14%</w:t>
            </w:r>
            <w:bookmarkStart w:id="0" w:name="_GoBack"/>
            <w:bookmarkEnd w:id="0"/>
            <w:r>
              <w:rPr>
                <w:rFonts w:hint="eastAsia" w:ascii="宋体" w:hAnsi="宋体" w:eastAsia="宋体" w:cs="宋体"/>
                <w:b w:val="0"/>
                <w:sz w:val="21"/>
                <w:szCs w:val="21"/>
              </w:rPr>
              <w:t>。市场规模稳步扩容，市场活力持续释放。品种体系方面，截至9月末，国内已上市期货、期权品种共171个， 合格境外投资者可交易品种超过100个，覆盖金属、能源化工、农产品、新能源品种等国民经济关键领域，品种供给不断丰富、市场功能持续完善。实体企业套期保值、风险管理需求持续释放，期货市场服务实体经济的功能持续深化，市场运行质量稳步提升，为行业高质量发展提供广阔空间。谢谢。</w:t>
            </w:r>
            <w:r>
              <w:rPr>
                <w:rFonts w:hint="eastAsia" w:ascii="宋体" w:hAnsi="宋体" w:eastAsia="宋体" w:cs="宋体"/>
                <w:b w:val="0"/>
                <w:sz w:val="21"/>
                <w:szCs w:val="21"/>
              </w:rPr>
              <w:br w:type="textWrapping"/>
            </w:r>
            <w:r>
              <w:rPr>
                <w:rFonts w:hint="eastAsia" w:ascii="宋体" w:hAnsi="宋体" w:eastAsia="宋体" w:cs="宋体"/>
                <w:b w:val="0"/>
                <w:sz w:val="21"/>
                <w:szCs w:val="21"/>
                <w:lang w:val="en-US" w:eastAsia="zh-CN"/>
              </w:rPr>
              <w:t xml:space="preserve">    </w:t>
            </w:r>
            <w:r>
              <w:rPr>
                <w:rFonts w:hint="eastAsia" w:ascii="宋体" w:hAnsi="宋体" w:eastAsia="宋体" w:cs="宋体"/>
                <w:b/>
                <w:sz w:val="21"/>
                <w:szCs w:val="21"/>
                <w:lang w:val="en-US" w:eastAsia="zh-CN"/>
              </w:rPr>
              <w:t>5</w:t>
            </w:r>
            <w:r>
              <w:rPr>
                <w:rFonts w:hint="eastAsia" w:ascii="宋体" w:hAnsi="宋体" w:eastAsia="宋体" w:cs="宋体"/>
                <w:b/>
                <w:sz w:val="21"/>
                <w:szCs w:val="21"/>
              </w:rPr>
              <w:t>.监管新规提出资管业务“含期量”硬性约束，公司资管业务后续将如何调整布局？</w:t>
            </w:r>
            <w:r>
              <w:rPr>
                <w:rFonts w:hint="eastAsia" w:ascii="宋体" w:hAnsi="宋体" w:eastAsia="宋体" w:cs="宋体"/>
                <w:b/>
                <w:sz w:val="21"/>
                <w:szCs w:val="21"/>
              </w:rPr>
              <w:br w:type="textWrapping"/>
            </w:r>
            <w:r>
              <w:rPr>
                <w:rFonts w:hint="eastAsia" w:ascii="宋体" w:hAnsi="宋体" w:eastAsia="宋体" w:cs="宋体"/>
                <w:b w:val="0"/>
                <w:sz w:val="21"/>
                <w:szCs w:val="21"/>
              </w:rPr>
              <w:t xml:space="preserve">    答:尊敬的投资者，您好。在监管新规对期货资管设置“含期量”要求的背景下，资管业务从重规模向重质量转型。公司自2012年首批取得资管牌照以来，长期聚焦投研体系建设与专业人才培育，持续打造高“含期量”特色产品，为新规下的规模扩张打下了基础。未来，公司将严格落实监管导向，持续夯实投研底座，坚持内培外引并举，壮大优秀投资经理队伍；加大主动管理能力建设，丰富衍生品特色产品线；持续打响永安资管品牌，为期货资管高质量发展贡献永安智慧和永安力量。谢谢。</w:t>
            </w:r>
            <w:r>
              <w:rPr>
                <w:rFonts w:hint="eastAsia" w:ascii="宋体" w:hAnsi="宋体" w:eastAsia="宋体" w:cs="宋体"/>
                <w:b w:val="0"/>
                <w:sz w:val="21"/>
                <w:szCs w:val="21"/>
              </w:rPr>
              <w:br w:type="textWrapping"/>
            </w:r>
            <w:r>
              <w:rPr>
                <w:rFonts w:hint="eastAsia" w:ascii="宋体" w:hAnsi="宋体" w:eastAsia="宋体" w:cs="宋体"/>
                <w:b/>
                <w:sz w:val="21"/>
                <w:szCs w:val="21"/>
              </w:rPr>
              <w:t xml:space="preserve">    </w:t>
            </w:r>
            <w:r>
              <w:rPr>
                <w:rFonts w:hint="eastAsia" w:ascii="宋体" w:hAnsi="宋体" w:eastAsia="宋体" w:cs="宋体"/>
                <w:b/>
                <w:sz w:val="21"/>
                <w:szCs w:val="21"/>
                <w:lang w:val="en-US" w:eastAsia="zh-CN"/>
              </w:rPr>
              <w:t>6</w:t>
            </w:r>
            <w:r>
              <w:rPr>
                <w:rFonts w:hint="eastAsia" w:ascii="宋体" w:hAnsi="宋体" w:eastAsia="宋体" w:cs="宋体"/>
                <w:b/>
                <w:sz w:val="21"/>
                <w:szCs w:val="21"/>
              </w:rPr>
              <w:t>.请问公司在境外业务上的发展布局是什么？</w:t>
            </w:r>
            <w:r>
              <w:rPr>
                <w:rFonts w:hint="eastAsia" w:ascii="宋体" w:hAnsi="宋体" w:eastAsia="宋体" w:cs="宋体"/>
                <w:b/>
                <w:sz w:val="21"/>
                <w:szCs w:val="21"/>
              </w:rPr>
              <w:br w:type="textWrapping"/>
            </w:r>
            <w:r>
              <w:rPr>
                <w:rFonts w:hint="eastAsia" w:ascii="宋体" w:hAnsi="宋体" w:eastAsia="宋体" w:cs="宋体"/>
                <w:b w:val="0"/>
                <w:sz w:val="21"/>
                <w:szCs w:val="21"/>
              </w:rPr>
              <w:t xml:space="preserve">    答:尊敬的投资者，您好。公司境外子公司新永安国际金融控股有限公司作为首批在香港设立的期货公司之一，已取得期货、证券、资管、基金销售等多项境外牌照，服务能力覆盖多项跨境金融需求。根据2026年半年度报告披露，境外金融服务业务实现营业利润1.92亿元，同比增长161.45%，已连续七年保持利润正增长，展现出稳固的盈利基底和成长动力。目前公司已形成“中国香港—新加坡—英国伦敦”三角支点，境外二级子公司永安国际金融（新加坡）有限公司已获得新加坡交易所清算会员资格、亚贝思交易所（ABAXX）交易及清算会员资格，英国子公司批准获得 FCA 投资公司授权，开展相关衍生品业务，境外布局持续深化，全球服务网络日趋完善。下一步，公司将持续打造跨境金融服务生态，依托国际业务板块，以境外主经纪业务为海外发展引擎，统筹布局境外期货经纪、资产管理、风险管理等业务，构建覆盖全领域的跨境金融服务生态；通过健全境内外业务协同机制，推动实现境外业务规模与市场影响力跨越式提升。谢谢。</w:t>
            </w:r>
            <w:r>
              <w:rPr>
                <w:rFonts w:hint="eastAsia" w:ascii="宋体" w:hAnsi="宋体" w:eastAsia="宋体" w:cs="宋体"/>
                <w:b w:val="0"/>
                <w:sz w:val="21"/>
                <w:szCs w:val="21"/>
              </w:rPr>
              <w:br w:type="textWrapping"/>
            </w:r>
            <w:r>
              <w:rPr>
                <w:rFonts w:hint="eastAsia" w:ascii="宋体" w:hAnsi="宋体" w:eastAsia="宋体" w:cs="宋体"/>
                <w:b/>
                <w:sz w:val="21"/>
                <w:szCs w:val="21"/>
              </w:rPr>
              <w:t xml:space="preserve">    </w:t>
            </w:r>
            <w:r>
              <w:rPr>
                <w:rFonts w:hint="eastAsia" w:ascii="宋体" w:hAnsi="宋体" w:eastAsia="宋体" w:cs="宋体"/>
                <w:b/>
                <w:sz w:val="21"/>
                <w:szCs w:val="21"/>
                <w:lang w:val="en-US" w:eastAsia="zh-CN"/>
              </w:rPr>
              <w:t>7</w:t>
            </w:r>
            <w:r>
              <w:rPr>
                <w:rFonts w:hint="eastAsia" w:ascii="宋体" w:hAnsi="宋体" w:eastAsia="宋体" w:cs="宋体"/>
                <w:b/>
                <w:sz w:val="21"/>
                <w:szCs w:val="21"/>
              </w:rPr>
              <w:t>.请问公司前三季度风险管理业务有什么成果和亮点？</w:t>
            </w:r>
            <w:r>
              <w:rPr>
                <w:rFonts w:hint="eastAsia" w:ascii="宋体" w:hAnsi="宋体" w:eastAsia="宋体" w:cs="宋体"/>
                <w:b/>
                <w:sz w:val="21"/>
                <w:szCs w:val="21"/>
              </w:rPr>
              <w:br w:type="textWrapping"/>
            </w:r>
            <w:r>
              <w:rPr>
                <w:rFonts w:hint="eastAsia" w:ascii="宋体" w:hAnsi="宋体" w:eastAsia="宋体" w:cs="宋体"/>
                <w:b w:val="0"/>
                <w:sz w:val="21"/>
                <w:szCs w:val="21"/>
              </w:rPr>
              <w:t xml:space="preserve">    答:尊敬的投资者，您好。2026年前三季度，公司围绕产业风险管理生态，累计服务实体企业超1.7万家，实现了经营质效与服务实体双提升。</w:t>
            </w:r>
            <w:r>
              <w:rPr>
                <w:rFonts w:hint="eastAsia" w:ascii="宋体" w:hAnsi="宋体" w:eastAsia="宋体" w:cs="宋体"/>
                <w:b w:val="0"/>
                <w:sz w:val="21"/>
                <w:szCs w:val="21"/>
              </w:rPr>
              <w:br w:type="textWrapping"/>
            </w:r>
            <w:r>
              <w:rPr>
                <w:rFonts w:hint="eastAsia" w:ascii="宋体" w:hAnsi="宋体" w:eastAsia="宋体" w:cs="宋体"/>
                <w:b w:val="0"/>
                <w:sz w:val="21"/>
                <w:szCs w:val="21"/>
                <w:lang w:val="en-US" w:eastAsia="zh-CN"/>
              </w:rPr>
              <w:t xml:space="preserve">    </w:t>
            </w:r>
            <w:r>
              <w:rPr>
                <w:rFonts w:hint="eastAsia" w:ascii="宋体" w:hAnsi="宋体" w:eastAsia="宋体" w:cs="宋体"/>
                <w:b w:val="0"/>
                <w:sz w:val="21"/>
                <w:szCs w:val="21"/>
              </w:rPr>
              <w:t>前三季度，大宗商品风险管理业务方面，公司现货贸易总额超350亿元，继续保持行业头部。农业板块助力生猪养殖企业稳定经营，交付生猪140万头；化工板块深耕乙二醇、纯碱、短纤等品种，深入服务行业龙头企业；金属板块多品种均衡盈利，获批上期所螺纹钢、热轧卷板期货交割厂库；能源板块为燃料油企业锁价保供超13万吨；软商品板块深化上游合作，拓展境内外产业服务。衍生品交易业务方面，灵活把握市场节奏，化工、农业、金属等商品板块均实现较好收益。做市业务方面，新增11个期货做市资格，盈利水平稳步提升。根据2026年半年度报告披露，公司上半年风险管理业务实现收入2.92亿元，同比增长866.28%。</w:t>
            </w:r>
            <w:r>
              <w:rPr>
                <w:rFonts w:hint="eastAsia" w:ascii="宋体" w:hAnsi="宋体" w:eastAsia="宋体" w:cs="宋体"/>
                <w:b w:val="0"/>
                <w:sz w:val="21"/>
                <w:szCs w:val="21"/>
              </w:rPr>
              <w:br w:type="textWrapping"/>
            </w:r>
            <w:r>
              <w:rPr>
                <w:rFonts w:hint="eastAsia" w:ascii="宋体" w:hAnsi="宋体" w:eastAsia="宋体" w:cs="宋体"/>
                <w:b w:val="0"/>
                <w:sz w:val="21"/>
                <w:szCs w:val="21"/>
                <w:lang w:val="en-US" w:eastAsia="zh-CN"/>
              </w:rPr>
              <w:t xml:space="preserve">    </w:t>
            </w:r>
            <w:r>
              <w:rPr>
                <w:rFonts w:hint="eastAsia" w:ascii="宋体" w:hAnsi="宋体" w:eastAsia="宋体" w:cs="宋体"/>
                <w:b w:val="0"/>
                <w:sz w:val="21"/>
                <w:szCs w:val="21"/>
              </w:rPr>
              <w:t>下一步，公司将继续推进“产业风险管理生态”建设，深耕产业链供应链一体化服务，为服务实体经济、助力国家战略贡献更大力量。谢谢。</w:t>
            </w:r>
            <w:r>
              <w:rPr>
                <w:rFonts w:hint="eastAsia" w:ascii="宋体" w:hAnsi="宋体" w:eastAsia="宋体" w:cs="宋体"/>
                <w:b/>
                <w:sz w:val="21"/>
                <w:szCs w:val="21"/>
              </w:rPr>
              <w:t xml:space="preserve"> </w:t>
            </w:r>
            <w:r>
              <w:rPr>
                <w:rFonts w:hint="eastAsia" w:ascii="宋体" w:hAnsi="宋体" w:eastAsia="宋体" w:cs="宋体"/>
                <w:b/>
                <w:sz w:val="21"/>
                <w:szCs w:val="21"/>
              </w:rPr>
              <w:br w:type="textWrapping"/>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8.请问公司如何做好市值管理工作？</w:t>
            </w:r>
            <w:r>
              <w:rPr>
                <w:rFonts w:hint="eastAsia" w:ascii="宋体" w:hAnsi="宋体" w:eastAsia="宋体" w:cs="宋体"/>
                <w:b/>
                <w:sz w:val="21"/>
                <w:szCs w:val="21"/>
              </w:rPr>
              <w:br w:type="textWrapping"/>
            </w:r>
            <w:r>
              <w:rPr>
                <w:rFonts w:hint="eastAsia" w:ascii="宋体" w:hAnsi="宋体" w:eastAsia="宋体" w:cs="宋体"/>
                <w:b w:val="0"/>
                <w:sz w:val="21"/>
                <w:szCs w:val="21"/>
              </w:rPr>
              <w:t xml:space="preserve">    答:尊敬的投资者，您好。公司始终坚持合规前提下的价值经营理念，立足基本面、深耕主业，推动价值创造、价值经营、价值传播有机统一。一方面，公司牢牢把握“十五五”发展机遇，紧跟期货行业监管改革方向，持续做强经纪业务、风险管理业务、资管业务、财富业务、境外业务等核心板块，夯实风控底座、优化业务结构、提升盈利质量，以稳健经营筑牢价值根基。另一方面，公司严格遵守监管要求，提升信息披露内容的可读性和透明度，与以投资者为代表的多元主体保持常态化、坦诚高效的沟通，丰富沟通渠道和沟通形式。三是开展中期分红，完成股份回购并注销，公司2025年度现金红利和回购金额之和占公司2025年度合并报表归母净利润比例达到35%。未来，公司将持续完善股东分红机制，以长期稳健的公司价值回报投资者。谢谢。</w:t>
            </w:r>
            <w:r>
              <w:rPr>
                <w:rFonts w:hint="eastAsia" w:ascii="宋体" w:hAnsi="宋体" w:eastAsia="宋体" w:cs="宋体"/>
                <w:b w:val="0"/>
                <w:sz w:val="21"/>
                <w:szCs w:val="21"/>
              </w:rPr>
              <w:br w:type="textWrapping"/>
            </w:r>
            <w:r>
              <w:rPr>
                <w:rFonts w:hint="eastAsia" w:ascii="宋体" w:hAnsi="宋体" w:eastAsia="宋体" w:cs="宋体"/>
                <w:b w:val="0"/>
                <w:sz w:val="21"/>
                <w:szCs w:val="21"/>
                <w:lang w:val="en-US" w:eastAsia="zh-CN"/>
              </w:rPr>
              <w:t xml:space="preserve">    </w:t>
            </w:r>
            <w:r>
              <w:rPr>
                <w:rFonts w:hint="eastAsia" w:ascii="宋体" w:hAnsi="宋体" w:eastAsia="宋体" w:cs="宋体"/>
                <w:b/>
                <w:sz w:val="21"/>
                <w:szCs w:val="21"/>
                <w:lang w:val="en-US" w:eastAsia="zh-CN"/>
              </w:rPr>
              <w:t>9</w:t>
            </w:r>
            <w:r>
              <w:rPr>
                <w:rFonts w:hint="eastAsia" w:ascii="宋体" w:hAnsi="宋体" w:eastAsia="宋体" w:cs="宋体"/>
                <w:b/>
                <w:sz w:val="21"/>
                <w:szCs w:val="21"/>
              </w:rPr>
              <w:t>.目前，公司的股东户数是多少？</w:t>
            </w:r>
            <w:r>
              <w:rPr>
                <w:rFonts w:hint="eastAsia" w:ascii="宋体" w:hAnsi="宋体" w:eastAsia="宋体" w:cs="宋体"/>
                <w:b/>
                <w:sz w:val="21"/>
                <w:szCs w:val="21"/>
              </w:rPr>
              <w:br w:type="textWrapping"/>
            </w:r>
            <w:r>
              <w:rPr>
                <w:rFonts w:hint="eastAsia" w:ascii="宋体" w:hAnsi="宋体" w:eastAsia="宋体" w:cs="宋体"/>
                <w:b w:val="0"/>
                <w:sz w:val="21"/>
                <w:szCs w:val="21"/>
              </w:rPr>
              <w:t xml:space="preserve">    答:尊敬的投资者，您好。截至2026年9月30日，公司的股东户数为 3.21万户。谢谢。</w:t>
            </w:r>
          </w:p>
        </w:tc>
      </w:tr>
      <w:tr w14:paraId="33127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2580" w:type="dxa"/>
            <w:vAlign w:val="center"/>
          </w:tcPr>
          <w:p w14:paraId="36AF2132">
            <w:pPr>
              <w:pStyle w:val="13"/>
              <w:spacing w:before="1"/>
              <w:ind w:left="107"/>
              <w:jc w:val="left"/>
              <w:rPr>
                <w:rFonts w:hint="eastAsia" w:ascii="宋体" w:hAnsi="宋体" w:eastAsia="宋体" w:cs="宋体"/>
                <w:b/>
                <w:bCs/>
                <w:sz w:val="21"/>
                <w:szCs w:val="21"/>
              </w:rPr>
            </w:pPr>
            <w:r>
              <w:rPr>
                <w:rFonts w:hint="eastAsia" w:ascii="宋体" w:hAnsi="宋体" w:eastAsia="宋体" w:cs="宋体"/>
                <w:b/>
                <w:bCs/>
                <w:sz w:val="21"/>
                <w:szCs w:val="21"/>
              </w:rPr>
              <w:t>关于本次活动是否涉及应</w:t>
            </w:r>
          </w:p>
          <w:p w14:paraId="0FAF39A5">
            <w:pPr>
              <w:pStyle w:val="13"/>
              <w:spacing w:before="1"/>
              <w:ind w:left="107"/>
              <w:jc w:val="left"/>
              <w:rPr>
                <w:rFonts w:hint="eastAsia" w:ascii="宋体" w:hAnsi="宋体" w:eastAsia="宋体" w:cs="宋体"/>
                <w:b/>
                <w:bCs/>
                <w:sz w:val="21"/>
                <w:szCs w:val="21"/>
              </w:rPr>
            </w:pPr>
            <w:r>
              <w:rPr>
                <w:rFonts w:hint="eastAsia" w:ascii="宋体" w:hAnsi="宋体" w:eastAsia="宋体" w:cs="宋体"/>
                <w:b/>
                <w:bCs/>
                <w:sz w:val="21"/>
                <w:szCs w:val="21"/>
              </w:rPr>
              <w:t>披露重大信息的说明</w:t>
            </w:r>
          </w:p>
        </w:tc>
        <w:tc>
          <w:tcPr>
            <w:tcW w:w="5945" w:type="dxa"/>
            <w:vAlign w:val="center"/>
          </w:tcPr>
          <w:p w14:paraId="0B96E1E7">
            <w:pPr>
              <w:pStyle w:val="13"/>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eastAsia" w:ascii="宋体" w:hAnsi="宋体" w:eastAsia="宋体" w:cs="宋体"/>
                <w:sz w:val="21"/>
                <w:szCs w:val="21"/>
              </w:rPr>
            </w:pPr>
            <w:r>
              <w:rPr>
                <w:rFonts w:hint="eastAsia" w:ascii="宋体" w:hAnsi="宋体" w:eastAsia="宋体" w:cs="宋体"/>
                <w:sz w:val="21"/>
                <w:szCs w:val="21"/>
              </w:rPr>
              <w:t>本次活动不涉及未公开披露的重大信息。</w:t>
            </w:r>
          </w:p>
        </w:tc>
      </w:tr>
      <w:tr w14:paraId="6E8DB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0B465127">
            <w:pPr>
              <w:pStyle w:val="13"/>
              <w:spacing w:before="1"/>
              <w:ind w:left="107" w:leftChars="0"/>
              <w:jc w:val="left"/>
              <w:rPr>
                <w:rFonts w:hint="eastAsia" w:ascii="宋体" w:hAnsi="宋体" w:eastAsia="宋体" w:cs="宋体"/>
                <w:b/>
                <w:bCs/>
                <w:sz w:val="21"/>
                <w:szCs w:val="21"/>
                <w:lang w:val="zh-CN" w:eastAsia="zh-CN" w:bidi="zh-CN"/>
              </w:rPr>
            </w:pPr>
            <w:r>
              <w:rPr>
                <w:rFonts w:hint="eastAsia" w:ascii="宋体" w:hAnsi="宋体" w:eastAsia="宋体" w:cs="宋体"/>
                <w:b/>
                <w:bCs/>
                <w:sz w:val="21"/>
                <w:szCs w:val="21"/>
              </w:rPr>
              <w:t>附件清单（如有）</w:t>
            </w:r>
          </w:p>
        </w:tc>
        <w:tc>
          <w:tcPr>
            <w:tcW w:w="5945" w:type="dxa"/>
            <w:vAlign w:val="center"/>
          </w:tcPr>
          <w:p w14:paraId="2CC89D79">
            <w:pPr>
              <w:pStyle w:val="13"/>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eastAsia" w:ascii="宋体" w:hAnsi="宋体" w:eastAsia="宋体" w:cs="宋体"/>
                <w:sz w:val="21"/>
                <w:szCs w:val="21"/>
                <w:lang w:val="zh-CN" w:eastAsia="zh-CN" w:bidi="zh-CN"/>
              </w:rPr>
            </w:pPr>
          </w:p>
        </w:tc>
      </w:tr>
      <w:tr w14:paraId="75F6D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3A26B9E7">
            <w:pPr>
              <w:pStyle w:val="13"/>
              <w:spacing w:before="1"/>
              <w:ind w:left="107" w:leftChars="0"/>
              <w:jc w:val="left"/>
              <w:rPr>
                <w:rFonts w:hint="eastAsia" w:ascii="宋体" w:hAnsi="宋体" w:eastAsia="宋体" w:cs="宋体"/>
                <w:b/>
                <w:bCs/>
                <w:sz w:val="21"/>
                <w:szCs w:val="21"/>
                <w:lang w:val="zh-CN" w:eastAsia="zh-CN" w:bidi="zh-CN"/>
              </w:rPr>
            </w:pPr>
            <w:r>
              <w:rPr>
                <w:rFonts w:hint="eastAsia" w:ascii="宋体" w:hAnsi="宋体" w:eastAsia="宋体" w:cs="宋体"/>
                <w:b/>
                <w:bCs/>
                <w:sz w:val="21"/>
                <w:szCs w:val="21"/>
              </w:rPr>
              <w:t>日期</w:t>
            </w:r>
          </w:p>
        </w:tc>
        <w:tc>
          <w:tcPr>
            <w:tcW w:w="5945" w:type="dxa"/>
            <w:vAlign w:val="center"/>
          </w:tcPr>
          <w:p w14:paraId="2465DA18">
            <w:pPr>
              <w:pStyle w:val="13"/>
              <w:keepNext w:val="0"/>
              <w:keepLines w:val="0"/>
              <w:pageBreakBefore w:val="0"/>
              <w:widowControl w:val="0"/>
              <w:kinsoku/>
              <w:wordWrap/>
              <w:overflowPunct/>
              <w:topLinePunct w:val="0"/>
              <w:autoSpaceDE w:val="0"/>
              <w:autoSpaceDN w:val="0"/>
              <w:bidi w:val="0"/>
              <w:adjustRightInd/>
              <w:snapToGrid/>
              <w:spacing w:before="100" w:beforeAutospacing="1"/>
              <w:textAlignment w:val="auto"/>
              <w:rPr>
                <w:rFonts w:hint="eastAsia" w:ascii="宋体" w:hAnsi="宋体" w:eastAsia="宋体" w:cs="宋体"/>
                <w:sz w:val="21"/>
                <w:szCs w:val="21"/>
                <w:lang w:val="zh-CN" w:eastAsia="zh-CN" w:bidi="zh-CN"/>
              </w:rPr>
            </w:pPr>
            <w:r>
              <w:rPr>
                <w:rFonts w:hint="eastAsia" w:ascii="宋体" w:hAnsi="宋体" w:eastAsia="宋体" w:cs="宋体"/>
                <w:sz w:val="21"/>
                <w:szCs w:val="21"/>
              </w:rPr>
              <w:t>2026年11月05日</w:t>
            </w:r>
          </w:p>
        </w:tc>
      </w:tr>
    </w:tbl>
    <w:p w14:paraId="204F4EAA">
      <w:pPr>
        <w:rPr>
          <w:rFonts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Wingdings 2">
    <w:panose1 w:val="05020102010507070707"/>
    <w:charset w:val="02"/>
    <w:family w:val="roman"/>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 w:name="KSOFA61C387F">
    <w:panose1 w:val="020B0604030504040204"/>
    <w:charset w:val="88"/>
    <w:family w:val="auto"/>
    <w:pitch w:val="default"/>
    <w:sig w:usb0="00000001" w:usb1="00000000" w:usb2="00000000" w:usb3="00000000" w:csb0="0010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74B0323"/>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D6E1D94"/>
    <w:rsid w:val="1F59699C"/>
    <w:rsid w:val="1F782BDE"/>
    <w:rsid w:val="204A6A53"/>
    <w:rsid w:val="23317869"/>
    <w:rsid w:val="23FF441C"/>
    <w:rsid w:val="25650CAE"/>
    <w:rsid w:val="26406598"/>
    <w:rsid w:val="28080056"/>
    <w:rsid w:val="28127EEE"/>
    <w:rsid w:val="28734C1A"/>
    <w:rsid w:val="28C72DDD"/>
    <w:rsid w:val="29EE0E64"/>
    <w:rsid w:val="2BC4020A"/>
    <w:rsid w:val="2EF90F16"/>
    <w:rsid w:val="2F125C63"/>
    <w:rsid w:val="302C3D0A"/>
    <w:rsid w:val="305678CE"/>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3FA7313"/>
    <w:rsid w:val="543A6906"/>
    <w:rsid w:val="55BA57B5"/>
    <w:rsid w:val="56850CBB"/>
    <w:rsid w:val="59D8738A"/>
    <w:rsid w:val="5A666D76"/>
    <w:rsid w:val="5B2253C2"/>
    <w:rsid w:val="5CF02E0F"/>
    <w:rsid w:val="603269D2"/>
    <w:rsid w:val="607354D0"/>
    <w:rsid w:val="61A52BCA"/>
    <w:rsid w:val="67095496"/>
    <w:rsid w:val="67ED7463"/>
    <w:rsid w:val="681A546A"/>
    <w:rsid w:val="68507D37"/>
    <w:rsid w:val="69532A03"/>
    <w:rsid w:val="69CB37D4"/>
    <w:rsid w:val="6A0D5B9B"/>
    <w:rsid w:val="6A3B23B1"/>
    <w:rsid w:val="6AEA32DC"/>
    <w:rsid w:val="6CC24AB5"/>
    <w:rsid w:val="6D9271B2"/>
    <w:rsid w:val="6F134790"/>
    <w:rsid w:val="6FE81F5F"/>
    <w:rsid w:val="72446028"/>
    <w:rsid w:val="73076EC0"/>
    <w:rsid w:val="74210CA6"/>
    <w:rsid w:val="746F4E76"/>
    <w:rsid w:val="76430096"/>
    <w:rsid w:val="771741F2"/>
    <w:rsid w:val="788C25F5"/>
    <w:rsid w:val="797E23E2"/>
    <w:rsid w:val="79F72AA9"/>
    <w:rsid w:val="7A144529"/>
    <w:rsid w:val="7D5F625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qFormat/>
    <w:uiPriority w:val="0"/>
  </w:style>
  <w:style w:type="paragraph" w:styleId="4">
    <w:name w:val="Body Text"/>
    <w:basedOn w:val="1"/>
    <w:qFormat/>
    <w:uiPriority w:val="1"/>
    <w:pPr>
      <w:ind w:left="220"/>
    </w:pPr>
    <w:rPr>
      <w:sz w:val="32"/>
      <w:szCs w:val="32"/>
    </w:rPr>
  </w:style>
  <w:style w:type="paragraph" w:styleId="5">
    <w:name w:val="Balloon Text"/>
    <w:basedOn w:val="1"/>
    <w:link w:val="18"/>
    <w:qFormat/>
    <w:uiPriority w:val="0"/>
    <w:rPr>
      <w:sz w:val="18"/>
      <w:szCs w:val="18"/>
    </w:rPr>
  </w:style>
  <w:style w:type="paragraph" w:styleId="6">
    <w:name w:val="footer"/>
    <w:basedOn w:val="1"/>
    <w:link w:val="15"/>
    <w:qFormat/>
    <w:uiPriority w:val="0"/>
    <w:pPr>
      <w:tabs>
        <w:tab w:val="center" w:pos="4153"/>
        <w:tab w:val="right" w:pos="8306"/>
      </w:tabs>
      <w:snapToGrid w:val="0"/>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7"/>
    <w:qFormat/>
    <w:uiPriority w:val="0"/>
    <w:rPr>
      <w:b/>
      <w:bCs/>
    </w:rPr>
  </w:style>
  <w:style w:type="character" w:styleId="11">
    <w:name w:val="Hyperlink"/>
    <w:basedOn w:val="10"/>
    <w:uiPriority w:val="0"/>
    <w:rPr>
      <w:color w:val="0000FF"/>
      <w:u w:val="single"/>
    </w:rPr>
  </w:style>
  <w:style w:type="character" w:styleId="12">
    <w:name w:val="annotation reference"/>
    <w:basedOn w:val="10"/>
    <w:qFormat/>
    <w:uiPriority w:val="0"/>
    <w:rPr>
      <w:sz w:val="21"/>
      <w:szCs w:val="21"/>
    </w:rPr>
  </w:style>
  <w:style w:type="paragraph" w:customStyle="1" w:styleId="13">
    <w:name w:val="Table Paragraph"/>
    <w:basedOn w:val="1"/>
    <w:qFormat/>
    <w:uiPriority w:val="1"/>
  </w:style>
  <w:style w:type="character" w:customStyle="1" w:styleId="14">
    <w:name w:val="页眉 字符"/>
    <w:basedOn w:val="10"/>
    <w:link w:val="7"/>
    <w:qFormat/>
    <w:uiPriority w:val="0"/>
    <w:rPr>
      <w:rFonts w:ascii="仿宋" w:hAnsi="仿宋" w:eastAsia="仿宋" w:cs="仿宋"/>
      <w:sz w:val="18"/>
      <w:szCs w:val="18"/>
      <w:lang w:val="zh-CN" w:bidi="zh-CN"/>
    </w:rPr>
  </w:style>
  <w:style w:type="character" w:customStyle="1" w:styleId="15">
    <w:name w:val="页脚 字符"/>
    <w:basedOn w:val="10"/>
    <w:link w:val="6"/>
    <w:qFormat/>
    <w:uiPriority w:val="0"/>
    <w:rPr>
      <w:rFonts w:ascii="仿宋" w:hAnsi="仿宋" w:eastAsia="仿宋" w:cs="仿宋"/>
      <w:sz w:val="18"/>
      <w:szCs w:val="18"/>
      <w:lang w:val="zh-CN" w:bidi="zh-CN"/>
    </w:rPr>
  </w:style>
  <w:style w:type="character" w:customStyle="1" w:styleId="16">
    <w:name w:val="批注文字 字符"/>
    <w:basedOn w:val="10"/>
    <w:link w:val="3"/>
    <w:qFormat/>
    <w:uiPriority w:val="0"/>
    <w:rPr>
      <w:rFonts w:ascii="仿宋" w:hAnsi="仿宋" w:eastAsia="仿宋" w:cs="仿宋"/>
      <w:sz w:val="22"/>
      <w:szCs w:val="22"/>
      <w:lang w:val="zh-CN" w:bidi="zh-CN"/>
    </w:rPr>
  </w:style>
  <w:style w:type="character" w:customStyle="1" w:styleId="17">
    <w:name w:val="批注主题 字符"/>
    <w:basedOn w:val="16"/>
    <w:link w:val="8"/>
    <w:qFormat/>
    <w:uiPriority w:val="0"/>
    <w:rPr>
      <w:rFonts w:ascii="仿宋" w:hAnsi="仿宋" w:eastAsia="仿宋" w:cs="仿宋"/>
      <w:b/>
      <w:bCs/>
      <w:sz w:val="22"/>
      <w:szCs w:val="22"/>
      <w:lang w:val="zh-CN" w:bidi="zh-CN"/>
    </w:rPr>
  </w:style>
  <w:style w:type="character" w:customStyle="1" w:styleId="18">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Normal.dotm</Template>
  <Pages>5</Pages>
  <Words>3224</Words>
  <Characters>3475</Characters>
  <Lines>2</Lines>
  <Paragraphs>1</Paragraphs>
  <TotalTime>49</TotalTime>
  <ScaleCrop>false</ScaleCrop>
  <LinksUpToDate>false</LinksUpToDate>
  <CharactersWithSpaces>3624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米业轩</cp:lastModifiedBy>
  <dcterms:modified xsi:type="dcterms:W3CDTF">2026-11-05T06:53:08Z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20CD29B1884E4B95A0812BD0C4285BC6_13</vt:lpwstr>
  </property>
  <property fmtid="{D5CDD505-2E9C-101B-9397-08002B2CF9AE}" pid="4" name="KSOTemplateDocerSaveRecord">
    <vt:lpwstr>eyJoZGlkIjoiOTE3N2Y0MTA0MGUzMzExYjkxMDUyYTEzMjQ5OGNhOTQiLCJ1c2VySWQiOiIyNjk0NjI4NzUifQ==</vt:lpwstr>
  </property>
</Properties>
</file>