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8462A4">
      <w:pPr>
        <w:autoSpaceDE/>
        <w:autoSpaceDN/>
        <w:spacing w:line="360" w:lineRule="auto"/>
        <w:jc w:val="both"/>
        <w:rPr>
          <w:rFonts w:ascii="Times New Roman" w:hAnsi="Times New Roman" w:eastAsia="宋体" w:cs="黑体"/>
          <w:kern w:val="2"/>
          <w:sz w:val="24"/>
          <w:szCs w:val="21"/>
          <w:lang w:val="en-US" w:bidi="ar-SA"/>
        </w:rPr>
      </w:pPr>
      <w:r>
        <w:rPr>
          <w:rFonts w:hint="eastAsia" w:ascii="Times New Roman" w:hAnsi="Times New Roman" w:eastAsia="宋体" w:cs="黑体"/>
          <w:kern w:val="2"/>
          <w:sz w:val="24"/>
          <w:szCs w:val="21"/>
          <w:lang w:val="en-US" w:bidi="ar-SA"/>
        </w:rPr>
        <w:t>证券简称：江苏华辰                                    证券代码：603097</w:t>
      </w:r>
    </w:p>
    <w:p w14:paraId="1424678B">
      <w:pPr>
        <w:autoSpaceDE/>
        <w:autoSpaceDN/>
        <w:spacing w:line="360" w:lineRule="auto"/>
        <w:jc w:val="both"/>
        <w:rPr>
          <w:rFonts w:ascii="Times New Roman" w:hAnsi="Times New Roman" w:eastAsia="宋体" w:cs="黑体"/>
          <w:kern w:val="2"/>
          <w:sz w:val="24"/>
          <w:szCs w:val="21"/>
          <w:lang w:val="en-US" w:bidi="ar-SA"/>
        </w:rPr>
      </w:pPr>
      <w:r>
        <w:rPr>
          <w:rFonts w:hint="eastAsia" w:ascii="Times New Roman" w:hAnsi="Times New Roman" w:eastAsia="宋体" w:cs="黑体"/>
          <w:kern w:val="2"/>
          <w:sz w:val="24"/>
          <w:szCs w:val="21"/>
          <w:lang w:val="en-US" w:eastAsia="zh-CN" w:bidi="ar-SA"/>
        </w:rPr>
        <w:t>转债代码</w:t>
      </w:r>
      <w:r>
        <w:rPr>
          <w:rFonts w:hint="eastAsia" w:ascii="Times New Roman" w:hAnsi="Times New Roman" w:eastAsia="宋体" w:cs="黑体"/>
          <w:kern w:val="2"/>
          <w:sz w:val="24"/>
          <w:szCs w:val="21"/>
          <w:lang w:val="en-US" w:bidi="ar-SA"/>
        </w:rPr>
        <w:t>：华辰转债                                    债券代码：113695</w:t>
      </w:r>
    </w:p>
    <w:p w14:paraId="40357FCD">
      <w:pPr>
        <w:spacing w:line="360" w:lineRule="auto"/>
        <w:jc w:val="center"/>
        <w:rPr>
          <w:rFonts w:ascii="宋体" w:hAnsi="宋体" w:eastAsia="宋体" w:cs="宋体"/>
          <w:b/>
          <w:bCs/>
          <w:sz w:val="44"/>
          <w:szCs w:val="44"/>
        </w:rPr>
      </w:pPr>
    </w:p>
    <w:p w14:paraId="06CB2F32">
      <w:pPr>
        <w:autoSpaceDE/>
        <w:autoSpaceDN/>
        <w:spacing w:line="360" w:lineRule="auto"/>
        <w:jc w:val="center"/>
        <w:rPr>
          <w:rFonts w:ascii="黑体" w:hAnsi="黑体" w:eastAsia="黑体" w:cs="黑体"/>
          <w:b/>
          <w:w w:val="95"/>
          <w:kern w:val="2"/>
          <w:sz w:val="36"/>
          <w:szCs w:val="36"/>
          <w:lang w:val="en-US" w:bidi="ar-SA"/>
        </w:rPr>
      </w:pPr>
      <w:r>
        <w:rPr>
          <w:rFonts w:hint="eastAsia" w:ascii="黑体" w:hAnsi="黑体" w:eastAsia="黑体" w:cs="黑体"/>
          <w:b/>
          <w:w w:val="95"/>
          <w:kern w:val="2"/>
          <w:sz w:val="36"/>
          <w:szCs w:val="36"/>
          <w:lang w:val="en-US" w:bidi="ar-SA"/>
        </w:rPr>
        <w:t>江苏华辰变压器股份有限公司</w:t>
      </w:r>
    </w:p>
    <w:p w14:paraId="3C18985A">
      <w:pPr>
        <w:autoSpaceDE/>
        <w:autoSpaceDN/>
        <w:spacing w:line="360" w:lineRule="auto"/>
        <w:jc w:val="center"/>
        <w:rPr>
          <w:rFonts w:ascii="等线" w:hAnsi="等线" w:eastAsia="等线" w:cs="等线"/>
          <w:sz w:val="30"/>
          <w:szCs w:val="30"/>
        </w:rPr>
      </w:pPr>
      <w:r>
        <w:rPr>
          <w:rFonts w:hint="eastAsia" w:ascii="黑体" w:hAnsi="黑体" w:eastAsia="黑体" w:cs="黑体"/>
          <w:b/>
          <w:w w:val="95"/>
          <w:kern w:val="2"/>
          <w:sz w:val="36"/>
          <w:szCs w:val="36"/>
          <w:lang w:val="en-US" w:bidi="ar-SA"/>
        </w:rPr>
        <w:t>投资者关系活动记录表</w:t>
      </w:r>
    </w:p>
    <w:p w14:paraId="67845BD3">
      <w:pPr>
        <w:tabs>
          <w:tab w:val="left" w:pos="6106"/>
        </w:tabs>
        <w:autoSpaceDE/>
        <w:autoSpaceDN/>
        <w:spacing w:before="120" w:beforeLines="50" w:after="120" w:afterLines="50"/>
        <w:ind w:firstLine="241" w:firstLineChars="100"/>
        <w:jc w:val="right"/>
        <w:rPr>
          <w:rFonts w:hint="eastAsia" w:ascii="Times New Roman" w:hAnsi="Times New Roman" w:eastAsia="宋体" w:cs="宋体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宋体"/>
          <w:b/>
          <w:bCs/>
          <w:kern w:val="2"/>
          <w:sz w:val="24"/>
          <w:szCs w:val="24"/>
          <w:lang w:val="en-US" w:bidi="ar-SA"/>
        </w:rPr>
        <w:t>编号：2026 -00</w:t>
      </w:r>
      <w:r>
        <w:rPr>
          <w:rFonts w:hint="eastAsia" w:ascii="Times New Roman" w:hAnsi="Times New Roman" w:eastAsia="宋体" w:cs="宋体"/>
          <w:b/>
          <w:bCs/>
          <w:kern w:val="2"/>
          <w:sz w:val="24"/>
          <w:szCs w:val="24"/>
          <w:lang w:val="en-US" w:eastAsia="zh-CN" w:bidi="ar-SA"/>
        </w:rPr>
        <w:t>4</w:t>
      </w:r>
    </w:p>
    <w:tbl>
      <w:tblPr>
        <w:tblStyle w:val="9"/>
        <w:tblW w:w="936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57" w:type="dxa"/>
          <w:bottom w:w="0" w:type="dxa"/>
          <w:right w:w="0" w:type="dxa"/>
        </w:tblCellMar>
      </w:tblPr>
      <w:tblGrid>
        <w:gridCol w:w="2153"/>
        <w:gridCol w:w="7213"/>
      </w:tblGrid>
      <w:tr w14:paraId="1F597B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2801" w:hRule="atLeast"/>
          <w:jc w:val="center"/>
        </w:trPr>
        <w:tc>
          <w:tcPr>
            <w:tcW w:w="2153" w:type="dxa"/>
          </w:tcPr>
          <w:p w14:paraId="58D93A87">
            <w:pPr>
              <w:pStyle w:val="12"/>
              <w:spacing w:before="7"/>
              <w:rPr>
                <w:rFonts w:ascii="Times New Roman" w:hAnsi="Times New Roman" w:eastAsia="宋体" w:cs="宋体"/>
                <w:b/>
                <w:bCs/>
                <w:sz w:val="24"/>
                <w:szCs w:val="20"/>
              </w:rPr>
            </w:pPr>
          </w:p>
          <w:p w14:paraId="09ED6C11">
            <w:pPr>
              <w:pStyle w:val="12"/>
              <w:spacing w:before="1"/>
              <w:ind w:left="107"/>
              <w:rPr>
                <w:rFonts w:ascii="Times New Roman" w:hAnsi="Times New Roman" w:eastAsia="宋体" w:cs="宋体"/>
                <w:b/>
                <w:bCs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sz w:val="24"/>
                <w:szCs w:val="20"/>
              </w:rPr>
              <w:t>投资者关系活动类别</w:t>
            </w:r>
          </w:p>
        </w:tc>
        <w:tc>
          <w:tcPr>
            <w:tcW w:w="7213" w:type="dxa"/>
          </w:tcPr>
          <w:p w14:paraId="0DC6DFB1">
            <w:pPr>
              <w:pStyle w:val="12"/>
              <w:spacing w:before="7"/>
              <w:rPr>
                <w:rFonts w:ascii="Times New Roman" w:hAnsi="Times New Roman" w:eastAsia="宋体" w:cs="宋体"/>
                <w:sz w:val="24"/>
                <w:szCs w:val="20"/>
              </w:rPr>
            </w:pPr>
          </w:p>
          <w:p w14:paraId="5A9A0877">
            <w:pPr>
              <w:pStyle w:val="12"/>
              <w:tabs>
                <w:tab w:val="left" w:pos="2418"/>
              </w:tabs>
              <w:spacing w:before="1"/>
              <w:ind w:left="107"/>
              <w:rPr>
                <w:rFonts w:ascii="Times New Roman" w:hAnsi="Times New Roman" w:eastAsia="宋体" w:cs="宋体"/>
                <w:sz w:val="24"/>
                <w:szCs w:val="20"/>
              </w:rPr>
            </w:pPr>
            <w:sdt>
              <w:sdtPr>
                <w:rPr>
                  <w:rFonts w:hint="eastAsia" w:ascii="Times New Roman" w:hAnsi="Times New Roman" w:eastAsia="宋体" w:cs="宋体"/>
                  <w:sz w:val="24"/>
                  <w:szCs w:val="20"/>
                </w:rPr>
                <w:id w:val="24978044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="Times New Roman" w:hAnsi="Times New Roman" w:eastAsia="宋体" w:cs="宋体"/>
                  <w:sz w:val="24"/>
                  <w:szCs w:val="20"/>
                </w:rPr>
              </w:sdtEndPr>
              <w:sdtContent>
                <w:r>
                  <w:rPr>
                    <w:rFonts w:hint="eastAsia" w:ascii="Times New Roman" w:hAnsi="Times New Roman" w:eastAsia="宋体" w:cs="宋体"/>
                    <w:sz w:val="24"/>
                    <w:szCs w:val="20"/>
                  </w:rPr>
                  <w:t>☐</w:t>
                </w:r>
              </w:sdtContent>
            </w:sdt>
            <w:r>
              <w:rPr>
                <w:rFonts w:hint="eastAsia" w:ascii="Times New Roman" w:hAnsi="Times New Roman" w:eastAsia="宋体" w:cs="宋体"/>
                <w:sz w:val="24"/>
                <w:szCs w:val="20"/>
              </w:rPr>
              <w:t>特</w:t>
            </w:r>
            <w:r>
              <w:rPr>
                <w:rFonts w:hint="eastAsia" w:ascii="Times New Roman" w:hAnsi="Times New Roman" w:eastAsia="宋体" w:cs="宋体"/>
                <w:spacing w:val="-3"/>
                <w:sz w:val="24"/>
                <w:szCs w:val="20"/>
              </w:rPr>
              <w:t>定</w:t>
            </w:r>
            <w:r>
              <w:rPr>
                <w:rFonts w:hint="eastAsia" w:ascii="Times New Roman" w:hAnsi="Times New Roman" w:eastAsia="宋体" w:cs="宋体"/>
                <w:sz w:val="24"/>
                <w:szCs w:val="20"/>
              </w:rPr>
              <w:t>对</w:t>
            </w:r>
            <w:r>
              <w:rPr>
                <w:rFonts w:hint="eastAsia" w:ascii="Times New Roman" w:hAnsi="Times New Roman" w:eastAsia="宋体" w:cs="宋体"/>
                <w:spacing w:val="-3"/>
                <w:sz w:val="24"/>
                <w:szCs w:val="20"/>
              </w:rPr>
              <w:t>象</w:t>
            </w:r>
            <w:r>
              <w:rPr>
                <w:rFonts w:hint="eastAsia" w:ascii="Times New Roman" w:hAnsi="Times New Roman" w:eastAsia="宋体" w:cs="宋体"/>
                <w:sz w:val="24"/>
                <w:szCs w:val="20"/>
              </w:rPr>
              <w:t>调研</w:t>
            </w:r>
            <w:r>
              <w:rPr>
                <w:rFonts w:hint="eastAsia" w:ascii="Times New Roman" w:hAnsi="Times New Roman" w:eastAsia="宋体" w:cs="宋体"/>
                <w:sz w:val="24"/>
                <w:szCs w:val="20"/>
              </w:rPr>
              <w:tab/>
            </w:r>
            <w:sdt>
              <w:sdtPr>
                <w:rPr>
                  <w:rFonts w:hint="eastAsia" w:ascii="Times New Roman" w:hAnsi="Times New Roman" w:eastAsia="宋体" w:cs="宋体"/>
                  <w:sz w:val="24"/>
                  <w:szCs w:val="20"/>
                </w:rPr>
                <w:id w:val="-41687572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="Times New Roman" w:hAnsi="Times New Roman" w:eastAsia="宋体" w:cs="宋体"/>
                  <w:sz w:val="24"/>
                  <w:szCs w:val="20"/>
                </w:rPr>
              </w:sdtEndPr>
              <w:sdtContent>
                <w:r>
                  <w:rPr>
                    <w:rFonts w:hint="eastAsia" w:ascii="Times New Roman" w:hAnsi="Times New Roman" w:eastAsia="宋体" w:cs="宋体"/>
                    <w:sz w:val="24"/>
                    <w:szCs w:val="20"/>
                  </w:rPr>
                  <w:t>☐</w:t>
                </w:r>
              </w:sdtContent>
            </w:sdt>
            <w:r>
              <w:rPr>
                <w:rFonts w:hint="eastAsia" w:ascii="Times New Roman" w:hAnsi="Times New Roman" w:eastAsia="宋体" w:cs="宋体"/>
                <w:sz w:val="24"/>
                <w:szCs w:val="20"/>
              </w:rPr>
              <w:t>分</w:t>
            </w:r>
            <w:r>
              <w:rPr>
                <w:rFonts w:hint="eastAsia" w:ascii="Times New Roman" w:hAnsi="Times New Roman" w:eastAsia="宋体" w:cs="宋体"/>
                <w:spacing w:val="-3"/>
                <w:sz w:val="24"/>
                <w:szCs w:val="20"/>
              </w:rPr>
              <w:t>析</w:t>
            </w:r>
            <w:r>
              <w:rPr>
                <w:rFonts w:hint="eastAsia" w:ascii="Times New Roman" w:hAnsi="Times New Roman" w:eastAsia="宋体" w:cs="宋体"/>
                <w:sz w:val="24"/>
                <w:szCs w:val="20"/>
              </w:rPr>
              <w:t>师</w:t>
            </w:r>
            <w:r>
              <w:rPr>
                <w:rFonts w:hint="eastAsia" w:ascii="Times New Roman" w:hAnsi="Times New Roman" w:eastAsia="宋体" w:cs="宋体"/>
                <w:spacing w:val="-3"/>
                <w:sz w:val="24"/>
                <w:szCs w:val="20"/>
              </w:rPr>
              <w:t>会</w:t>
            </w:r>
            <w:r>
              <w:rPr>
                <w:rFonts w:hint="eastAsia" w:ascii="Times New Roman" w:hAnsi="Times New Roman" w:eastAsia="宋体" w:cs="宋体"/>
                <w:sz w:val="24"/>
                <w:szCs w:val="20"/>
              </w:rPr>
              <w:t>议</w:t>
            </w:r>
          </w:p>
          <w:p w14:paraId="547169F3">
            <w:pPr>
              <w:pStyle w:val="12"/>
              <w:spacing w:before="11"/>
              <w:rPr>
                <w:rFonts w:ascii="Times New Roman" w:hAnsi="Times New Roman" w:eastAsia="宋体" w:cs="宋体"/>
                <w:sz w:val="24"/>
                <w:szCs w:val="20"/>
              </w:rPr>
            </w:pPr>
          </w:p>
          <w:p w14:paraId="72976E76">
            <w:pPr>
              <w:pStyle w:val="12"/>
              <w:tabs>
                <w:tab w:val="left" w:pos="2418"/>
              </w:tabs>
              <w:ind w:left="107"/>
              <w:rPr>
                <w:rFonts w:ascii="Times New Roman" w:hAnsi="Times New Roman" w:eastAsia="宋体" w:cs="宋体"/>
                <w:sz w:val="24"/>
                <w:szCs w:val="20"/>
              </w:rPr>
            </w:pPr>
            <w:sdt>
              <w:sdtPr>
                <w:rPr>
                  <w:rFonts w:hint="eastAsia" w:ascii="Times New Roman" w:hAnsi="Times New Roman" w:eastAsia="宋体" w:cs="宋体"/>
                  <w:sz w:val="24"/>
                  <w:szCs w:val="20"/>
                </w:rPr>
                <w:id w:val="120690601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="Times New Roman" w:hAnsi="Times New Roman" w:eastAsia="宋体" w:cs="宋体"/>
                  <w:sz w:val="24"/>
                  <w:szCs w:val="20"/>
                </w:rPr>
              </w:sdtEndPr>
              <w:sdtContent>
                <w:r>
                  <w:rPr>
                    <w:rFonts w:hint="eastAsia" w:ascii="Times New Roman" w:hAnsi="Times New Roman" w:eastAsia="宋体" w:cs="宋体"/>
                    <w:sz w:val="24"/>
                    <w:szCs w:val="20"/>
                  </w:rPr>
                  <w:t>☐</w:t>
                </w:r>
              </w:sdtContent>
            </w:sdt>
            <w:r>
              <w:rPr>
                <w:rFonts w:hint="eastAsia" w:ascii="Times New Roman" w:hAnsi="Times New Roman" w:eastAsia="宋体" w:cs="宋体"/>
                <w:sz w:val="24"/>
                <w:szCs w:val="20"/>
              </w:rPr>
              <w:t>媒</w:t>
            </w:r>
            <w:r>
              <w:rPr>
                <w:rFonts w:hint="eastAsia" w:ascii="Times New Roman" w:hAnsi="Times New Roman" w:eastAsia="宋体" w:cs="宋体"/>
                <w:spacing w:val="-3"/>
                <w:sz w:val="24"/>
                <w:szCs w:val="20"/>
              </w:rPr>
              <w:t>体</w:t>
            </w:r>
            <w:r>
              <w:rPr>
                <w:rFonts w:hint="eastAsia" w:ascii="Times New Roman" w:hAnsi="Times New Roman" w:eastAsia="宋体" w:cs="宋体"/>
                <w:sz w:val="24"/>
                <w:szCs w:val="20"/>
              </w:rPr>
              <w:t>采访</w:t>
            </w:r>
            <w:r>
              <w:rPr>
                <w:rFonts w:hint="eastAsia" w:ascii="Times New Roman" w:hAnsi="Times New Roman" w:eastAsia="宋体" w:cs="宋体"/>
                <w:sz w:val="24"/>
                <w:szCs w:val="20"/>
              </w:rPr>
              <w:tab/>
            </w:r>
            <w:sdt>
              <w:sdtPr>
                <w:rPr>
                  <w:rFonts w:hint="eastAsia" w:ascii="Times New Roman" w:hAnsi="Times New Roman" w:eastAsia="宋体" w:cs="宋体"/>
                  <w:sz w:val="24"/>
                  <w:szCs w:val="20"/>
                </w:rPr>
                <w:id w:val="-66658901"/>
                <w14:checkbox>
                  <w14:checked w14:val="1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="Times New Roman" w:hAnsi="Times New Roman" w:eastAsia="宋体" w:cs="宋体"/>
                  <w:sz w:val="24"/>
                  <w:szCs w:val="20"/>
                </w:rPr>
              </w:sdtEndPr>
              <w:sdtContent>
                <w:r>
                  <w:rPr>
                    <w:rFonts w:hint="eastAsia" w:ascii="Wingdings 2" w:hAnsi="Wingdings 2" w:eastAsia="宋体" w:cs="宋体"/>
                    <w:sz w:val="24"/>
                    <w:szCs w:val="20"/>
                    <w:lang w:val="zh-CN" w:eastAsia="zh-CN" w:bidi="zh-CN"/>
                  </w:rPr>
                  <w:t>R</w:t>
                </w:r>
              </w:sdtContent>
            </w:sdt>
            <w:r>
              <w:rPr>
                <w:rFonts w:hint="eastAsia" w:ascii="Times New Roman" w:hAnsi="Times New Roman" w:eastAsia="宋体" w:cs="宋体"/>
                <w:sz w:val="24"/>
                <w:szCs w:val="20"/>
              </w:rPr>
              <w:t>业</w:t>
            </w:r>
            <w:r>
              <w:rPr>
                <w:rFonts w:hint="eastAsia" w:ascii="Times New Roman" w:hAnsi="Times New Roman" w:eastAsia="宋体" w:cs="宋体"/>
                <w:spacing w:val="-3"/>
                <w:sz w:val="24"/>
                <w:szCs w:val="20"/>
              </w:rPr>
              <w:t>绩</w:t>
            </w:r>
            <w:r>
              <w:rPr>
                <w:rFonts w:hint="eastAsia" w:ascii="Times New Roman" w:hAnsi="Times New Roman" w:eastAsia="宋体" w:cs="宋体"/>
                <w:sz w:val="24"/>
                <w:szCs w:val="20"/>
              </w:rPr>
              <w:t>说</w:t>
            </w:r>
            <w:r>
              <w:rPr>
                <w:rFonts w:hint="eastAsia" w:ascii="Times New Roman" w:hAnsi="Times New Roman" w:eastAsia="宋体" w:cs="宋体"/>
                <w:spacing w:val="-3"/>
                <w:sz w:val="24"/>
                <w:szCs w:val="20"/>
              </w:rPr>
              <w:t>明</w:t>
            </w:r>
            <w:r>
              <w:rPr>
                <w:rFonts w:hint="eastAsia" w:ascii="Times New Roman" w:hAnsi="Times New Roman" w:eastAsia="宋体" w:cs="宋体"/>
                <w:sz w:val="24"/>
                <w:szCs w:val="20"/>
              </w:rPr>
              <w:t>会</w:t>
            </w:r>
          </w:p>
          <w:p w14:paraId="6B6CCE4A">
            <w:pPr>
              <w:pStyle w:val="12"/>
              <w:spacing w:before="8"/>
              <w:rPr>
                <w:rFonts w:ascii="Times New Roman" w:hAnsi="Times New Roman" w:eastAsia="宋体" w:cs="宋体"/>
                <w:sz w:val="24"/>
                <w:szCs w:val="20"/>
              </w:rPr>
            </w:pPr>
          </w:p>
          <w:p w14:paraId="0DE0FB89">
            <w:pPr>
              <w:pStyle w:val="12"/>
              <w:tabs>
                <w:tab w:val="left" w:pos="2418"/>
              </w:tabs>
              <w:ind w:left="107"/>
              <w:rPr>
                <w:rFonts w:ascii="Times New Roman" w:hAnsi="Times New Roman" w:eastAsia="宋体" w:cs="宋体"/>
                <w:sz w:val="24"/>
                <w:szCs w:val="20"/>
              </w:rPr>
            </w:pPr>
            <w:sdt>
              <w:sdtPr>
                <w:rPr>
                  <w:rFonts w:hint="eastAsia" w:ascii="Times New Roman" w:hAnsi="Times New Roman" w:eastAsia="宋体" w:cs="宋体"/>
                  <w:sz w:val="24"/>
                  <w:szCs w:val="20"/>
                </w:rPr>
                <w:id w:val="-18481674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="Times New Roman" w:hAnsi="Times New Roman" w:eastAsia="宋体" w:cs="宋体"/>
                  <w:sz w:val="24"/>
                  <w:szCs w:val="20"/>
                </w:rPr>
              </w:sdtEndPr>
              <w:sdtContent>
                <w:r>
                  <w:rPr>
                    <w:rFonts w:hint="eastAsia" w:ascii="Times New Roman" w:hAnsi="Times New Roman" w:eastAsia="宋体" w:cs="宋体"/>
                    <w:sz w:val="24"/>
                    <w:szCs w:val="20"/>
                  </w:rPr>
                  <w:t>☐</w:t>
                </w:r>
              </w:sdtContent>
            </w:sdt>
            <w:r>
              <w:rPr>
                <w:rFonts w:hint="eastAsia" w:ascii="Times New Roman" w:hAnsi="Times New Roman" w:eastAsia="宋体" w:cs="宋体"/>
                <w:sz w:val="24"/>
                <w:szCs w:val="20"/>
              </w:rPr>
              <w:t>新</w:t>
            </w:r>
            <w:r>
              <w:rPr>
                <w:rFonts w:hint="eastAsia" w:ascii="Times New Roman" w:hAnsi="Times New Roman" w:eastAsia="宋体" w:cs="宋体"/>
                <w:spacing w:val="-3"/>
                <w:sz w:val="24"/>
                <w:szCs w:val="20"/>
              </w:rPr>
              <w:t>闻</w:t>
            </w:r>
            <w:r>
              <w:rPr>
                <w:rFonts w:hint="eastAsia" w:ascii="Times New Roman" w:hAnsi="Times New Roman" w:eastAsia="宋体" w:cs="宋体"/>
                <w:sz w:val="24"/>
                <w:szCs w:val="20"/>
              </w:rPr>
              <w:t>发</w:t>
            </w:r>
            <w:r>
              <w:rPr>
                <w:rFonts w:hint="eastAsia" w:ascii="Times New Roman" w:hAnsi="Times New Roman" w:eastAsia="宋体" w:cs="宋体"/>
                <w:spacing w:val="-3"/>
                <w:sz w:val="24"/>
                <w:szCs w:val="20"/>
              </w:rPr>
              <w:t>布</w:t>
            </w:r>
            <w:r>
              <w:rPr>
                <w:rFonts w:hint="eastAsia" w:ascii="Times New Roman" w:hAnsi="Times New Roman" w:eastAsia="宋体" w:cs="宋体"/>
                <w:sz w:val="24"/>
                <w:szCs w:val="20"/>
              </w:rPr>
              <w:t>会</w:t>
            </w:r>
            <w:r>
              <w:rPr>
                <w:rFonts w:hint="eastAsia" w:ascii="Times New Roman" w:hAnsi="Times New Roman" w:eastAsia="宋体" w:cs="宋体"/>
                <w:sz w:val="24"/>
                <w:szCs w:val="20"/>
              </w:rPr>
              <w:tab/>
            </w:r>
            <w:sdt>
              <w:sdtPr>
                <w:rPr>
                  <w:rFonts w:hint="eastAsia" w:ascii="Times New Roman" w:hAnsi="Times New Roman" w:eastAsia="宋体" w:cs="宋体"/>
                  <w:sz w:val="24"/>
                  <w:szCs w:val="20"/>
                </w:rPr>
                <w:id w:val="41204969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="Times New Roman" w:hAnsi="Times New Roman" w:eastAsia="宋体" w:cs="宋体"/>
                  <w:sz w:val="24"/>
                  <w:szCs w:val="20"/>
                </w:rPr>
              </w:sdtEndPr>
              <w:sdtContent>
                <w:r>
                  <w:rPr>
                    <w:rFonts w:hint="eastAsia" w:ascii="Times New Roman" w:hAnsi="Times New Roman" w:eastAsia="宋体" w:cs="宋体"/>
                    <w:sz w:val="24"/>
                    <w:szCs w:val="20"/>
                  </w:rPr>
                  <w:t>☐</w:t>
                </w:r>
              </w:sdtContent>
            </w:sdt>
            <w:r>
              <w:rPr>
                <w:rFonts w:hint="eastAsia" w:ascii="Times New Roman" w:hAnsi="Times New Roman" w:eastAsia="宋体" w:cs="宋体"/>
                <w:sz w:val="24"/>
                <w:szCs w:val="20"/>
              </w:rPr>
              <w:t>路</w:t>
            </w:r>
            <w:r>
              <w:rPr>
                <w:rFonts w:hint="eastAsia" w:ascii="Times New Roman" w:hAnsi="Times New Roman" w:eastAsia="宋体" w:cs="宋体"/>
                <w:spacing w:val="-3"/>
                <w:sz w:val="24"/>
                <w:szCs w:val="20"/>
              </w:rPr>
              <w:t>演</w:t>
            </w:r>
            <w:r>
              <w:rPr>
                <w:rFonts w:hint="eastAsia" w:ascii="Times New Roman" w:hAnsi="Times New Roman" w:eastAsia="宋体" w:cs="宋体"/>
                <w:sz w:val="24"/>
                <w:szCs w:val="20"/>
              </w:rPr>
              <w:t>活动</w:t>
            </w:r>
          </w:p>
          <w:p w14:paraId="7DCFDB38">
            <w:pPr>
              <w:pStyle w:val="12"/>
              <w:spacing w:before="8"/>
              <w:rPr>
                <w:rFonts w:ascii="Times New Roman" w:hAnsi="Times New Roman" w:eastAsia="宋体" w:cs="宋体"/>
                <w:sz w:val="24"/>
                <w:szCs w:val="20"/>
              </w:rPr>
            </w:pPr>
          </w:p>
          <w:p w14:paraId="0B2539B0">
            <w:pPr>
              <w:pStyle w:val="12"/>
              <w:ind w:left="107"/>
              <w:rPr>
                <w:rFonts w:ascii="Times New Roman" w:hAnsi="Times New Roman" w:eastAsia="宋体" w:cs="宋体"/>
                <w:sz w:val="24"/>
                <w:szCs w:val="20"/>
              </w:rPr>
            </w:pPr>
            <w:sdt>
              <w:sdtPr>
                <w:rPr>
                  <w:rFonts w:hint="eastAsia" w:ascii="Times New Roman" w:hAnsi="Times New Roman" w:eastAsia="宋体" w:cs="宋体"/>
                  <w:sz w:val="24"/>
                  <w:szCs w:val="20"/>
                </w:rPr>
                <w:id w:val="-13333669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="Times New Roman" w:hAnsi="Times New Roman" w:eastAsia="宋体" w:cs="宋体"/>
                  <w:sz w:val="24"/>
                  <w:szCs w:val="20"/>
                </w:rPr>
              </w:sdtEndPr>
              <w:sdtContent>
                <w:r>
                  <w:rPr>
                    <w:rFonts w:hint="eastAsia" w:ascii="Times New Roman" w:hAnsi="Times New Roman" w:eastAsia="宋体" w:cs="宋体"/>
                    <w:sz w:val="24"/>
                    <w:szCs w:val="20"/>
                  </w:rPr>
                  <w:t>☐</w:t>
                </w:r>
              </w:sdtContent>
            </w:sdt>
            <w:r>
              <w:rPr>
                <w:rFonts w:hint="eastAsia" w:ascii="Times New Roman" w:hAnsi="Times New Roman" w:eastAsia="宋体" w:cs="宋体"/>
                <w:sz w:val="24"/>
                <w:szCs w:val="20"/>
              </w:rPr>
              <w:t>现场参观</w:t>
            </w:r>
          </w:p>
          <w:p w14:paraId="3309A9B7">
            <w:pPr>
              <w:pStyle w:val="12"/>
              <w:spacing w:before="11"/>
              <w:rPr>
                <w:rFonts w:ascii="Times New Roman" w:hAnsi="Times New Roman" w:eastAsia="宋体" w:cs="宋体"/>
                <w:sz w:val="24"/>
                <w:szCs w:val="20"/>
              </w:rPr>
            </w:pPr>
          </w:p>
          <w:p w14:paraId="51F00106">
            <w:pPr>
              <w:pStyle w:val="12"/>
              <w:ind w:left="107"/>
              <w:rPr>
                <w:rFonts w:ascii="Times New Roman" w:hAnsi="Times New Roman" w:eastAsia="宋体" w:cs="宋体"/>
                <w:sz w:val="24"/>
                <w:szCs w:val="20"/>
              </w:rPr>
            </w:pPr>
            <w:sdt>
              <w:sdtPr>
                <w:rPr>
                  <w:rFonts w:hint="eastAsia" w:ascii="Times New Roman" w:hAnsi="Times New Roman" w:eastAsia="宋体" w:cs="宋体"/>
                  <w:sz w:val="24"/>
                  <w:szCs w:val="20"/>
                </w:rPr>
                <w:id w:val="4008852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="Times New Roman" w:hAnsi="Times New Roman" w:eastAsia="宋体" w:cs="宋体"/>
                  <w:sz w:val="24"/>
                  <w:szCs w:val="20"/>
                </w:rPr>
              </w:sdtEndPr>
              <w:sdtContent>
                <w:r>
                  <w:rPr>
                    <w:rFonts w:hint="eastAsia" w:ascii="Times New Roman" w:hAnsi="Times New Roman" w:eastAsia="宋体" w:cs="宋体"/>
                    <w:sz w:val="24"/>
                    <w:szCs w:val="20"/>
                  </w:rPr>
                  <w:t>☐</w:t>
                </w:r>
              </w:sdtContent>
            </w:sdt>
            <w:r>
              <w:rPr>
                <w:rFonts w:hint="eastAsia" w:ascii="Times New Roman" w:hAnsi="Times New Roman" w:eastAsia="宋体" w:cs="宋体"/>
                <w:sz w:val="24"/>
                <w:szCs w:val="20"/>
              </w:rPr>
              <w:t>其他（</w:t>
            </w:r>
            <w:r>
              <w:rPr>
                <w:rFonts w:hint="eastAsia" w:ascii="Times New Roman" w:hAnsi="Times New Roman" w:eastAsia="宋体" w:cs="宋体"/>
                <w:sz w:val="24"/>
                <w:szCs w:val="20"/>
                <w:u w:val="single"/>
              </w:rPr>
              <w:t>请文字说明其他活动内容）</w:t>
            </w:r>
          </w:p>
        </w:tc>
      </w:tr>
      <w:tr w14:paraId="259A82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1120" w:hRule="atLeast"/>
          <w:jc w:val="center"/>
        </w:trPr>
        <w:tc>
          <w:tcPr>
            <w:tcW w:w="2153" w:type="dxa"/>
            <w:vAlign w:val="center"/>
          </w:tcPr>
          <w:p w14:paraId="07C8944F">
            <w:pPr>
              <w:pStyle w:val="12"/>
              <w:spacing w:line="360" w:lineRule="auto"/>
              <w:ind w:left="107" w:right="96"/>
              <w:rPr>
                <w:rFonts w:ascii="Times New Roman" w:hAnsi="Times New Roman" w:eastAsia="宋体" w:cs="宋体"/>
                <w:b/>
                <w:bCs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sz w:val="24"/>
                <w:szCs w:val="20"/>
              </w:rPr>
              <w:t>参与单位名称及人员姓名</w:t>
            </w:r>
          </w:p>
        </w:tc>
        <w:tc>
          <w:tcPr>
            <w:tcW w:w="7213" w:type="dxa"/>
            <w:vAlign w:val="center"/>
          </w:tcPr>
          <w:p w14:paraId="42AE04C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00" w:beforeAutospacing="1" w:line="360" w:lineRule="auto"/>
              <w:textAlignment w:val="auto"/>
              <w:rPr>
                <w:rFonts w:hint="default" w:ascii="Times New Roman" w:hAnsi="Times New Roman" w:eastAsia="宋体" w:cs="宋体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sz w:val="24"/>
                <w:szCs w:val="20"/>
                <w:lang w:val="en-US" w:eastAsia="zh-CN"/>
              </w:rPr>
              <w:t>线上参与公司2026年第三季度业绩说明会的全体投资者</w:t>
            </w:r>
          </w:p>
        </w:tc>
      </w:tr>
      <w:tr w14:paraId="699ABD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558" w:hRule="atLeast"/>
          <w:jc w:val="center"/>
        </w:trPr>
        <w:tc>
          <w:tcPr>
            <w:tcW w:w="2153" w:type="dxa"/>
            <w:vAlign w:val="center"/>
          </w:tcPr>
          <w:p w14:paraId="6CCF325E">
            <w:pPr>
              <w:pStyle w:val="12"/>
              <w:ind w:left="107"/>
              <w:rPr>
                <w:rFonts w:ascii="Times New Roman" w:hAnsi="Times New Roman" w:eastAsia="宋体" w:cs="宋体"/>
                <w:b/>
                <w:bCs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sz w:val="24"/>
                <w:szCs w:val="20"/>
              </w:rPr>
              <w:t>时间</w:t>
            </w:r>
          </w:p>
        </w:tc>
        <w:tc>
          <w:tcPr>
            <w:tcW w:w="7213" w:type="dxa"/>
            <w:vAlign w:val="center"/>
          </w:tcPr>
          <w:p w14:paraId="4D96F7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00" w:beforeAutospacing="1" w:line="360" w:lineRule="auto"/>
              <w:textAlignment w:val="auto"/>
              <w:rPr>
                <w:rFonts w:ascii="Times New Roman" w:hAnsi="Times New Roman" w:eastAsia="宋体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theme="minorEastAsia"/>
                <w:sz w:val="24"/>
                <w:szCs w:val="20"/>
              </w:rPr>
              <w:t>2026年11月06日 14:00-15:00</w:t>
            </w:r>
          </w:p>
        </w:tc>
      </w:tr>
      <w:tr w14:paraId="383288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561" w:hRule="atLeast"/>
          <w:jc w:val="center"/>
        </w:trPr>
        <w:tc>
          <w:tcPr>
            <w:tcW w:w="2153" w:type="dxa"/>
            <w:vAlign w:val="center"/>
          </w:tcPr>
          <w:p w14:paraId="72ACF196">
            <w:pPr>
              <w:pStyle w:val="12"/>
              <w:ind w:left="107"/>
              <w:rPr>
                <w:rFonts w:ascii="Times New Roman" w:hAnsi="Times New Roman" w:eastAsia="宋体" w:cs="宋体"/>
                <w:b/>
                <w:bCs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sz w:val="24"/>
                <w:szCs w:val="20"/>
              </w:rPr>
              <w:t>地点</w:t>
            </w:r>
          </w:p>
        </w:tc>
        <w:tc>
          <w:tcPr>
            <w:tcW w:w="7213" w:type="dxa"/>
            <w:vAlign w:val="center"/>
          </w:tcPr>
          <w:p w14:paraId="212E016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00" w:beforeAutospacing="1" w:line="360" w:lineRule="auto"/>
              <w:textAlignment w:val="auto"/>
              <w:rPr>
                <w:rFonts w:ascii="Times New Roman" w:hAnsi="Times New Roman" w:eastAsia="宋体" w:cs="宋体"/>
                <w:sz w:val="24"/>
                <w:szCs w:val="20"/>
              </w:rPr>
            </w:pPr>
            <w:r>
              <w:rPr>
                <w:rFonts w:ascii="Times New Roman" w:hAnsi="Times New Roman" w:eastAsia="宋体" w:cs="宋体"/>
                <w:sz w:val="24"/>
                <w:szCs w:val="20"/>
              </w:rPr>
              <w:t>价值在线（https://www.ir-online.cn/）网络互动</w:t>
            </w:r>
          </w:p>
        </w:tc>
      </w:tr>
      <w:tr w14:paraId="0631FB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2130" w:hRule="atLeast"/>
          <w:jc w:val="center"/>
        </w:trPr>
        <w:tc>
          <w:tcPr>
            <w:tcW w:w="2153" w:type="dxa"/>
            <w:vAlign w:val="center"/>
          </w:tcPr>
          <w:p w14:paraId="4319031A">
            <w:pPr>
              <w:pStyle w:val="12"/>
              <w:spacing w:before="1"/>
              <w:ind w:left="107"/>
              <w:rPr>
                <w:rFonts w:ascii="Times New Roman" w:hAnsi="Times New Roman" w:eastAsia="宋体" w:cs="宋体"/>
                <w:b/>
                <w:bCs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sz w:val="24"/>
                <w:szCs w:val="20"/>
              </w:rPr>
              <w:t>上市公司接待人员姓名</w:t>
            </w:r>
          </w:p>
        </w:tc>
        <w:tc>
          <w:tcPr>
            <w:tcW w:w="7213" w:type="dxa"/>
            <w:vAlign w:val="center"/>
          </w:tcPr>
          <w:p w14:paraId="5191276A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00" w:beforeAutospacing="1" w:line="360" w:lineRule="auto"/>
              <w:textAlignment w:val="auto"/>
              <w:rPr>
                <w:rFonts w:ascii="Times New Roman" w:hAnsi="Times New Roman" w:eastAsia="宋体" w:cs="宋体"/>
                <w:sz w:val="24"/>
                <w:szCs w:val="20"/>
              </w:rPr>
            </w:pPr>
            <w:r>
              <w:rPr>
                <w:rFonts w:ascii="Times New Roman" w:hAnsi="Times New Roman" w:eastAsia="宋体" w:cs="宋体"/>
                <w:sz w:val="24"/>
                <w:szCs w:val="20"/>
              </w:rPr>
              <w:t>董事长、总经理 张孝金先生</w:t>
            </w:r>
            <w:r>
              <w:rPr>
                <w:rFonts w:ascii="Times New Roman" w:hAnsi="Times New Roman" w:eastAsia="宋体" w:cs="宋体"/>
                <w:sz w:val="24"/>
                <w:szCs w:val="20"/>
              </w:rPr>
              <w:br w:type="textWrapping"/>
            </w:r>
            <w:r>
              <w:rPr>
                <w:rFonts w:ascii="Times New Roman" w:hAnsi="Times New Roman" w:eastAsia="宋体" w:cs="宋体"/>
                <w:sz w:val="24"/>
                <w:szCs w:val="20"/>
              </w:rPr>
              <w:t>董事会秘书 李思远先生</w:t>
            </w:r>
            <w:r>
              <w:rPr>
                <w:rFonts w:ascii="Times New Roman" w:hAnsi="Times New Roman" w:eastAsia="宋体" w:cs="宋体"/>
                <w:sz w:val="24"/>
                <w:szCs w:val="20"/>
              </w:rPr>
              <w:br w:type="textWrapping"/>
            </w:r>
            <w:r>
              <w:rPr>
                <w:rFonts w:ascii="Times New Roman" w:hAnsi="Times New Roman" w:eastAsia="宋体" w:cs="宋体"/>
                <w:sz w:val="24"/>
                <w:szCs w:val="20"/>
              </w:rPr>
              <w:t>独立董事 韩运镇先生</w:t>
            </w:r>
            <w:r>
              <w:rPr>
                <w:rFonts w:ascii="Times New Roman" w:hAnsi="Times New Roman" w:eastAsia="宋体" w:cs="宋体"/>
                <w:sz w:val="24"/>
                <w:szCs w:val="20"/>
              </w:rPr>
              <w:br w:type="textWrapping"/>
            </w:r>
            <w:r>
              <w:rPr>
                <w:rFonts w:ascii="Times New Roman" w:hAnsi="Times New Roman" w:eastAsia="宋体" w:cs="宋体"/>
                <w:sz w:val="24"/>
                <w:szCs w:val="20"/>
              </w:rPr>
              <w:t>财务总监 李化军先生</w:t>
            </w:r>
          </w:p>
        </w:tc>
      </w:tr>
      <w:tr w14:paraId="72AF07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2800" w:hRule="atLeast"/>
          <w:jc w:val="center"/>
        </w:trPr>
        <w:tc>
          <w:tcPr>
            <w:tcW w:w="2153" w:type="dxa"/>
          </w:tcPr>
          <w:p w14:paraId="7C122428">
            <w:pPr>
              <w:pStyle w:val="12"/>
              <w:rPr>
                <w:rFonts w:ascii="Times New Roman" w:hAnsi="Times New Roman" w:eastAsia="宋体" w:cs="宋体"/>
                <w:b/>
                <w:bCs/>
                <w:sz w:val="24"/>
                <w:szCs w:val="20"/>
              </w:rPr>
            </w:pPr>
          </w:p>
          <w:p w14:paraId="1DF26BD0">
            <w:pPr>
              <w:pStyle w:val="12"/>
              <w:rPr>
                <w:rFonts w:ascii="Times New Roman" w:hAnsi="Times New Roman" w:eastAsia="宋体" w:cs="宋体"/>
                <w:b/>
                <w:bCs/>
                <w:sz w:val="24"/>
                <w:szCs w:val="20"/>
              </w:rPr>
            </w:pPr>
          </w:p>
          <w:p w14:paraId="07B5C05D">
            <w:pPr>
              <w:pStyle w:val="12"/>
              <w:spacing w:before="5"/>
              <w:rPr>
                <w:rFonts w:ascii="Times New Roman" w:hAnsi="Times New Roman" w:eastAsia="宋体" w:cs="宋体"/>
                <w:b/>
                <w:bCs/>
                <w:sz w:val="24"/>
                <w:szCs w:val="20"/>
              </w:rPr>
            </w:pPr>
          </w:p>
          <w:p w14:paraId="1DC12B5B">
            <w:pPr>
              <w:pStyle w:val="12"/>
              <w:spacing w:before="1" w:line="499" w:lineRule="auto"/>
              <w:ind w:left="107" w:right="96"/>
              <w:rPr>
                <w:rFonts w:ascii="Times New Roman" w:hAnsi="Times New Roman" w:eastAsia="宋体" w:cs="宋体"/>
                <w:b/>
                <w:bCs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sz w:val="24"/>
                <w:szCs w:val="20"/>
              </w:rPr>
              <w:t>投资者关系活动主要内容介绍</w:t>
            </w:r>
          </w:p>
        </w:tc>
        <w:tc>
          <w:tcPr>
            <w:tcW w:w="7213" w:type="dxa"/>
          </w:tcPr>
          <w:p w14:paraId="43053B79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Lines="50" w:beforeAutospacing="0" w:line="360" w:lineRule="auto"/>
              <w:ind w:firstLine="482" w:firstLineChars="200"/>
              <w:jc w:val="both"/>
              <w:textAlignment w:val="auto"/>
              <w:rPr>
                <w:rFonts w:ascii="Times New Roman" w:hAnsi="Times New Roman" w:eastAsia="宋体" w:cs="宋体"/>
                <w:sz w:val="24"/>
                <w:szCs w:val="20"/>
              </w:rPr>
            </w:pPr>
            <w:r>
              <w:rPr>
                <w:rFonts w:ascii="Times New Roman" w:hAnsi="Times New Roman" w:eastAsia="宋体" w:cs="宋体"/>
                <w:b/>
                <w:sz w:val="24"/>
              </w:rPr>
              <w:t>1.前三季度公司归母净利润下滑幅度较大的主要原因是什么？有什么改善措施吗？</w:t>
            </w:r>
            <w:r>
              <w:rPr>
                <w:rFonts w:ascii="Times New Roman" w:hAnsi="Times New Roman" w:eastAsia="宋体" w:cs="宋体"/>
                <w:b/>
                <w:sz w:val="24"/>
              </w:rPr>
              <w:br w:type="textWrapping"/>
            </w:r>
            <w:r>
              <w:rPr>
                <w:rFonts w:ascii="Times New Roman" w:hAnsi="Times New Roman" w:eastAsia="宋体" w:cs="宋体"/>
                <w:b w:val="0"/>
                <w:sz w:val="24"/>
              </w:rPr>
              <w:t xml:space="preserve">    答:尊敬的投资者，您好！公司前三季度归母净利润同比下降的主要原因，一是公司2025年6月发行4.60亿元可转换公司债券，按期计提债券利息，财务成本增加；二是公司加大新产品研发投入，研发费用相应增长；三是积极拓展市场，销售费用增加所致。未来，公司将持续推进订单交付，加强市场拓展，同时强化成本、费用管控，努力改善经营业绩，感谢您的关注！</w:t>
            </w:r>
            <w:r>
              <w:rPr>
                <w:rFonts w:ascii="Times New Roman" w:hAnsi="Times New Roman" w:eastAsia="宋体" w:cs="宋体"/>
                <w:b w:val="0"/>
                <w:sz w:val="24"/>
              </w:rPr>
              <w:br w:type="textWrapping"/>
            </w:r>
            <w:r>
              <w:rPr>
                <w:rFonts w:ascii="Times New Roman" w:hAnsi="Times New Roman" w:eastAsia="宋体" w:cs="宋体"/>
                <w:b/>
                <w:sz w:val="24"/>
              </w:rPr>
              <w:t xml:space="preserve">    2.贵公司海外业务怎么样</w:t>
            </w:r>
            <w:r>
              <w:rPr>
                <w:rFonts w:ascii="Times New Roman" w:hAnsi="Times New Roman" w:eastAsia="宋体" w:cs="宋体"/>
                <w:b/>
                <w:sz w:val="24"/>
              </w:rPr>
              <w:br w:type="textWrapping"/>
            </w:r>
            <w:r>
              <w:rPr>
                <w:rFonts w:ascii="Times New Roman" w:hAnsi="Times New Roman" w:eastAsia="宋体" w:cs="宋体"/>
                <w:b w:val="0"/>
                <w:sz w:val="24"/>
              </w:rPr>
              <w:t xml:space="preserve">    答:尊敬的投资者，您好！公司正稳步推进国际化布局，重点在欧洲、中东及北非等地区，推动本土化产能合作，公司已实现与美国新能源产品的订单签订。感谢您的关注。</w:t>
            </w:r>
            <w:r>
              <w:rPr>
                <w:rFonts w:ascii="Times New Roman" w:hAnsi="Times New Roman" w:eastAsia="宋体" w:cs="宋体"/>
                <w:b w:val="0"/>
                <w:sz w:val="24"/>
              </w:rPr>
              <w:br w:type="textWrapping"/>
            </w:r>
            <w:r>
              <w:rPr>
                <w:rFonts w:ascii="Times New Roman" w:hAnsi="Times New Roman" w:eastAsia="宋体" w:cs="宋体"/>
                <w:b/>
                <w:sz w:val="24"/>
              </w:rPr>
              <w:t xml:space="preserve">    3.公司预计四季度经营情况如何，全年业绩指引在什么水平？</w:t>
            </w:r>
            <w:r>
              <w:rPr>
                <w:rFonts w:ascii="Times New Roman" w:hAnsi="Times New Roman" w:eastAsia="宋体" w:cs="宋体"/>
                <w:b/>
                <w:sz w:val="24"/>
              </w:rPr>
              <w:br w:type="textWrapping"/>
            </w:r>
            <w:r>
              <w:rPr>
                <w:rFonts w:ascii="Times New Roman" w:hAnsi="Times New Roman" w:eastAsia="宋体" w:cs="宋体"/>
                <w:b w:val="0"/>
                <w:sz w:val="24"/>
              </w:rPr>
              <w:t xml:space="preserve">    答:尊敬的投资者，您好！公司四季度相关经营情况，请及时关注后续披露的定期报告。感谢您的关注！</w:t>
            </w:r>
            <w:r>
              <w:rPr>
                <w:rFonts w:ascii="Times New Roman" w:hAnsi="Times New Roman" w:eastAsia="宋体" w:cs="宋体"/>
                <w:b w:val="0"/>
                <w:sz w:val="24"/>
              </w:rPr>
              <w:br w:type="textWrapping"/>
            </w:r>
            <w:r>
              <w:rPr>
                <w:rFonts w:ascii="Times New Roman" w:hAnsi="Times New Roman" w:eastAsia="宋体" w:cs="宋体"/>
                <w:b/>
                <w:sz w:val="24"/>
              </w:rPr>
              <w:t xml:space="preserve">    4.贵公司的国内业务和国外业务分别如何？现在的各种贸易限制对公司业绩有什么影响？</w:t>
            </w:r>
            <w:r>
              <w:rPr>
                <w:rFonts w:ascii="Times New Roman" w:hAnsi="Times New Roman" w:eastAsia="宋体" w:cs="宋体"/>
                <w:b/>
                <w:sz w:val="24"/>
              </w:rPr>
              <w:br w:type="textWrapping"/>
            </w:r>
            <w:r>
              <w:rPr>
                <w:rFonts w:ascii="Times New Roman" w:hAnsi="Times New Roman" w:eastAsia="宋体" w:cs="宋体"/>
                <w:b w:val="0"/>
                <w:sz w:val="24"/>
              </w:rPr>
              <w:t xml:space="preserve">    答:尊敬的投资者，您好！公司国内外业务均正常推进，整体保持稳步发展。感谢您的关注！</w:t>
            </w:r>
            <w:r>
              <w:rPr>
                <w:rFonts w:ascii="Times New Roman" w:hAnsi="Times New Roman" w:eastAsia="宋体" w:cs="宋体"/>
                <w:b w:val="0"/>
                <w:sz w:val="24"/>
              </w:rPr>
              <w:br w:type="textWrapping"/>
            </w:r>
            <w:r>
              <w:rPr>
                <w:rFonts w:ascii="Times New Roman" w:hAnsi="Times New Roman" w:eastAsia="宋体" w:cs="宋体"/>
                <w:b/>
                <w:sz w:val="24"/>
              </w:rPr>
              <w:t xml:space="preserve">    5.目前看的订单四季度能扭亏为盈大概多少</w:t>
            </w:r>
            <w:r>
              <w:rPr>
                <w:rFonts w:ascii="Times New Roman" w:hAnsi="Times New Roman" w:eastAsia="宋体" w:cs="宋体"/>
                <w:b/>
                <w:sz w:val="24"/>
              </w:rPr>
              <w:br w:type="textWrapping"/>
            </w:r>
            <w:r>
              <w:rPr>
                <w:rFonts w:ascii="Times New Roman" w:hAnsi="Times New Roman" w:eastAsia="宋体" w:cs="宋体"/>
                <w:b w:val="0"/>
                <w:sz w:val="24"/>
              </w:rPr>
              <w:t xml:space="preserve">    答:尊敬的投资者，您好！公司前三季度实现归母净利润2,177.82万元，四季度相关经营情况请及时关注后续披露的定期报告。感谢您的关注！</w:t>
            </w:r>
            <w:r>
              <w:rPr>
                <w:rFonts w:ascii="Times New Roman" w:hAnsi="Times New Roman" w:eastAsia="宋体" w:cs="宋体"/>
                <w:b w:val="0"/>
                <w:sz w:val="24"/>
              </w:rPr>
              <w:br w:type="textWrapping"/>
            </w:r>
            <w:r>
              <w:rPr>
                <w:rFonts w:ascii="Times New Roman" w:hAnsi="Times New Roman" w:eastAsia="宋体" w:cs="宋体"/>
                <w:b/>
                <w:sz w:val="24"/>
              </w:rPr>
              <w:t xml:space="preserve">    6.请领导介绍下公司经营情况。</w:t>
            </w:r>
            <w:r>
              <w:rPr>
                <w:rFonts w:ascii="Times New Roman" w:hAnsi="Times New Roman" w:eastAsia="宋体" w:cs="宋体"/>
                <w:b/>
                <w:sz w:val="24"/>
              </w:rPr>
              <w:br w:type="textWrapping"/>
            </w:r>
            <w:r>
              <w:rPr>
                <w:rFonts w:ascii="Times New Roman" w:hAnsi="Times New Roman" w:eastAsia="宋体" w:cs="宋体"/>
                <w:b w:val="0"/>
                <w:sz w:val="24"/>
              </w:rPr>
              <w:t xml:space="preserve">    答:尊敬的投资者，您好！公司目前生产经营正常，各项业务有序推进。经营层面，前期部分延迟订单的交付影响正在逐步消化，第三季度经营情况较上半年有所改善。海外布局方面，公司稳步推进国际化战略，并积极推动欧洲、中东及北非等地区的本土化产能合作，公司将持续聚焦主业，努力提升经营质量，感谢您的关注！</w:t>
            </w:r>
            <w:r>
              <w:rPr>
                <w:rFonts w:ascii="Times New Roman" w:hAnsi="Times New Roman" w:eastAsia="宋体" w:cs="宋体"/>
                <w:b w:val="0"/>
                <w:sz w:val="24"/>
              </w:rPr>
              <w:br w:type="textWrapping"/>
            </w:r>
            <w:r>
              <w:rPr>
                <w:rFonts w:ascii="Times New Roman" w:hAnsi="Times New Roman" w:eastAsia="宋体" w:cs="宋体"/>
                <w:b/>
                <w:sz w:val="24"/>
              </w:rPr>
              <w:t xml:space="preserve">    7.请问公司在股东回报方面有什么安排？</w:t>
            </w:r>
            <w:r>
              <w:rPr>
                <w:rFonts w:ascii="Times New Roman" w:hAnsi="Times New Roman" w:eastAsia="宋体" w:cs="宋体"/>
                <w:b/>
                <w:sz w:val="24"/>
              </w:rPr>
              <w:br w:type="textWrapping"/>
            </w:r>
            <w:r>
              <w:rPr>
                <w:rFonts w:ascii="Times New Roman" w:hAnsi="Times New Roman" w:eastAsia="宋体" w:cs="宋体"/>
                <w:b w:val="0"/>
                <w:sz w:val="24"/>
              </w:rPr>
              <w:t xml:space="preserve">    答:尊敬的投资者，您好！公司将根据经营业绩、现金流状况及长远发展需要，统筹考虑股东回报安排，如有具体计划将严格依规履行信息披露义务。感谢您的关注！</w:t>
            </w:r>
            <w:r>
              <w:rPr>
                <w:rFonts w:ascii="Times New Roman" w:hAnsi="Times New Roman" w:eastAsia="宋体" w:cs="宋体"/>
                <w:b w:val="0"/>
                <w:sz w:val="24"/>
              </w:rPr>
              <w:br w:type="textWrapping"/>
            </w:r>
            <w:r>
              <w:rPr>
                <w:rFonts w:ascii="Times New Roman" w:hAnsi="Times New Roman" w:eastAsia="宋体" w:cs="宋体"/>
                <w:b/>
                <w:sz w:val="24"/>
              </w:rPr>
              <w:t xml:space="preserve">    8.股价持续下跌，公司有没有考虑回购增强二级市场投资者信心</w:t>
            </w:r>
            <w:r>
              <w:rPr>
                <w:rFonts w:ascii="Times New Roman" w:hAnsi="Times New Roman" w:eastAsia="宋体" w:cs="宋体"/>
                <w:b/>
                <w:sz w:val="24"/>
              </w:rPr>
              <w:br w:type="textWrapping"/>
            </w:r>
            <w:r>
              <w:rPr>
                <w:rFonts w:ascii="Times New Roman" w:hAnsi="Times New Roman" w:eastAsia="宋体" w:cs="宋体"/>
                <w:b w:val="0"/>
                <w:sz w:val="24"/>
              </w:rPr>
              <w:t xml:space="preserve">    答:尊敬的投资者，您好！公司关注股价表现及投资者信心，未来如有相关回购计划，公司将严格按照规定履行信息披露义务。感谢您的关注！</w:t>
            </w:r>
          </w:p>
        </w:tc>
      </w:tr>
      <w:tr w14:paraId="4FAE0A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999" w:hRule="atLeast"/>
          <w:jc w:val="center"/>
        </w:trPr>
        <w:tc>
          <w:tcPr>
            <w:tcW w:w="2153" w:type="dxa"/>
            <w:vAlign w:val="center"/>
          </w:tcPr>
          <w:p w14:paraId="109897D8">
            <w:pPr>
              <w:pStyle w:val="12"/>
              <w:spacing w:before="1"/>
              <w:ind w:left="107"/>
              <w:rPr>
                <w:rFonts w:ascii="Times New Roman" w:hAnsi="Times New Roman" w:eastAsia="宋体" w:cs="宋体"/>
                <w:b/>
                <w:bCs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sz w:val="24"/>
                <w:szCs w:val="20"/>
              </w:rPr>
              <w:t>关于本次活动是否涉及应披露重大信息的说明</w:t>
            </w:r>
          </w:p>
        </w:tc>
        <w:tc>
          <w:tcPr>
            <w:tcW w:w="7213" w:type="dxa"/>
            <w:vAlign w:val="center"/>
          </w:tcPr>
          <w:p w14:paraId="6F6484B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00" w:beforeAutospacing="1" w:line="360" w:lineRule="auto"/>
              <w:textAlignment w:val="auto"/>
              <w:rPr>
                <w:rFonts w:ascii="Times New Roman" w:hAnsi="Times New Roman" w:eastAsia="宋体" w:cs="宋体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sz w:val="24"/>
                <w:szCs w:val="20"/>
              </w:rPr>
              <w:t>本次活动不涉及未公开披露的重大信息。</w:t>
            </w:r>
          </w:p>
        </w:tc>
      </w:tr>
      <w:tr w14:paraId="3C3659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558" w:hRule="atLeast"/>
          <w:jc w:val="center"/>
        </w:trPr>
        <w:tc>
          <w:tcPr>
            <w:tcW w:w="2153" w:type="dxa"/>
            <w:vAlign w:val="center"/>
          </w:tcPr>
          <w:p w14:paraId="7D5A5C99">
            <w:pPr>
              <w:pStyle w:val="12"/>
              <w:spacing w:before="1"/>
              <w:ind w:left="107" w:leftChars="0"/>
              <w:rPr>
                <w:rFonts w:ascii="Times New Roman" w:hAnsi="Times New Roman" w:eastAsia="宋体" w:cs="宋体"/>
                <w:b/>
                <w:bCs/>
                <w:sz w:val="24"/>
                <w:szCs w:val="20"/>
                <w:lang w:val="zh-CN" w:eastAsia="zh-CN" w:bidi="zh-CN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sz w:val="24"/>
                <w:szCs w:val="20"/>
              </w:rPr>
              <w:t>附件清单（如有）</w:t>
            </w:r>
          </w:p>
        </w:tc>
        <w:tc>
          <w:tcPr>
            <w:tcW w:w="7213" w:type="dxa"/>
            <w:vAlign w:val="center"/>
          </w:tcPr>
          <w:p w14:paraId="461F465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00" w:beforeAutospacing="1" w:line="360" w:lineRule="auto"/>
              <w:textAlignment w:val="auto"/>
              <w:rPr>
                <w:rFonts w:ascii="Times New Roman" w:hAnsi="Times New Roman" w:eastAsia="宋体" w:cs="宋体"/>
                <w:sz w:val="24"/>
                <w:szCs w:val="20"/>
                <w:lang w:val="zh-CN" w:eastAsia="zh-CN" w:bidi="zh-CN"/>
              </w:rPr>
            </w:pPr>
          </w:p>
        </w:tc>
      </w:tr>
      <w:tr w14:paraId="579B53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558" w:hRule="atLeast"/>
          <w:jc w:val="center"/>
        </w:trPr>
        <w:tc>
          <w:tcPr>
            <w:tcW w:w="2153" w:type="dxa"/>
            <w:vAlign w:val="center"/>
          </w:tcPr>
          <w:p w14:paraId="7DFB84E8">
            <w:pPr>
              <w:pStyle w:val="12"/>
              <w:spacing w:before="1"/>
              <w:ind w:left="107" w:leftChars="0"/>
              <w:rPr>
                <w:rFonts w:hint="eastAsia" w:ascii="Times New Roman" w:hAnsi="Times New Roman" w:eastAsia="宋体" w:cs="宋体"/>
                <w:b/>
                <w:bCs/>
                <w:sz w:val="24"/>
                <w:szCs w:val="20"/>
                <w:lang w:val="zh-CN" w:eastAsia="zh-CN" w:bidi="zh-CN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sz w:val="24"/>
                <w:szCs w:val="20"/>
              </w:rPr>
              <w:t>日期</w:t>
            </w:r>
          </w:p>
        </w:tc>
        <w:tc>
          <w:tcPr>
            <w:tcW w:w="7213" w:type="dxa"/>
            <w:vAlign w:val="center"/>
          </w:tcPr>
          <w:p w14:paraId="160D181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00" w:beforeAutospacing="1"/>
              <w:textAlignment w:val="auto"/>
              <w:rPr>
                <w:rFonts w:ascii="Times New Roman" w:hAnsi="Times New Roman" w:eastAsia="宋体" w:cs="宋体"/>
                <w:sz w:val="24"/>
                <w:szCs w:val="20"/>
                <w:lang w:val="zh-CN" w:eastAsia="zh-CN" w:bidi="zh-CN"/>
              </w:rPr>
            </w:pPr>
            <w:r>
              <w:rPr>
                <w:rFonts w:ascii="Times New Roman" w:hAnsi="Times New Roman" w:eastAsia="宋体" w:cs="宋体"/>
                <w:sz w:val="24"/>
                <w:szCs w:val="20"/>
              </w:rPr>
              <w:t>2026年11月06日</w:t>
            </w:r>
          </w:p>
        </w:tc>
      </w:tr>
    </w:tbl>
    <w:p w14:paraId="17E06141">
      <w:pPr>
        <w:rPr>
          <w:rFonts w:ascii="宋体" w:hAnsi="宋体" w:eastAsia="宋体" w:cs="宋体"/>
          <w:sz w:val="28"/>
          <w:szCs w:val="36"/>
        </w:rPr>
      </w:pPr>
      <w:bookmarkStart w:id="0" w:name="_GoBack"/>
      <w:bookmarkEnd w:id="0"/>
    </w:p>
    <w:sectPr>
      <w:headerReference r:id="rId3" w:type="default"/>
      <w:type w:val="continuous"/>
      <w:pgSz w:w="11910" w:h="16840"/>
      <w:pgMar w:top="1440" w:right="1417" w:bottom="1440" w:left="1417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KSOFA61C387F">
    <w:panose1 w:val="020B0604030504040204"/>
    <w:charset w:val="88"/>
    <w:family w:val="auto"/>
    <w:pitch w:val="default"/>
    <w:sig w:usb0="00000001" w:usb1="00000000" w:usb2="00000000" w:usb3="00000000" w:csb0="0010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286342">
    <w:pPr>
      <w:pStyle w:val="7"/>
      <w:jc w:val="both"/>
    </w:pPr>
    <w:r>
      <w:rPr>
        <w:rFonts w:hint="eastAsia" w:ascii="宋体" w:hAnsi="宋体" w:eastAsia="宋体" w:cs="宋体"/>
        <w:lang w:val="en-US"/>
      </w:rPr>
      <w:t xml:space="preserve">江苏华辰变压器股份有限公司                                            </w:t>
    </w:r>
    <w:r>
      <w:rPr>
        <w:rFonts w:hint="eastAsia" w:ascii="宋体" w:hAnsi="宋体" w:eastAsia="宋体" w:cs="宋体"/>
        <w:lang w:val="en-US" w:eastAsia="zh-CN"/>
      </w:rPr>
      <w:t xml:space="preserve">        </w:t>
    </w:r>
    <w:r>
      <w:rPr>
        <w:rFonts w:hint="eastAsia" w:ascii="宋体" w:hAnsi="宋体" w:eastAsia="宋体" w:cs="宋体"/>
        <w:lang w:val="en-US"/>
      </w:rPr>
      <w:t xml:space="preserve">  投资者关系活动记录表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ViY2JkMjU3NGYzZTEwMzZmMGFkZWViYmNkYWU3NDIifQ=="/>
  </w:docVars>
  <w:rsids>
    <w:rsidRoot w:val="00301D32"/>
    <w:rsid w:val="00026CC3"/>
    <w:rsid w:val="00036089"/>
    <w:rsid w:val="00053CFA"/>
    <w:rsid w:val="000633EC"/>
    <w:rsid w:val="00063804"/>
    <w:rsid w:val="000665A2"/>
    <w:rsid w:val="000877AB"/>
    <w:rsid w:val="000B7C08"/>
    <w:rsid w:val="000D12CF"/>
    <w:rsid w:val="000D2D88"/>
    <w:rsid w:val="000E4B20"/>
    <w:rsid w:val="0011418F"/>
    <w:rsid w:val="00172C24"/>
    <w:rsid w:val="001E59D1"/>
    <w:rsid w:val="001E5EA4"/>
    <w:rsid w:val="002042A7"/>
    <w:rsid w:val="00205911"/>
    <w:rsid w:val="002146AD"/>
    <w:rsid w:val="00275CB6"/>
    <w:rsid w:val="002800B5"/>
    <w:rsid w:val="00295B29"/>
    <w:rsid w:val="002D4073"/>
    <w:rsid w:val="002E7098"/>
    <w:rsid w:val="00301D32"/>
    <w:rsid w:val="00366FAD"/>
    <w:rsid w:val="0037105B"/>
    <w:rsid w:val="003975BA"/>
    <w:rsid w:val="003A74E6"/>
    <w:rsid w:val="003B73DD"/>
    <w:rsid w:val="003D011C"/>
    <w:rsid w:val="004108C7"/>
    <w:rsid w:val="00412DC2"/>
    <w:rsid w:val="00440041"/>
    <w:rsid w:val="00451268"/>
    <w:rsid w:val="004515AD"/>
    <w:rsid w:val="00451857"/>
    <w:rsid w:val="00453516"/>
    <w:rsid w:val="00457548"/>
    <w:rsid w:val="00470DB2"/>
    <w:rsid w:val="004925E7"/>
    <w:rsid w:val="00495B11"/>
    <w:rsid w:val="004F6FF3"/>
    <w:rsid w:val="00571B49"/>
    <w:rsid w:val="005743AE"/>
    <w:rsid w:val="005D64CA"/>
    <w:rsid w:val="005E5717"/>
    <w:rsid w:val="005E6DB2"/>
    <w:rsid w:val="0061433E"/>
    <w:rsid w:val="0062751D"/>
    <w:rsid w:val="006354AA"/>
    <w:rsid w:val="00661AFA"/>
    <w:rsid w:val="006726BF"/>
    <w:rsid w:val="00677B77"/>
    <w:rsid w:val="0068718A"/>
    <w:rsid w:val="006A2739"/>
    <w:rsid w:val="006B5C95"/>
    <w:rsid w:val="006E14B0"/>
    <w:rsid w:val="006F0108"/>
    <w:rsid w:val="00704AE6"/>
    <w:rsid w:val="007153A2"/>
    <w:rsid w:val="00724A68"/>
    <w:rsid w:val="007271BF"/>
    <w:rsid w:val="00730DD3"/>
    <w:rsid w:val="00733224"/>
    <w:rsid w:val="00764128"/>
    <w:rsid w:val="007824B8"/>
    <w:rsid w:val="007910DD"/>
    <w:rsid w:val="007A3EC1"/>
    <w:rsid w:val="007B3368"/>
    <w:rsid w:val="007D0A69"/>
    <w:rsid w:val="007D6DC4"/>
    <w:rsid w:val="00853463"/>
    <w:rsid w:val="00893F25"/>
    <w:rsid w:val="00895035"/>
    <w:rsid w:val="008B2B14"/>
    <w:rsid w:val="008C6AED"/>
    <w:rsid w:val="008C7604"/>
    <w:rsid w:val="008E1B27"/>
    <w:rsid w:val="00903379"/>
    <w:rsid w:val="00906975"/>
    <w:rsid w:val="00917F0B"/>
    <w:rsid w:val="00917F8B"/>
    <w:rsid w:val="00960964"/>
    <w:rsid w:val="00965E4D"/>
    <w:rsid w:val="009B1D5C"/>
    <w:rsid w:val="009C2E31"/>
    <w:rsid w:val="009E1955"/>
    <w:rsid w:val="00A527AA"/>
    <w:rsid w:val="00A5684D"/>
    <w:rsid w:val="00A75C61"/>
    <w:rsid w:val="00A9601B"/>
    <w:rsid w:val="00AD100E"/>
    <w:rsid w:val="00AE1E36"/>
    <w:rsid w:val="00AF74AA"/>
    <w:rsid w:val="00B03C2F"/>
    <w:rsid w:val="00B15064"/>
    <w:rsid w:val="00B340A3"/>
    <w:rsid w:val="00B410F5"/>
    <w:rsid w:val="00B6280C"/>
    <w:rsid w:val="00B671A4"/>
    <w:rsid w:val="00B72CD4"/>
    <w:rsid w:val="00B85B00"/>
    <w:rsid w:val="00BF132F"/>
    <w:rsid w:val="00C13878"/>
    <w:rsid w:val="00CA1705"/>
    <w:rsid w:val="00CE1A54"/>
    <w:rsid w:val="00CF5FB6"/>
    <w:rsid w:val="00D02518"/>
    <w:rsid w:val="00D17454"/>
    <w:rsid w:val="00D33FBC"/>
    <w:rsid w:val="00D7535C"/>
    <w:rsid w:val="00D76302"/>
    <w:rsid w:val="00DA5CE2"/>
    <w:rsid w:val="00DE10E8"/>
    <w:rsid w:val="00E16FDA"/>
    <w:rsid w:val="00E35F58"/>
    <w:rsid w:val="00E45BD9"/>
    <w:rsid w:val="00E66FFC"/>
    <w:rsid w:val="00E759D6"/>
    <w:rsid w:val="00E84A8C"/>
    <w:rsid w:val="00E976DE"/>
    <w:rsid w:val="00EC0F83"/>
    <w:rsid w:val="00EE3187"/>
    <w:rsid w:val="00EF499B"/>
    <w:rsid w:val="00F14977"/>
    <w:rsid w:val="00FB4A08"/>
    <w:rsid w:val="00FC0C2A"/>
    <w:rsid w:val="00FD7F8E"/>
    <w:rsid w:val="00FF11E4"/>
    <w:rsid w:val="04B072D4"/>
    <w:rsid w:val="05F575D4"/>
    <w:rsid w:val="064249C6"/>
    <w:rsid w:val="08037CA5"/>
    <w:rsid w:val="08641132"/>
    <w:rsid w:val="09186774"/>
    <w:rsid w:val="0945438F"/>
    <w:rsid w:val="0A71587A"/>
    <w:rsid w:val="0B792C38"/>
    <w:rsid w:val="0C28640C"/>
    <w:rsid w:val="0E90599A"/>
    <w:rsid w:val="0ED720CD"/>
    <w:rsid w:val="12070CAE"/>
    <w:rsid w:val="145F688C"/>
    <w:rsid w:val="14D47131"/>
    <w:rsid w:val="15680001"/>
    <w:rsid w:val="15DD2205"/>
    <w:rsid w:val="17072842"/>
    <w:rsid w:val="17A67110"/>
    <w:rsid w:val="1864189B"/>
    <w:rsid w:val="18D73A7D"/>
    <w:rsid w:val="19557370"/>
    <w:rsid w:val="1BD06B6A"/>
    <w:rsid w:val="1F782BDE"/>
    <w:rsid w:val="204A6A53"/>
    <w:rsid w:val="23317869"/>
    <w:rsid w:val="25650CAE"/>
    <w:rsid w:val="26406598"/>
    <w:rsid w:val="28080056"/>
    <w:rsid w:val="28734C1A"/>
    <w:rsid w:val="28C72DDD"/>
    <w:rsid w:val="29EE0E64"/>
    <w:rsid w:val="2BC4020A"/>
    <w:rsid w:val="2EF90F16"/>
    <w:rsid w:val="2F125C63"/>
    <w:rsid w:val="302C3D0A"/>
    <w:rsid w:val="3104598F"/>
    <w:rsid w:val="33DE31BB"/>
    <w:rsid w:val="389C49C0"/>
    <w:rsid w:val="39BC78F4"/>
    <w:rsid w:val="3B35486F"/>
    <w:rsid w:val="3EF1250A"/>
    <w:rsid w:val="40567DB0"/>
    <w:rsid w:val="40FF5CD2"/>
    <w:rsid w:val="42DB40B0"/>
    <w:rsid w:val="43B71B0A"/>
    <w:rsid w:val="44FA0589"/>
    <w:rsid w:val="45A663E3"/>
    <w:rsid w:val="469F09AF"/>
    <w:rsid w:val="4B756271"/>
    <w:rsid w:val="4C8E1CA8"/>
    <w:rsid w:val="4D6D36A4"/>
    <w:rsid w:val="510903EF"/>
    <w:rsid w:val="53F137F4"/>
    <w:rsid w:val="543A6906"/>
    <w:rsid w:val="55120747"/>
    <w:rsid w:val="56850CBB"/>
    <w:rsid w:val="59D8738A"/>
    <w:rsid w:val="5A666D76"/>
    <w:rsid w:val="5B2253C2"/>
    <w:rsid w:val="5CF02E0F"/>
    <w:rsid w:val="603269D2"/>
    <w:rsid w:val="61A52BCA"/>
    <w:rsid w:val="67095496"/>
    <w:rsid w:val="67ED7463"/>
    <w:rsid w:val="681A546A"/>
    <w:rsid w:val="68507D37"/>
    <w:rsid w:val="69CB37D4"/>
    <w:rsid w:val="6A0D5B9B"/>
    <w:rsid w:val="6A3B23B1"/>
    <w:rsid w:val="6AEA32DC"/>
    <w:rsid w:val="6CC24AB5"/>
    <w:rsid w:val="6D9271B2"/>
    <w:rsid w:val="6DED783A"/>
    <w:rsid w:val="6F134790"/>
    <w:rsid w:val="6FE81F5F"/>
    <w:rsid w:val="72446028"/>
    <w:rsid w:val="73076EC0"/>
    <w:rsid w:val="74210CA6"/>
    <w:rsid w:val="746F4E76"/>
    <w:rsid w:val="76430096"/>
    <w:rsid w:val="788C25F5"/>
    <w:rsid w:val="79F72AA9"/>
    <w:rsid w:val="7A144529"/>
    <w:rsid w:val="7DD37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仿宋" w:hAnsi="仿宋" w:eastAsia="仿宋" w:cs="仿宋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outlineLvl w:val="0"/>
    </w:pPr>
    <w:rPr>
      <w:rFonts w:ascii="PMingLiU" w:hAnsi="PMingLiU" w:eastAsia="PMingLiU" w:cs="PMingLiU"/>
      <w:sz w:val="44"/>
      <w:szCs w:val="44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5"/>
    <w:qFormat/>
    <w:uiPriority w:val="0"/>
  </w:style>
  <w:style w:type="paragraph" w:styleId="4">
    <w:name w:val="Body Text"/>
    <w:basedOn w:val="1"/>
    <w:qFormat/>
    <w:uiPriority w:val="1"/>
    <w:pPr>
      <w:ind w:left="220"/>
    </w:pPr>
    <w:rPr>
      <w:sz w:val="32"/>
      <w:szCs w:val="32"/>
    </w:rPr>
  </w:style>
  <w:style w:type="paragraph" w:styleId="5">
    <w:name w:val="Balloon Text"/>
    <w:basedOn w:val="1"/>
    <w:link w:val="17"/>
    <w:qFormat/>
    <w:uiPriority w:val="0"/>
    <w:rPr>
      <w:sz w:val="18"/>
      <w:szCs w:val="18"/>
    </w:rPr>
  </w:style>
  <w:style w:type="paragraph" w:styleId="6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7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annotation subject"/>
    <w:basedOn w:val="3"/>
    <w:next w:val="3"/>
    <w:link w:val="16"/>
    <w:qFormat/>
    <w:uiPriority w:val="0"/>
    <w:rPr>
      <w:b/>
      <w:bCs/>
    </w:rPr>
  </w:style>
  <w:style w:type="character" w:styleId="11">
    <w:name w:val="annotation reference"/>
    <w:basedOn w:val="10"/>
    <w:qFormat/>
    <w:uiPriority w:val="0"/>
    <w:rPr>
      <w:sz w:val="21"/>
      <w:szCs w:val="21"/>
    </w:rPr>
  </w:style>
  <w:style w:type="paragraph" w:customStyle="1" w:styleId="12">
    <w:name w:val="Table Paragraph"/>
    <w:basedOn w:val="1"/>
    <w:qFormat/>
    <w:uiPriority w:val="1"/>
  </w:style>
  <w:style w:type="character" w:customStyle="1" w:styleId="13">
    <w:name w:val="页眉 字符"/>
    <w:basedOn w:val="10"/>
    <w:link w:val="7"/>
    <w:qFormat/>
    <w:uiPriority w:val="0"/>
    <w:rPr>
      <w:rFonts w:ascii="仿宋" w:hAnsi="仿宋" w:eastAsia="仿宋" w:cs="仿宋"/>
      <w:sz w:val="18"/>
      <w:szCs w:val="18"/>
      <w:lang w:val="zh-CN" w:bidi="zh-CN"/>
    </w:rPr>
  </w:style>
  <w:style w:type="character" w:customStyle="1" w:styleId="14">
    <w:name w:val="页脚 字符"/>
    <w:basedOn w:val="10"/>
    <w:link w:val="6"/>
    <w:qFormat/>
    <w:uiPriority w:val="0"/>
    <w:rPr>
      <w:rFonts w:ascii="仿宋" w:hAnsi="仿宋" w:eastAsia="仿宋" w:cs="仿宋"/>
      <w:sz w:val="18"/>
      <w:szCs w:val="18"/>
      <w:lang w:val="zh-CN" w:bidi="zh-CN"/>
    </w:rPr>
  </w:style>
  <w:style w:type="character" w:customStyle="1" w:styleId="15">
    <w:name w:val="批注文字 字符"/>
    <w:basedOn w:val="10"/>
    <w:link w:val="3"/>
    <w:qFormat/>
    <w:uiPriority w:val="0"/>
    <w:rPr>
      <w:rFonts w:ascii="仿宋" w:hAnsi="仿宋" w:eastAsia="仿宋" w:cs="仿宋"/>
      <w:sz w:val="22"/>
      <w:szCs w:val="22"/>
      <w:lang w:val="zh-CN" w:bidi="zh-CN"/>
    </w:rPr>
  </w:style>
  <w:style w:type="character" w:customStyle="1" w:styleId="16">
    <w:name w:val="批注主题 字符"/>
    <w:basedOn w:val="15"/>
    <w:link w:val="8"/>
    <w:qFormat/>
    <w:uiPriority w:val="0"/>
    <w:rPr>
      <w:rFonts w:ascii="仿宋" w:hAnsi="仿宋" w:eastAsia="仿宋" w:cs="仿宋"/>
      <w:b/>
      <w:bCs/>
      <w:sz w:val="22"/>
      <w:szCs w:val="22"/>
      <w:lang w:val="zh-CN" w:bidi="zh-CN"/>
    </w:rPr>
  </w:style>
  <w:style w:type="character" w:customStyle="1" w:styleId="17">
    <w:name w:val="批注框文本 字符"/>
    <w:basedOn w:val="10"/>
    <w:link w:val="5"/>
    <w:qFormat/>
    <w:uiPriority w:val="0"/>
    <w:rPr>
      <w:rFonts w:ascii="仿宋" w:hAnsi="仿宋" w:eastAsia="仿宋" w:cs="仿宋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16454-D52C-4974-A468-5D02FFFCA6D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1136</Words>
  <Characters>1215</Characters>
  <Lines>2</Lines>
  <Paragraphs>1</Paragraphs>
  <TotalTime>0</TotalTime>
  <ScaleCrop>false</ScaleCrop>
  <LinksUpToDate>false</LinksUpToDate>
  <CharactersWithSpaces>1362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2022-04-12T06:10:00Z</dcterms:created>
  <dc:creator>jie.huang</dc:creator>
  <cp:lastModifiedBy>证券部</cp:lastModifiedBy>
  <dcterms:modified xsi:type="dcterms:W3CDTF">2026-11-06T07:23:15Z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57D148DF2F764966BF4E1C38A6255FA2</vt:lpwstr>
  </property>
  <property fmtid="{D5CDD505-2E9C-101B-9397-08002B2CF9AE}" pid="4" name="KSOTemplateDocerSaveRecord">
    <vt:lpwstr>eyJoZGlkIjoiN2EzMDE4ZDk5MmMzMGUyZGEzNDYyMGQwOWI1MmM2Y2UiLCJ1c2VySWQiOiIxNDkwMzY3NDk3In0=</vt:lpwstr>
  </property>
</Properties>
</file>