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20442">
      <w:pPr>
        <w:rPr>
          <w:rFonts w:ascii="宋体" w:hAnsi="宋体"/>
          <w:b/>
          <w:sz w:val="24"/>
        </w:rPr>
      </w:pPr>
      <w:r>
        <w:rPr>
          <w:rFonts w:hint="eastAsia" w:ascii="宋体" w:hAnsi="宋体"/>
          <w:b/>
          <w:sz w:val="24"/>
        </w:rPr>
        <w:t>证券代码：600222                                   证券简称：太龙药业</w:t>
      </w:r>
    </w:p>
    <w:p w14:paraId="57E127ED"/>
    <w:p w14:paraId="115CB948">
      <w:pPr>
        <w:jc w:val="center"/>
        <w:rPr>
          <w:rFonts w:ascii="黑体" w:hAnsi="黑体" w:eastAsia="黑体"/>
          <w:sz w:val="32"/>
        </w:rPr>
      </w:pPr>
      <w:r>
        <w:rPr>
          <w:rFonts w:ascii="黑体" w:hAnsi="黑体" w:eastAsia="黑体"/>
          <w:sz w:val="32"/>
        </w:rPr>
        <w:t>河南太龙药业股份有限公司</w:t>
      </w:r>
    </w:p>
    <w:p w14:paraId="51FE787C">
      <w:pPr>
        <w:jc w:val="center"/>
        <w:rPr>
          <w:rFonts w:ascii="黑体" w:hAnsi="黑体" w:eastAsia="黑体"/>
          <w:sz w:val="32"/>
        </w:rPr>
      </w:pPr>
      <w:r>
        <w:rPr>
          <w:rFonts w:ascii="黑体" w:hAnsi="黑体" w:eastAsia="黑体"/>
          <w:sz w:val="32"/>
        </w:rPr>
        <w:t>投资者关系活动记录表</w:t>
      </w:r>
    </w:p>
    <w:p w14:paraId="2EDAE1C9">
      <w:pPr>
        <w:jc w:val="center"/>
        <w:rPr>
          <w:rFonts w:ascii="黑体" w:hAnsi="黑体" w:eastAsia="黑体"/>
          <w:sz w:val="32"/>
        </w:rPr>
      </w:pPr>
      <w:r>
        <w:rPr>
          <w:rFonts w:ascii="黑体" w:hAnsi="黑体" w:eastAsia="黑体"/>
          <w:sz w:val="32"/>
        </w:rPr>
        <w:t>（</w:t>
      </w:r>
      <w:r>
        <w:rPr>
          <w:rFonts w:hint="eastAsia" w:ascii="黑体" w:hAnsi="黑体" w:eastAsia="黑体"/>
          <w:sz w:val="32"/>
        </w:rPr>
        <w:t>2</w:t>
      </w:r>
      <w:r>
        <w:rPr>
          <w:rFonts w:ascii="黑体" w:hAnsi="黑体" w:eastAsia="黑体"/>
          <w:sz w:val="32"/>
        </w:rPr>
        <w:t>02</w:t>
      </w:r>
      <w:r>
        <w:rPr>
          <w:rFonts w:hint="eastAsia" w:ascii="黑体" w:hAnsi="黑体" w:eastAsia="黑体"/>
          <w:sz w:val="32"/>
          <w:lang w:val="en-US" w:eastAsia="zh-CN"/>
        </w:rPr>
        <w:t>6</w:t>
      </w:r>
      <w:r>
        <w:rPr>
          <w:rFonts w:ascii="黑体" w:hAnsi="黑体" w:eastAsia="黑体"/>
          <w:sz w:val="32"/>
        </w:rPr>
        <w:t>年</w:t>
      </w:r>
      <w:r>
        <w:rPr>
          <w:rFonts w:hint="eastAsia" w:ascii="黑体" w:hAnsi="黑体" w:eastAsia="黑体"/>
          <w:sz w:val="32"/>
          <w:lang w:val="en-US" w:eastAsia="zh-CN"/>
        </w:rPr>
        <w:t>11</w:t>
      </w:r>
      <w:r>
        <w:rPr>
          <w:rFonts w:hint="eastAsia" w:ascii="黑体" w:hAnsi="黑体" w:eastAsia="黑体"/>
          <w:sz w:val="32"/>
        </w:rPr>
        <w:t>月</w:t>
      </w:r>
      <w:r>
        <w:rPr>
          <w:rFonts w:ascii="黑体" w:hAnsi="黑体" w:eastAsia="黑体"/>
          <w:sz w:val="32"/>
        </w:rPr>
        <w:t>）</w:t>
      </w:r>
    </w:p>
    <w:p w14:paraId="61971809"/>
    <w:tbl>
      <w:tblPr>
        <w:tblStyle w:val="11"/>
        <w:tblW w:w="10349"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8363"/>
      </w:tblGrid>
      <w:tr w14:paraId="746E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986" w:type="dxa"/>
            <w:vAlign w:val="center"/>
          </w:tcPr>
          <w:p w14:paraId="09A53B3B">
            <w:pPr>
              <w:jc w:val="center"/>
              <w:rPr>
                <w:sz w:val="28"/>
              </w:rPr>
            </w:pPr>
            <w:r>
              <w:rPr>
                <w:sz w:val="28"/>
              </w:rPr>
              <w:t>投资者关系</w:t>
            </w:r>
          </w:p>
          <w:p w14:paraId="7E3633DA">
            <w:pPr>
              <w:jc w:val="center"/>
              <w:rPr>
                <w:sz w:val="28"/>
              </w:rPr>
            </w:pPr>
            <w:r>
              <w:rPr>
                <w:sz w:val="28"/>
              </w:rPr>
              <w:t>活动类别</w:t>
            </w:r>
          </w:p>
        </w:tc>
        <w:tc>
          <w:tcPr>
            <w:tcW w:w="8363" w:type="dxa"/>
          </w:tcPr>
          <w:p w14:paraId="237BB954">
            <w:pPr>
              <w:pStyle w:val="14"/>
              <w:jc w:val="both"/>
              <w:rPr>
                <w:rFonts w:hAnsi="Times New Roman"/>
                <w:sz w:val="28"/>
              </w:rPr>
            </w:pPr>
            <w:r>
              <w:rPr>
                <w:rFonts w:hint="eastAsia" w:hAnsi="Times New Roman"/>
                <w:sz w:val="28"/>
                <w:lang w:eastAsia="zh-CN"/>
              </w:rPr>
              <w:t>□</w:t>
            </w:r>
            <w:r>
              <w:rPr>
                <w:rFonts w:hint="eastAsia" w:hAnsi="Times New Roman"/>
                <w:sz w:val="28"/>
              </w:rPr>
              <w:t xml:space="preserve">特定对象调研     </w:t>
            </w:r>
            <w:r>
              <w:rPr>
                <w:rFonts w:hint="eastAsia" w:hAnsi="Times New Roman"/>
                <w:color w:val="auto"/>
                <w:sz w:val="28"/>
              </w:rPr>
              <w:t xml:space="preserve"> </w:t>
            </w:r>
            <w:r>
              <w:rPr>
                <w:rFonts w:hint="eastAsia" w:hAnsi="Times New Roman"/>
                <w:sz w:val="28"/>
                <w:lang w:eastAsia="zh-CN"/>
              </w:rPr>
              <w:t>□</w:t>
            </w:r>
            <w:r>
              <w:rPr>
                <w:rFonts w:hint="eastAsia" w:hAnsi="Times New Roman"/>
                <w:sz w:val="28"/>
              </w:rPr>
              <w:t>分析师会议</w:t>
            </w:r>
          </w:p>
          <w:p w14:paraId="390FE71A">
            <w:pPr>
              <w:pStyle w:val="14"/>
              <w:jc w:val="both"/>
              <w:rPr>
                <w:rFonts w:hAnsi="Times New Roman"/>
                <w:sz w:val="28"/>
              </w:rPr>
            </w:pPr>
            <w:r>
              <w:rPr>
                <w:rFonts w:hint="eastAsia" w:hAnsi="Times New Roman"/>
                <w:sz w:val="28"/>
              </w:rPr>
              <w:t xml:space="preserve">□媒体采访          </w:t>
            </w:r>
            <w:r>
              <w:rPr>
                <w:rFonts w:hint="eastAsia" w:hAnsi="Times New Roman"/>
                <w:sz w:val="28"/>
                <w:lang w:eastAsia="zh-CN"/>
              </w:rPr>
              <w:t>☑</w:t>
            </w:r>
            <w:r>
              <w:rPr>
                <w:rFonts w:hint="eastAsia" w:hAnsi="Times New Roman"/>
                <w:sz w:val="28"/>
              </w:rPr>
              <w:t>业绩说明会</w:t>
            </w:r>
          </w:p>
          <w:p w14:paraId="0F578CFC">
            <w:pPr>
              <w:pStyle w:val="14"/>
              <w:jc w:val="both"/>
              <w:rPr>
                <w:rFonts w:hAnsi="Times New Roman"/>
                <w:sz w:val="28"/>
              </w:rPr>
            </w:pPr>
            <w:r>
              <w:rPr>
                <w:rFonts w:hint="eastAsia" w:hAnsi="Times New Roman"/>
                <w:sz w:val="28"/>
              </w:rPr>
              <w:t>□新闻发布会        □路演活动</w:t>
            </w:r>
          </w:p>
          <w:p w14:paraId="3EC78576">
            <w:pPr>
              <w:pStyle w:val="14"/>
              <w:jc w:val="both"/>
              <w:rPr>
                <w:rFonts w:hAnsi="Times New Roman"/>
                <w:sz w:val="28"/>
              </w:rPr>
            </w:pPr>
            <w:r>
              <w:rPr>
                <w:rFonts w:hint="eastAsia" w:hAnsi="Times New Roman"/>
                <w:sz w:val="28"/>
              </w:rPr>
              <w:t xml:space="preserve">□现场参观          </w:t>
            </w:r>
            <w:r>
              <w:rPr>
                <w:rFonts w:hint="eastAsia" w:hAnsi="Times New Roman"/>
                <w:sz w:val="28"/>
                <w:lang w:eastAsia="zh-CN"/>
              </w:rPr>
              <w:t>□</w:t>
            </w:r>
            <w:r>
              <w:rPr>
                <w:rFonts w:hint="eastAsia" w:hAnsi="宋体"/>
                <w:sz w:val="28"/>
              </w:rPr>
              <w:t>电话会议</w:t>
            </w:r>
          </w:p>
          <w:p w14:paraId="74717964">
            <w:pPr>
              <w:pStyle w:val="14"/>
              <w:jc w:val="both"/>
              <w:rPr>
                <w:rFonts w:hAnsi="Times New Roman"/>
                <w:sz w:val="28"/>
                <w:u w:val="single"/>
              </w:rPr>
            </w:pPr>
            <w:r>
              <w:rPr>
                <w:rFonts w:hint="eastAsia" w:ascii="Segoe UI Symbol" w:hAnsi="Segoe UI Symbol" w:cs="Segoe UI Symbol"/>
                <w:sz w:val="28"/>
                <w:lang w:eastAsia="zh-CN"/>
              </w:rPr>
              <w:t>□</w:t>
            </w:r>
            <w:r>
              <w:rPr>
                <w:rFonts w:hint="eastAsia" w:hAnsi="Times New Roman"/>
                <w:sz w:val="28"/>
              </w:rPr>
              <w:t>其他</w:t>
            </w:r>
          </w:p>
        </w:tc>
      </w:tr>
      <w:tr w14:paraId="6346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vAlign w:val="center"/>
          </w:tcPr>
          <w:p w14:paraId="4AD84AD1">
            <w:pPr>
              <w:jc w:val="center"/>
              <w:rPr>
                <w:sz w:val="28"/>
              </w:rPr>
            </w:pPr>
            <w:r>
              <w:rPr>
                <w:sz w:val="28"/>
              </w:rPr>
              <w:t>会议时间</w:t>
            </w:r>
          </w:p>
        </w:tc>
        <w:tc>
          <w:tcPr>
            <w:tcW w:w="8363" w:type="dxa"/>
          </w:tcPr>
          <w:p w14:paraId="73A82FD4">
            <w:r>
              <w:rPr>
                <w:rFonts w:hint="eastAsia" w:ascii="宋体" w:hAnsi="宋体"/>
                <w:sz w:val="28"/>
              </w:rPr>
              <w:t>202</w:t>
            </w:r>
            <w:r>
              <w:rPr>
                <w:rFonts w:hint="eastAsia" w:ascii="宋体" w:hAnsi="宋体"/>
                <w:sz w:val="28"/>
                <w:lang w:val="en-US" w:eastAsia="zh-CN"/>
              </w:rPr>
              <w:t>6</w:t>
            </w:r>
            <w:r>
              <w:rPr>
                <w:rFonts w:hint="eastAsia" w:ascii="宋体" w:hAnsi="宋体"/>
                <w:sz w:val="28"/>
              </w:rPr>
              <w:t>年</w:t>
            </w:r>
            <w:r>
              <w:rPr>
                <w:rFonts w:hint="eastAsia" w:ascii="宋体" w:hAnsi="宋体"/>
                <w:sz w:val="28"/>
                <w:lang w:val="en-US" w:eastAsia="zh-CN"/>
              </w:rPr>
              <w:t>11</w:t>
            </w:r>
            <w:r>
              <w:rPr>
                <w:rFonts w:hint="eastAsia" w:ascii="宋体" w:hAnsi="宋体"/>
                <w:sz w:val="28"/>
              </w:rPr>
              <w:t>月</w:t>
            </w:r>
            <w:r>
              <w:rPr>
                <w:rFonts w:hint="eastAsia" w:ascii="宋体" w:hAnsi="宋体"/>
                <w:sz w:val="28"/>
                <w:lang w:val="en-US" w:eastAsia="zh-CN"/>
              </w:rPr>
              <w:t>5</w:t>
            </w:r>
            <w:r>
              <w:rPr>
                <w:rFonts w:hint="eastAsia" w:ascii="宋体" w:hAnsi="宋体"/>
                <w:sz w:val="28"/>
              </w:rPr>
              <w:t>日</w:t>
            </w:r>
            <w:r>
              <w:rPr>
                <w:rFonts w:hint="eastAsia" w:asciiTheme="minorEastAsia" w:hAnsiTheme="minorEastAsia"/>
                <w:sz w:val="28"/>
                <w:lang w:val="en-US" w:eastAsia="zh-CN"/>
              </w:rPr>
              <w:t>上午</w:t>
            </w:r>
            <w:r>
              <w:rPr>
                <w:rFonts w:hint="eastAsia" w:asciiTheme="minorEastAsia" w:hAnsiTheme="minorEastAsia"/>
                <w:sz w:val="28"/>
              </w:rPr>
              <w:t>1</w:t>
            </w:r>
            <w:r>
              <w:rPr>
                <w:rFonts w:hint="eastAsia" w:asciiTheme="minorEastAsia" w:hAnsiTheme="minorEastAsia"/>
                <w:sz w:val="28"/>
                <w:lang w:val="en-US" w:eastAsia="zh-CN"/>
              </w:rPr>
              <w:t>1</w:t>
            </w:r>
            <w:r>
              <w:rPr>
                <w:rFonts w:hint="eastAsia" w:asciiTheme="minorEastAsia" w:hAnsiTheme="minorEastAsia"/>
                <w:sz w:val="28"/>
              </w:rPr>
              <w:t>:00-1</w:t>
            </w:r>
            <w:r>
              <w:rPr>
                <w:rFonts w:hint="eastAsia" w:asciiTheme="minorEastAsia" w:hAnsiTheme="minorEastAsia"/>
                <w:sz w:val="28"/>
                <w:lang w:val="en-US" w:eastAsia="zh-CN"/>
              </w:rPr>
              <w:t>2</w:t>
            </w:r>
            <w:r>
              <w:rPr>
                <w:rFonts w:hint="eastAsia" w:asciiTheme="minorEastAsia" w:hAnsiTheme="minorEastAsia"/>
                <w:sz w:val="28"/>
              </w:rPr>
              <w:t>:</w:t>
            </w:r>
            <w:r>
              <w:rPr>
                <w:rFonts w:hint="eastAsia" w:asciiTheme="minorEastAsia" w:hAnsiTheme="minorEastAsia"/>
                <w:sz w:val="28"/>
                <w:lang w:val="en-US" w:eastAsia="zh-CN"/>
              </w:rPr>
              <w:t>00</w:t>
            </w:r>
            <w:r>
              <w:rPr>
                <w:rFonts w:ascii="宋体" w:hAnsi="宋体"/>
                <w:sz w:val="28"/>
              </w:rPr>
              <w:t xml:space="preserve">  </w:t>
            </w:r>
            <w:r>
              <w:rPr>
                <w:rFonts w:asciiTheme="minorEastAsia" w:hAnsiTheme="minorEastAsia"/>
                <w:sz w:val="28"/>
              </w:rPr>
              <w:t>公司</w:t>
            </w:r>
            <w:r>
              <w:rPr>
                <w:rFonts w:hint="eastAsia" w:asciiTheme="minorEastAsia" w:hAnsiTheme="minorEastAsia"/>
                <w:sz w:val="28"/>
              </w:rPr>
              <w:t>202</w:t>
            </w:r>
            <w:r>
              <w:rPr>
                <w:rFonts w:hint="eastAsia" w:asciiTheme="minorEastAsia" w:hAnsiTheme="minorEastAsia"/>
                <w:sz w:val="28"/>
                <w:lang w:val="en-US" w:eastAsia="zh-CN"/>
              </w:rPr>
              <w:t>6</w:t>
            </w:r>
            <w:r>
              <w:rPr>
                <w:rFonts w:hint="eastAsia" w:asciiTheme="minorEastAsia" w:hAnsiTheme="minorEastAsia"/>
                <w:sz w:val="28"/>
              </w:rPr>
              <w:t>年</w:t>
            </w:r>
            <w:r>
              <w:rPr>
                <w:rFonts w:hint="eastAsia" w:asciiTheme="minorEastAsia" w:hAnsiTheme="minorEastAsia"/>
                <w:sz w:val="28"/>
                <w:lang w:val="en-US" w:eastAsia="zh-CN"/>
              </w:rPr>
              <w:t>第三季度</w:t>
            </w:r>
            <w:r>
              <w:rPr>
                <w:rFonts w:hint="eastAsia" w:asciiTheme="minorEastAsia" w:hAnsiTheme="minorEastAsia"/>
                <w:sz w:val="28"/>
              </w:rPr>
              <w:t>业绩说明会</w:t>
            </w:r>
          </w:p>
        </w:tc>
      </w:tr>
      <w:tr w14:paraId="157D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1986" w:type="dxa"/>
            <w:vAlign w:val="center"/>
          </w:tcPr>
          <w:p w14:paraId="4762D3C2">
            <w:pPr>
              <w:jc w:val="center"/>
              <w:rPr>
                <w:sz w:val="28"/>
              </w:rPr>
            </w:pPr>
            <w:r>
              <w:rPr>
                <w:sz w:val="28"/>
              </w:rPr>
              <w:t>会议地点</w:t>
            </w:r>
          </w:p>
        </w:tc>
        <w:tc>
          <w:tcPr>
            <w:tcW w:w="8363" w:type="dxa"/>
            <w:vAlign w:val="center"/>
          </w:tcPr>
          <w:p w14:paraId="698146DF">
            <w:pPr>
              <w:widowControl/>
              <w:rPr>
                <w:rFonts w:ascii="宋体" w:hAnsi="宋体"/>
                <w:sz w:val="28"/>
              </w:rPr>
            </w:pPr>
            <w:r>
              <w:rPr>
                <w:rFonts w:hint="eastAsia" w:asciiTheme="minorEastAsia" w:hAnsiTheme="minorEastAsia"/>
                <w:sz w:val="28"/>
              </w:rPr>
              <w:t>上海证券交易所上证路演中心：https://roadshow.sseinfo.com/</w:t>
            </w:r>
          </w:p>
        </w:tc>
      </w:tr>
      <w:tr w14:paraId="6821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vAlign w:val="center"/>
          </w:tcPr>
          <w:p w14:paraId="51B43578">
            <w:pPr>
              <w:jc w:val="center"/>
              <w:rPr>
                <w:sz w:val="28"/>
              </w:rPr>
            </w:pPr>
            <w:r>
              <w:rPr>
                <w:sz w:val="28"/>
              </w:rPr>
              <w:t>参与单位名称或人员姓名</w:t>
            </w:r>
          </w:p>
        </w:tc>
        <w:tc>
          <w:tcPr>
            <w:tcW w:w="8363" w:type="dxa"/>
            <w:vAlign w:val="center"/>
          </w:tcPr>
          <w:p w14:paraId="0C46E5BD">
            <w:pPr>
              <w:rPr>
                <w:rFonts w:ascii="宋体" w:hAnsi="宋体"/>
                <w:sz w:val="28"/>
                <w:szCs w:val="28"/>
              </w:rPr>
            </w:pPr>
            <w:r>
              <w:rPr>
                <w:rFonts w:hint="eastAsia" w:asciiTheme="minorEastAsia" w:hAnsiTheme="minorEastAsia"/>
                <w:sz w:val="28"/>
                <w:szCs w:val="24"/>
                <w:lang w:val="en-US" w:eastAsia="zh-CN"/>
              </w:rPr>
              <w:t>线上</w:t>
            </w:r>
            <w:r>
              <w:rPr>
                <w:rFonts w:hint="eastAsia" w:asciiTheme="minorEastAsia" w:hAnsiTheme="minorEastAsia"/>
                <w:sz w:val="28"/>
                <w:szCs w:val="24"/>
              </w:rPr>
              <w:t>参与公司202</w:t>
            </w:r>
            <w:r>
              <w:rPr>
                <w:rFonts w:hint="eastAsia" w:asciiTheme="minorEastAsia" w:hAnsiTheme="minorEastAsia"/>
                <w:sz w:val="28"/>
                <w:szCs w:val="24"/>
                <w:lang w:val="en-US" w:eastAsia="zh-CN"/>
              </w:rPr>
              <w:t>6</w:t>
            </w:r>
            <w:r>
              <w:rPr>
                <w:rFonts w:hint="eastAsia" w:asciiTheme="minorEastAsia" w:hAnsiTheme="minorEastAsia"/>
                <w:sz w:val="28"/>
                <w:szCs w:val="24"/>
              </w:rPr>
              <w:t>年</w:t>
            </w:r>
            <w:r>
              <w:rPr>
                <w:rFonts w:hint="eastAsia" w:asciiTheme="minorEastAsia" w:hAnsiTheme="minorEastAsia"/>
                <w:sz w:val="28"/>
                <w:szCs w:val="24"/>
                <w:lang w:val="en-US" w:eastAsia="zh-CN"/>
              </w:rPr>
              <w:t>第三季度业绩</w:t>
            </w:r>
            <w:r>
              <w:rPr>
                <w:rFonts w:hint="eastAsia" w:asciiTheme="minorEastAsia" w:hAnsiTheme="minorEastAsia"/>
                <w:sz w:val="28"/>
                <w:szCs w:val="24"/>
              </w:rPr>
              <w:t>说明会的广大投资者</w:t>
            </w:r>
          </w:p>
        </w:tc>
      </w:tr>
      <w:tr w14:paraId="4867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trPr>
        <w:tc>
          <w:tcPr>
            <w:tcW w:w="1986" w:type="dxa"/>
            <w:vAlign w:val="center"/>
          </w:tcPr>
          <w:p w14:paraId="2C9DD5D5">
            <w:pPr>
              <w:jc w:val="center"/>
              <w:rPr>
                <w:sz w:val="28"/>
              </w:rPr>
            </w:pPr>
            <w:r>
              <w:rPr>
                <w:sz w:val="28"/>
              </w:rPr>
              <w:t>上市公司</w:t>
            </w:r>
          </w:p>
          <w:p w14:paraId="6EDBC833">
            <w:pPr>
              <w:jc w:val="center"/>
              <w:rPr>
                <w:sz w:val="28"/>
              </w:rPr>
            </w:pPr>
            <w:r>
              <w:rPr>
                <w:sz w:val="28"/>
              </w:rPr>
              <w:t>接待人员</w:t>
            </w:r>
          </w:p>
        </w:tc>
        <w:tc>
          <w:tcPr>
            <w:tcW w:w="8363" w:type="dxa"/>
            <w:vAlign w:val="center"/>
          </w:tcPr>
          <w:p w14:paraId="12D40869">
            <w:pPr>
              <w:pStyle w:val="14"/>
              <w:tabs>
                <w:tab w:val="left" w:pos="675"/>
              </w:tabs>
              <w:spacing w:line="312" w:lineRule="auto"/>
              <w:jc w:val="both"/>
              <w:rPr>
                <w:rFonts w:hint="eastAsia" w:asciiTheme="minorEastAsia" w:hAnsiTheme="minorEastAsia" w:eastAsiaTheme="minorEastAsia"/>
                <w:sz w:val="28"/>
                <w:szCs w:val="28"/>
                <w:lang w:eastAsia="zh-CN"/>
              </w:rPr>
            </w:pPr>
            <w:r>
              <w:rPr>
                <w:rFonts w:asciiTheme="minorEastAsia" w:hAnsiTheme="minorEastAsia" w:eastAsiaTheme="minorEastAsia"/>
                <w:sz w:val="28"/>
                <w:szCs w:val="28"/>
              </w:rPr>
              <w:t>董事长：</w:t>
            </w:r>
            <w:r>
              <w:rPr>
                <w:rFonts w:hint="eastAsia" w:asciiTheme="minorEastAsia" w:hAnsiTheme="minorEastAsia" w:eastAsiaTheme="minorEastAsia"/>
                <w:sz w:val="28"/>
                <w:szCs w:val="28"/>
                <w:lang w:val="en-US" w:eastAsia="zh-CN"/>
              </w:rPr>
              <w:t>陈四良</w:t>
            </w:r>
          </w:p>
          <w:p w14:paraId="0E2D3C7B">
            <w:pPr>
              <w:pStyle w:val="14"/>
              <w:tabs>
                <w:tab w:val="left" w:pos="675"/>
              </w:tabs>
              <w:spacing w:line="312" w:lineRule="auto"/>
              <w:jc w:val="both"/>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独立董事：</w:t>
            </w:r>
            <w:r>
              <w:rPr>
                <w:rFonts w:hint="eastAsia" w:asciiTheme="minorEastAsia" w:hAnsiTheme="minorEastAsia" w:eastAsiaTheme="minorEastAsia"/>
                <w:sz w:val="28"/>
                <w:szCs w:val="28"/>
                <w:lang w:val="en-US" w:eastAsia="zh-CN"/>
              </w:rPr>
              <w:t>刘玉敏</w:t>
            </w:r>
          </w:p>
          <w:p w14:paraId="18557BA8">
            <w:pPr>
              <w:pStyle w:val="14"/>
              <w:tabs>
                <w:tab w:val="left" w:pos="675"/>
              </w:tabs>
              <w:spacing w:line="312" w:lineRule="auto"/>
              <w:jc w:val="both"/>
              <w:rPr>
                <w:rFonts w:asciiTheme="minorEastAsia" w:hAnsiTheme="minorEastAsia"/>
                <w:sz w:val="28"/>
                <w:szCs w:val="28"/>
              </w:rPr>
            </w:pPr>
            <w:r>
              <w:rPr>
                <w:rFonts w:asciiTheme="minorEastAsia" w:hAnsiTheme="minorEastAsia"/>
                <w:sz w:val="28"/>
                <w:szCs w:val="28"/>
              </w:rPr>
              <w:t>财务负责人：赵海林</w:t>
            </w:r>
          </w:p>
          <w:p w14:paraId="45E9B442">
            <w:pPr>
              <w:pStyle w:val="14"/>
              <w:tabs>
                <w:tab w:val="left" w:pos="675"/>
              </w:tabs>
              <w:spacing w:line="312" w:lineRule="auto"/>
              <w:jc w:val="both"/>
              <w:rPr>
                <w:rFonts w:hAnsi="宋体"/>
                <w:sz w:val="28"/>
                <w:szCs w:val="28"/>
              </w:rPr>
            </w:pPr>
            <w:r>
              <w:rPr>
                <w:rFonts w:hint="eastAsia" w:asciiTheme="minorEastAsia" w:hAnsiTheme="minorEastAsia"/>
                <w:sz w:val="28"/>
                <w:szCs w:val="28"/>
              </w:rPr>
              <w:t>董事会秘书：李念云</w:t>
            </w:r>
          </w:p>
        </w:tc>
      </w:tr>
      <w:tr w14:paraId="5D3A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vAlign w:val="center"/>
          </w:tcPr>
          <w:p w14:paraId="567A8B3A">
            <w:pPr>
              <w:jc w:val="center"/>
              <w:rPr>
                <w:sz w:val="28"/>
              </w:rPr>
            </w:pPr>
            <w:r>
              <w:rPr>
                <w:sz w:val="28"/>
              </w:rPr>
              <w:t>投资者关系</w:t>
            </w:r>
          </w:p>
          <w:p w14:paraId="0F2E2645">
            <w:pPr>
              <w:jc w:val="center"/>
              <w:rPr>
                <w:sz w:val="28"/>
              </w:rPr>
            </w:pPr>
            <w:r>
              <w:rPr>
                <w:sz w:val="28"/>
              </w:rPr>
              <w:t>活动主要内容</w:t>
            </w:r>
          </w:p>
        </w:tc>
        <w:tc>
          <w:tcPr>
            <w:tcW w:w="8363" w:type="dxa"/>
          </w:tcPr>
          <w:p w14:paraId="24726972">
            <w:pPr>
              <w:ind w:firstLine="562" w:firstLineChars="200"/>
              <w:rPr>
                <w:rFonts w:asciiTheme="minorEastAsia" w:hAnsiTheme="minorEastAsia"/>
                <w:b/>
                <w:sz w:val="28"/>
                <w:szCs w:val="24"/>
              </w:rPr>
            </w:pPr>
            <w:r>
              <w:rPr>
                <w:rFonts w:hint="eastAsia" w:asciiTheme="minorEastAsia" w:hAnsiTheme="minorEastAsia"/>
                <w:b/>
                <w:sz w:val="28"/>
                <w:szCs w:val="24"/>
              </w:rPr>
              <w:t>公司202</w:t>
            </w:r>
            <w:r>
              <w:rPr>
                <w:rFonts w:hint="eastAsia" w:asciiTheme="minorEastAsia" w:hAnsiTheme="minorEastAsia"/>
                <w:b/>
                <w:sz w:val="28"/>
                <w:szCs w:val="24"/>
                <w:lang w:val="en-US" w:eastAsia="zh-CN"/>
              </w:rPr>
              <w:t>6</w:t>
            </w:r>
            <w:r>
              <w:rPr>
                <w:rFonts w:hint="eastAsia" w:asciiTheme="minorEastAsia" w:hAnsiTheme="minorEastAsia"/>
                <w:b/>
                <w:sz w:val="28"/>
                <w:szCs w:val="24"/>
              </w:rPr>
              <w:t>年</w:t>
            </w:r>
            <w:r>
              <w:rPr>
                <w:rFonts w:hint="eastAsia" w:asciiTheme="minorEastAsia" w:hAnsiTheme="minorEastAsia"/>
                <w:b/>
                <w:sz w:val="28"/>
                <w:szCs w:val="24"/>
                <w:lang w:val="en-US" w:eastAsia="zh-CN"/>
              </w:rPr>
              <w:t>第三季度</w:t>
            </w:r>
            <w:r>
              <w:rPr>
                <w:rFonts w:hint="eastAsia" w:asciiTheme="minorEastAsia" w:hAnsiTheme="minorEastAsia"/>
                <w:b/>
                <w:sz w:val="28"/>
                <w:szCs w:val="24"/>
              </w:rPr>
              <w:t>业绩说明会主要就投资者提出的相关问题进行互动和沟通，主要内容如下：</w:t>
            </w:r>
          </w:p>
          <w:p w14:paraId="5AEA219E">
            <w:pPr>
              <w:ind w:firstLine="562" w:firstLineChars="200"/>
              <w:rPr>
                <w:rFonts w:hint="eastAsia" w:asciiTheme="minorEastAsia" w:hAnsiTheme="minorEastAsia" w:eastAsiaTheme="minorEastAsia" w:cstheme="minorBidi"/>
                <w:b/>
                <w:bCs/>
                <w:sz w:val="28"/>
                <w:szCs w:val="24"/>
              </w:rPr>
            </w:pPr>
            <w:r>
              <w:rPr>
                <w:rFonts w:hint="eastAsia" w:asciiTheme="minorEastAsia" w:hAnsiTheme="minorEastAsia" w:eastAsiaTheme="minorEastAsia" w:cstheme="minorBidi"/>
                <w:b/>
                <w:bCs/>
                <w:sz w:val="28"/>
                <w:szCs w:val="24"/>
                <w:lang w:val="en-US" w:eastAsia="zh-CN"/>
              </w:rPr>
              <w:t>1、贵司前三季度药品制剂收入同比下降约31%，同时正探索与江药集团的产业协同。未来丰富中药及大健康产品矩阵时，公司会更侧重整合现有资源，还是考虑通过外部技术合作与产业整合引入新品种</w:t>
            </w:r>
          </w:p>
          <w:p w14:paraId="7F63F705">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 xml:space="preserve">答：尊敬的投资者您好，公司药品制剂业务主要产品受集采执标后价格空间收窄，叠加零售端渠道重塑、医保支付改革及价格体系维护等因素影响，销售收入下降。目前公司与江药集团及其控制的下属子公司保持正常的日常业务往来，双方在产品推广、渠道拓展等方面开展商业合作，进行生脉饮（红参方）、加味藿香正气合剂、清热解毒口服液等双品牌产品的流通推广。 </w:t>
            </w:r>
          </w:p>
          <w:p w14:paraId="1C64129A">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面对市场环境的变化及挑战，公司聚焦重点产品布局和现有资源整合，持续加强渠道管控和院外终端推广，深化提质增效各项措施：一是顺势而为完成集采格局下的产品结构性迭代，实现核心产品多品规矩阵成型的策略性切换。二是推进产品多元布局，以金银花露、加味藿香正气合剂、五子衍宗口服液、生脉饮等为抓手，加速OTC产品线在院外、基层终端等渠道的渗透覆盖，同时加快大健康产品产业化进度，培育新的增长点。三是深化产学研协同，加快双金连合剂新适应症开发、经典名方及同名同方等项目研究进度，推进现有品种工艺改造及探索潜力品种引入，提升复杂品种的产业化承接能力。公司也将持续跟踪市场及行业政策执行情况，动态优化经营策略，增强经营韧性，推动经营表现改善。感谢您对公司的关注！</w:t>
            </w:r>
          </w:p>
          <w:p w14:paraId="3EAF57D7">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2、你公司除了双黄连口服液，还有其他呼吸道药品么？现在流感高发，这些产品卖的怎么样？</w:t>
            </w:r>
          </w:p>
          <w:p w14:paraId="01441E7C">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除双黄连口服液系列产品外，公司独家产品双金连合剂可用于外感风邪感冒引起的发热、疼痛、咳嗽；小儿清热止咳口服液、止咳橘红口服液等产品，具有止咳化痰之功效。请在药师指导下或参照药品说明书使用。公司将持续关注流感季市场需求变化，把握季节性需求窗口，做好生产组织与产销衔接，加大终端动销力度。谢谢您对公司的关注！</w:t>
            </w:r>
          </w:p>
          <w:p w14:paraId="0DCF7A02">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3、公司应收账款和前三季度的经营收入差不多。这么高的应收账款有没有什么风险？公司的回款能力。产品竞争能力这么差吗？怎么解决高额应收账款占用巨额资金的问题。恢复到健康的财务和经营渠道上来。</w:t>
            </w:r>
          </w:p>
          <w:p w14:paraId="4941C1B6">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受集采执标、医保控费及医保支付政策改革等多重因素影响，医疗机构终端结算节奏放缓，传导至上游账期有所拉长，致使客户对公司的结算周期普遍延长，应收账款出现了一定幅度的增长。</w:t>
            </w:r>
            <w:bookmarkStart w:id="0" w:name="_GoBack"/>
            <w:bookmarkEnd w:id="0"/>
          </w:p>
          <w:p w14:paraId="5B14DCC4">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公司持续深化应收账款管理工作，一方面优化医疗客户结构，采用分级分类管理模式，筛选规模较大、信用等级良好的客户进行深入稳定合作；另一方面不断强化全业务板块应收账款精细化管理，压实一线回款责任，常态化开展客户对账与应收款项跟踪，动态监控账期变化，定期对账夯实债权基础，及时识别潜在风险，加大清收力度，多措并举提升应收账款回收效率。谢谢您对公司的关注！</w:t>
            </w:r>
          </w:p>
          <w:p w14:paraId="6DA7035A">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4、新领先自主研发及成果转化业务进展怎么样了？</w:t>
            </w:r>
          </w:p>
          <w:p w14:paraId="4CEA51F1">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新领先围绕有明确临床价值、工艺技术壁垒高、受集采影响小的改良型新药开展自主研发，主要涵盖精神神经系统、心血管及代谢、骨骼肌肉及疼痛管理、眼科、消化系统、泌尿系统等领域的适应症及儿科应用领域，目前自主立项项目均按计划推进；同时，新领先可根据客户需求，提供专业、个性化定制服务，待开发到一定阶段后，将技术成果进行转让。基于行业趋势导向和下游市场环境变化，新领先进一步提高自主立项标准，充分考虑品种市场端商业化效益、竞品申报数量、未满足临床需求强度、工艺技术成熟度等因素强化立项精准度，为后续MAH商业转化巩固基础。谢谢您对公司的关注！</w:t>
            </w:r>
          </w:p>
          <w:p w14:paraId="225928D0">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 xml:space="preserve">5、江西国资委主权批复的进展可以公告一下吗 </w:t>
            </w:r>
          </w:p>
          <w:p w14:paraId="4935798E">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相关事项已于2026年2月取得国家市场监督管理总局出具的《经营者集中反垄断审查不实施进一步审查决定书》。截至目前，公司控制权变更相关事项尚处于有权国资主管部门审批阶段；公司将持续密切关注事项进展情况，严格按照相关法律法规及监管要求，及时履行信息披露义务。上述事项能否取得批准或核准以及最终取得批准或核准的时间均存在不确定性，敬请广大投资者理性投资，注意投资风险。谢谢您对公司的关注。</w:t>
            </w:r>
          </w:p>
          <w:p w14:paraId="3E35E483">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6、领导，您好！我来自四川大决策 请问，公司在中成药尤其是儿童药领域有比较深的积累。想请教今年核心品种的销售情况如何？在基药和医保目录的准入上有没有新进展？</w:t>
            </w:r>
          </w:p>
          <w:p w14:paraId="49434D44">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公司儿童系列产品有双黄连口服液（儿童型）、小儿复方鸡内金咀嚼片、金银花露、小儿清热止咳口服液、小儿退热口服液等，目前公司加强推进对儿科产品线的终端覆盖，进一步提升产品可及率及市场覆盖率。公司产品的销售情况及在基药和医保目录的纳入情况详情请关注公司定期报告和临时公告。感谢您对公司的关注！</w:t>
            </w:r>
          </w:p>
          <w:p w14:paraId="7E7F3A61">
            <w:pPr>
              <w:ind w:firstLine="562"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bCs/>
                <w:sz w:val="28"/>
                <w:szCs w:val="24"/>
                <w:lang w:val="en-US" w:eastAsia="zh-CN"/>
              </w:rPr>
              <w:t>7、公司三季度业绩下滑，接下来有什么规划吗？</w:t>
            </w:r>
          </w:p>
          <w:p w14:paraId="19861FEA">
            <w:pPr>
              <w:ind w:firstLine="560"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sz w:val="28"/>
                <w:szCs w:val="24"/>
              </w:rPr>
              <w:t>答：尊敬的投资者您好，公司将持续围绕医药主业发展主线，聚焦核心业务稳健经营，加强技术资源和战略性资源向业务一线倾斜，推动各板块协同创新与品牌联动。一是药品制剂板块：聚焦OTC产品线，提升连锁终端覆盖与动销效率，拓展即时零售及民营医疗机构渠道；锚定基层医疗市场，强化网点布局与全渠道价格维护；推进核心品种真实世界研究提供循证支撑。二是中药饮片板块：强化核心供应商协同，推动可溯源及GAP基地建设；拓展集采覆盖边界，优化采购成本，推动中标品规放量；深化应收账款管理，加快资金回笼。三是药品研发服务板块：加强高技术壁垒药学研究平台建设，深耕临床刚需、集采壁垒高、竞争格局好、工艺成熟的项目领域，拓展CGT、医美、内分泌等大临床项目经验，增强客户粘性并加快新客户开发，提升精益管理与人均效能，动态优化人才梯队。四是“中药+”大健康：加速日化、消费类及高附加值营养品产品化进程，丰富产品储备，通过专业合作方构建新媒体传播路径，聚焦线上渠道推广，提升品牌C端认知度，打造线上线下融合增长新引擎。感谢您对公司的关注！</w:t>
            </w:r>
          </w:p>
          <w:p w14:paraId="7BE3845B">
            <w:pPr>
              <w:ind w:firstLine="560" w:firstLineChars="200"/>
              <w:rPr>
                <w:rFonts w:hint="eastAsia" w:asciiTheme="minorEastAsia" w:hAnsiTheme="minorEastAsia" w:eastAsiaTheme="minorEastAsia" w:cstheme="minorBidi"/>
                <w:sz w:val="28"/>
                <w:szCs w:val="24"/>
              </w:rPr>
            </w:pPr>
          </w:p>
          <w:p w14:paraId="7F3E13EF">
            <w:pPr>
              <w:ind w:firstLine="562" w:firstLineChars="200"/>
              <w:rPr>
                <w:rFonts w:hint="eastAsia" w:asciiTheme="minorEastAsia" w:hAnsiTheme="minorEastAsia" w:eastAsiaTheme="minorEastAsia" w:cstheme="minorBidi"/>
                <w:sz w:val="28"/>
                <w:szCs w:val="24"/>
              </w:rPr>
            </w:pPr>
            <w:r>
              <w:rPr>
                <w:rFonts w:hint="eastAsia" w:asciiTheme="minorEastAsia" w:hAnsiTheme="minorEastAsia" w:eastAsiaTheme="minorEastAsia" w:cstheme="minorBidi"/>
                <w:b/>
                <w:bCs/>
                <w:sz w:val="28"/>
                <w:szCs w:val="24"/>
              </w:rPr>
              <w:t>温馨提示：</w:t>
            </w:r>
            <w:r>
              <w:rPr>
                <w:rFonts w:hint="eastAsia" w:asciiTheme="minorEastAsia" w:hAnsiTheme="minorEastAsia" w:eastAsiaTheme="minorEastAsia" w:cstheme="minorBidi"/>
                <w:sz w:val="28"/>
                <w:szCs w:val="24"/>
              </w:rPr>
              <w:t>本次说明会中涉及的对外部环境判断、公司发展战略、未来计划及相关事项进展等部分前瞻性陈述，存在不确定性，并非历史事实，不构成公司对投资者的实质承诺，涉及控制权变更相关事项尚需履行相关审批程序，能否获得相关的批准或核准，以及获得相关批准或核准的时间存在不确定性，敬请广大投资者理性投资，注意投资风险。</w:t>
            </w:r>
          </w:p>
        </w:tc>
      </w:tr>
      <w:tr w14:paraId="7879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6" w:type="dxa"/>
            <w:vAlign w:val="center"/>
          </w:tcPr>
          <w:p w14:paraId="20813C1E">
            <w:pPr>
              <w:jc w:val="center"/>
              <w:rPr>
                <w:rFonts w:hint="eastAsia" w:eastAsia="宋体"/>
                <w:sz w:val="28"/>
                <w:lang w:val="en-US" w:eastAsia="zh-CN"/>
              </w:rPr>
            </w:pPr>
            <w:r>
              <w:rPr>
                <w:rFonts w:hint="eastAsia"/>
                <w:sz w:val="28"/>
                <w:lang w:val="en-US" w:eastAsia="zh-CN"/>
              </w:rPr>
              <w:t>附件</w:t>
            </w:r>
          </w:p>
        </w:tc>
        <w:tc>
          <w:tcPr>
            <w:tcW w:w="8363" w:type="dxa"/>
          </w:tcPr>
          <w:p w14:paraId="7FDB2732">
            <w:pPr>
              <w:ind w:firstLine="560" w:firstLineChars="200"/>
              <w:rPr>
                <w:rFonts w:hint="eastAsia" w:asciiTheme="minorEastAsia" w:hAnsiTheme="minorEastAsia" w:eastAsiaTheme="minorEastAsia" w:cstheme="minorBidi"/>
                <w:b/>
                <w:bCs/>
                <w:sz w:val="28"/>
                <w:szCs w:val="24"/>
                <w:lang w:val="en-US" w:eastAsia="zh-CN"/>
              </w:rPr>
            </w:pPr>
            <w:r>
              <w:rPr>
                <w:rFonts w:hint="eastAsia" w:asciiTheme="minorEastAsia" w:hAnsiTheme="minorEastAsia" w:eastAsiaTheme="minorEastAsia" w:cstheme="minorBidi"/>
                <w:b w:val="0"/>
                <w:bCs w:val="0"/>
                <w:sz w:val="28"/>
                <w:szCs w:val="24"/>
                <w:lang w:val="en-US" w:eastAsia="zh-CN"/>
              </w:rPr>
              <w:t>无</w:t>
            </w:r>
          </w:p>
        </w:tc>
      </w:tr>
    </w:tbl>
    <w:p w14:paraId="65E21EBB">
      <w:pPr>
        <w:rPr>
          <w:b/>
          <w:sz w:val="24"/>
        </w:rPr>
      </w:pPr>
      <w:r>
        <w:rPr>
          <w:b/>
          <w:sz w:val="24"/>
        </w:rPr>
        <w:t>（以上活动不涉及应当披露但未披露的重大信息）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5A5"/>
    <w:rsid w:val="000B65A5"/>
    <w:rsid w:val="00632090"/>
    <w:rsid w:val="0066506A"/>
    <w:rsid w:val="00EE2A2B"/>
    <w:rsid w:val="04DC01EC"/>
    <w:rsid w:val="05157BA2"/>
    <w:rsid w:val="0DA6037A"/>
    <w:rsid w:val="0DB77E8F"/>
    <w:rsid w:val="0FEE5277"/>
    <w:rsid w:val="10FF6E3B"/>
    <w:rsid w:val="112C1239"/>
    <w:rsid w:val="193831D1"/>
    <w:rsid w:val="1AFC2F3E"/>
    <w:rsid w:val="1CB564E4"/>
    <w:rsid w:val="26557F83"/>
    <w:rsid w:val="2EED10C4"/>
    <w:rsid w:val="3273368E"/>
    <w:rsid w:val="397B107A"/>
    <w:rsid w:val="3A797201"/>
    <w:rsid w:val="3B1704E7"/>
    <w:rsid w:val="404C46D2"/>
    <w:rsid w:val="41E9396D"/>
    <w:rsid w:val="47797541"/>
    <w:rsid w:val="47D604EF"/>
    <w:rsid w:val="4BF50BE1"/>
    <w:rsid w:val="4C1B1849"/>
    <w:rsid w:val="50940F47"/>
    <w:rsid w:val="510C6D30"/>
    <w:rsid w:val="51F15F26"/>
    <w:rsid w:val="53225BCD"/>
    <w:rsid w:val="54ED0C26"/>
    <w:rsid w:val="55C81CFD"/>
    <w:rsid w:val="5D6C64B2"/>
    <w:rsid w:val="60E24BD7"/>
    <w:rsid w:val="64177492"/>
    <w:rsid w:val="642867C8"/>
    <w:rsid w:val="64D92F75"/>
    <w:rsid w:val="69031368"/>
    <w:rsid w:val="6A4F7FF6"/>
    <w:rsid w:val="6CCB3B50"/>
    <w:rsid w:val="73C20333"/>
    <w:rsid w:val="76487B7B"/>
    <w:rsid w:val="78E21FA1"/>
    <w:rsid w:val="7A543372"/>
    <w:rsid w:val="7E242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99"/>
    <w:pPr>
      <w:jc w:val="left"/>
    </w:pPr>
  </w:style>
  <w:style w:type="paragraph" w:styleId="3">
    <w:name w:val="Body Text"/>
    <w:basedOn w:val="1"/>
    <w:qFormat/>
    <w:uiPriority w:val="0"/>
    <w:pPr>
      <w:widowControl/>
      <w:kinsoku w:val="0"/>
      <w:autoSpaceDE w:val="0"/>
      <w:autoSpaceDN w:val="0"/>
      <w:adjustRightInd w:val="0"/>
      <w:snapToGrid w:val="0"/>
      <w:jc w:val="left"/>
      <w:textAlignment w:val="baseline"/>
    </w:pPr>
    <w:rPr>
      <w:rFonts w:ascii="宋体" w:hAnsi="宋体"/>
      <w:snapToGrid w:val="0"/>
      <w:color w:val="000000"/>
      <w:kern w:val="0"/>
      <w:sz w:val="11"/>
      <w:szCs w:val="11"/>
      <w:lang w:eastAsia="en-US"/>
    </w:rPr>
  </w:style>
  <w:style w:type="paragraph" w:styleId="4">
    <w:name w:val="Balloon Text"/>
    <w:basedOn w:val="1"/>
    <w:link w:val="21"/>
    <w:qFormat/>
    <w:uiPriority w:val="99"/>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3"/>
    <w:qFormat/>
    <w:uiPriority w:val="99"/>
    <w:rPr>
      <w:rFonts w:ascii="Courier New" w:hAnsi="Courier New" w:cs="Courier New"/>
      <w:sz w:val="20"/>
      <w:szCs w:val="20"/>
    </w:rPr>
  </w:style>
  <w:style w:type="paragraph" w:styleId="8">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9">
    <w:name w:val="annotation subject"/>
    <w:basedOn w:val="2"/>
    <w:next w:val="2"/>
    <w:link w:val="19"/>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99"/>
    <w:rPr>
      <w:sz w:val="21"/>
      <w:szCs w:val="21"/>
    </w:rPr>
  </w:style>
  <w:style w:type="paragraph" w:customStyle="1" w:styleId="1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页眉 Char"/>
    <w:basedOn w:val="12"/>
    <w:link w:val="6"/>
    <w:qFormat/>
    <w:uiPriority w:val="99"/>
    <w:rPr>
      <w:sz w:val="18"/>
      <w:szCs w:val="18"/>
    </w:rPr>
  </w:style>
  <w:style w:type="character" w:customStyle="1" w:styleId="17">
    <w:name w:val="页脚 Char"/>
    <w:basedOn w:val="12"/>
    <w:link w:val="5"/>
    <w:qFormat/>
    <w:uiPriority w:val="99"/>
    <w:rPr>
      <w:sz w:val="18"/>
      <w:szCs w:val="18"/>
    </w:rPr>
  </w:style>
  <w:style w:type="character" w:customStyle="1" w:styleId="18">
    <w:name w:val="批注文字 Char"/>
    <w:basedOn w:val="12"/>
    <w:link w:val="2"/>
    <w:qFormat/>
    <w:uiPriority w:val="99"/>
    <w:rPr>
      <w:rFonts w:ascii="Calibri" w:hAnsi="Calibri" w:eastAsia="宋体" w:cs="宋体"/>
      <w:kern w:val="2"/>
      <w:sz w:val="21"/>
      <w:szCs w:val="22"/>
    </w:rPr>
  </w:style>
  <w:style w:type="character" w:customStyle="1" w:styleId="19">
    <w:name w:val="批注主题 Char"/>
    <w:basedOn w:val="18"/>
    <w:link w:val="9"/>
    <w:qFormat/>
    <w:uiPriority w:val="99"/>
    <w:rPr>
      <w:rFonts w:ascii="Calibri" w:hAnsi="Calibri" w:eastAsia="宋体" w:cs="宋体"/>
      <w:b/>
      <w:bCs/>
      <w:kern w:val="2"/>
      <w:sz w:val="21"/>
      <w:szCs w:val="22"/>
    </w:rPr>
  </w:style>
  <w:style w:type="paragraph" w:customStyle="1" w:styleId="20">
    <w:name w:val="修订1"/>
    <w:qFormat/>
    <w:uiPriority w:val="99"/>
    <w:rPr>
      <w:rFonts w:ascii="Calibri" w:hAnsi="Calibri" w:eastAsia="宋体" w:cs="宋体"/>
      <w:kern w:val="2"/>
      <w:sz w:val="21"/>
      <w:szCs w:val="22"/>
      <w:lang w:val="en-US" w:eastAsia="zh-CN" w:bidi="ar-SA"/>
    </w:rPr>
  </w:style>
  <w:style w:type="character" w:customStyle="1" w:styleId="21">
    <w:name w:val="批注框文本 Char"/>
    <w:basedOn w:val="12"/>
    <w:link w:val="4"/>
    <w:qFormat/>
    <w:uiPriority w:val="99"/>
    <w:rPr>
      <w:rFonts w:ascii="Calibri" w:hAnsi="Calibri" w:eastAsia="宋体" w:cs="宋体"/>
      <w:kern w:val="2"/>
      <w:sz w:val="18"/>
      <w:szCs w:val="18"/>
    </w:rPr>
  </w:style>
  <w:style w:type="character" w:customStyle="1" w:styleId="22">
    <w:name w:val="highlight"/>
    <w:basedOn w:val="12"/>
    <w:qFormat/>
    <w:uiPriority w:val="0"/>
  </w:style>
  <w:style w:type="character" w:customStyle="1" w:styleId="23">
    <w:name w:val="HTML 预设格式 Char"/>
    <w:basedOn w:val="12"/>
    <w:link w:val="7"/>
    <w:qFormat/>
    <w:uiPriority w:val="99"/>
    <w:rPr>
      <w:rFonts w:ascii="Courier New" w:hAnsi="Courier New" w:eastAsia="宋体" w:cs="Courier New"/>
      <w:kern w:val="2"/>
    </w:rPr>
  </w:style>
  <w:style w:type="paragraph" w:styleId="24">
    <w:name w:val="No Spacing"/>
    <w:qFormat/>
    <w:uiPriority w:val="1"/>
    <w:pPr>
      <w:widowControl w:val="0"/>
    </w:pPr>
    <w:rPr>
      <w:rFonts w:ascii="Calibri" w:hAnsi="Calibri" w:eastAsia="宋体" w:cs="宋体"/>
      <w:kern w:val="2"/>
      <w:sz w:val="22"/>
      <w:szCs w:val="24"/>
      <w:lang w:val="en-US" w:eastAsia="zh-CN" w:bidi="ar-SA"/>
      <w14:ligatures w14:val="standardContextual"/>
    </w:rPr>
  </w:style>
  <w:style w:type="paragraph" w:customStyle="1" w:styleId="25">
    <w:name w:val="修订2"/>
    <w:qFormat/>
    <w:uiPriority w:val="99"/>
    <w:rPr>
      <w:rFonts w:ascii="Calibri" w:hAnsi="Calibri" w:eastAsia="宋体" w:cs="宋体"/>
      <w:kern w:val="2"/>
      <w:sz w:val="21"/>
      <w:szCs w:val="22"/>
      <w:lang w:val="en-US" w:eastAsia="zh-CN" w:bidi="ar-SA"/>
    </w:rPr>
  </w:style>
  <w:style w:type="paragraph" w:customStyle="1" w:styleId="26">
    <w:name w:val="Revision"/>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4A63F-1677-4FD5-9BBB-7B48622E60E5}">
  <ds:schemaRefs/>
</ds:datastoreItem>
</file>

<file path=docProps/app.xml><?xml version="1.0" encoding="utf-8"?>
<Properties xmlns="http://schemas.openxmlformats.org/officeDocument/2006/extended-properties" xmlns:vt="http://schemas.openxmlformats.org/officeDocument/2006/docPropsVTypes">
  <Template>Normal</Template>
  <Pages>6</Pages>
  <Words>2803</Words>
  <Characters>2878</Characters>
  <Lines>46</Lines>
  <Paragraphs>13</Paragraphs>
  <TotalTime>1077</TotalTime>
  <ScaleCrop>false</ScaleCrop>
  <LinksUpToDate>false</LinksUpToDate>
  <CharactersWithSpaces>2953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2025-12-18T01:37:00Z</dcterms:created>
  <dc:creator>Microsoft 帐户</dc:creator>
  <cp:lastModifiedBy>吉思凡</cp:lastModifiedBy>
  <dcterms:modified xsi:type="dcterms:W3CDTF">2026-11-06T00:40:00Z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B9925C5EA23C4609BA2D33FF3A8FC87C_13</vt:lpwstr>
  </property>
  <property fmtid="{D5CDD505-2E9C-101B-9397-08002B2CF9AE}" pid="4" name="KSOTemplateDocerSaveRecord">
    <vt:lpwstr>eyJoZGlkIjoiOWFhZDYyNGQxODg3ZDc2MzQ4MTdiZDJkNGQ1M2EwY2IiLCJ1c2VySWQiOiI1MTEwMDg4MzcifQ==</vt:lpwstr>
  </property>
</Properties>
</file>