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AECFB" w14:textId="77777777" w:rsidR="00481CDC" w:rsidRDefault="009A3B2C">
      <w:pPr>
        <w:spacing w:line="360" w:lineRule="auto"/>
        <w:jc w:val="distribute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证券代码：688819                                    证券简称：天能股份</w:t>
      </w:r>
    </w:p>
    <w:p w14:paraId="6472466D" w14:textId="77777777" w:rsidR="00481CDC" w:rsidRDefault="009A3B2C">
      <w:pPr>
        <w:spacing w:line="720" w:lineRule="auto"/>
        <w:jc w:val="center"/>
        <w:rPr>
          <w:rFonts w:ascii="华文中宋" w:eastAsia="华文中宋" w:hAnsi="华文中宋" w:cs="Arial"/>
          <w:b/>
          <w:sz w:val="32"/>
          <w:szCs w:val="24"/>
        </w:rPr>
      </w:pPr>
      <w:r>
        <w:rPr>
          <w:rFonts w:ascii="华文中宋" w:eastAsia="华文中宋" w:hAnsi="华文中宋" w:cs="Arial" w:hint="eastAsia"/>
          <w:b/>
          <w:sz w:val="32"/>
          <w:szCs w:val="24"/>
        </w:rPr>
        <w:t>天能电池集团股份有限公司投资者关系活动记录表</w:t>
      </w:r>
    </w:p>
    <w:p w14:paraId="0F04BD5C" w14:textId="262F7BD1" w:rsidR="00481CDC" w:rsidRDefault="009A3B2C">
      <w:pPr>
        <w:spacing w:line="360" w:lineRule="auto"/>
        <w:jc w:val="right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编号：202</w:t>
      </w:r>
      <w:r w:rsidR="008F42BD">
        <w:rPr>
          <w:rFonts w:ascii="宋体" w:eastAsia="宋体" w:hAnsi="宋体" w:cs="Arial"/>
          <w:sz w:val="24"/>
          <w:szCs w:val="24"/>
        </w:rPr>
        <w:t>4</w:t>
      </w:r>
      <w:r>
        <w:rPr>
          <w:rFonts w:ascii="宋体" w:eastAsia="宋体" w:hAnsi="宋体" w:cs="Arial" w:hint="eastAsia"/>
          <w:sz w:val="24"/>
          <w:szCs w:val="24"/>
        </w:rPr>
        <w:t>-00</w:t>
      </w:r>
      <w:r w:rsidR="009906C2">
        <w:rPr>
          <w:rFonts w:ascii="宋体" w:eastAsia="宋体" w:hAnsi="宋体" w:cs="Arial"/>
          <w:sz w:val="24"/>
          <w:szCs w:val="24"/>
        </w:rPr>
        <w:t>4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024"/>
      </w:tblGrid>
      <w:tr w:rsidR="00481CDC" w:rsidRPr="00D41C01" w14:paraId="3EE929FB" w14:textId="77777777" w:rsidTr="00FC1ADB">
        <w:trPr>
          <w:jc w:val="center"/>
        </w:trPr>
        <w:tc>
          <w:tcPr>
            <w:tcW w:w="1696" w:type="dxa"/>
            <w:vAlign w:val="center"/>
          </w:tcPr>
          <w:p w14:paraId="43E12C44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024" w:type="dxa"/>
            <w:vAlign w:val="center"/>
          </w:tcPr>
          <w:p w14:paraId="306C0F3C" w14:textId="715183D3" w:rsidR="00481CDC" w:rsidRPr="00D41C01" w:rsidRDefault="007F6B97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9A3B2C" w:rsidRPr="00D41C01">
              <w:rPr>
                <w:rFonts w:ascii="宋体" w:eastAsia="宋体" w:hAnsi="宋体" w:cs="Arial" w:hint="eastAsia"/>
                <w:sz w:val="24"/>
                <w:szCs w:val="24"/>
              </w:rPr>
              <w:t xml:space="preserve">特定对象调研         </w:t>
            </w: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9A3B2C" w:rsidRPr="00D41C01">
              <w:rPr>
                <w:rFonts w:ascii="宋体" w:eastAsia="宋体" w:hAnsi="宋体" w:cs="Arial" w:hint="eastAsia"/>
                <w:sz w:val="24"/>
                <w:szCs w:val="24"/>
              </w:rPr>
              <w:t>分析师会议</w:t>
            </w:r>
          </w:p>
          <w:p w14:paraId="3C91452B" w14:textId="1A9D2763" w:rsidR="00481CDC" w:rsidRPr="00D41C01" w:rsidRDefault="009A3B2C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 xml:space="preserve">□媒体采访             </w:t>
            </w:r>
            <w:r w:rsidR="00DF3974" w:rsidRPr="00D41C01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业绩说明会</w:t>
            </w:r>
          </w:p>
          <w:p w14:paraId="2C174A54" w14:textId="1C779ED9" w:rsidR="00481CDC" w:rsidRPr="00D41C01" w:rsidRDefault="009A3B2C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 xml:space="preserve">□新闻发布会           </w:t>
            </w:r>
            <w:r w:rsidR="009906C2" w:rsidRPr="00D41C01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路演活动</w:t>
            </w:r>
          </w:p>
          <w:p w14:paraId="148B4BD7" w14:textId="46E57FDD" w:rsidR="00481CDC" w:rsidRPr="00D41C01" w:rsidRDefault="009906C2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sym w:font="Wingdings 2" w:char="F052"/>
            </w:r>
            <w:r w:rsidR="009A3B2C" w:rsidRPr="00D41C01">
              <w:rPr>
                <w:rFonts w:ascii="宋体" w:eastAsia="宋体" w:hAnsi="宋体" w:cs="Arial" w:hint="eastAsia"/>
                <w:sz w:val="24"/>
                <w:szCs w:val="24"/>
              </w:rPr>
              <w:t xml:space="preserve">现场参观          </w:t>
            </w:r>
            <w:r w:rsidR="009A3B2C" w:rsidRPr="00D41C01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="009A3B2C" w:rsidRPr="00D41C01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="00396270" w:rsidRPr="00D41C01">
              <w:rPr>
                <w:rFonts w:ascii="宋体" w:eastAsia="宋体" w:hAnsi="宋体" w:cs="Arial" w:hint="eastAsia"/>
                <w:sz w:val="24"/>
                <w:szCs w:val="24"/>
              </w:rPr>
              <w:sym w:font="Wingdings 2" w:char="F052"/>
            </w:r>
            <w:r w:rsidR="009A3B2C" w:rsidRPr="00D41C01">
              <w:rPr>
                <w:rFonts w:ascii="宋体" w:eastAsia="宋体" w:hAnsi="宋体" w:cs="Arial" w:hint="eastAsia"/>
                <w:sz w:val="24"/>
                <w:szCs w:val="24"/>
              </w:rPr>
              <w:t>其他</w:t>
            </w:r>
            <w:r w:rsidR="00353763">
              <w:rPr>
                <w:rFonts w:ascii="宋体" w:eastAsia="宋体" w:hAnsi="宋体" w:cs="Arial" w:hint="eastAsia"/>
                <w:sz w:val="24"/>
                <w:szCs w:val="24"/>
              </w:rPr>
              <w:t>（电话会议）</w:t>
            </w:r>
          </w:p>
        </w:tc>
      </w:tr>
      <w:tr w:rsidR="00481CDC" w:rsidRPr="00D41C01" w14:paraId="2CEB4A64" w14:textId="77777777" w:rsidTr="00FC1ADB">
        <w:trPr>
          <w:jc w:val="center"/>
        </w:trPr>
        <w:tc>
          <w:tcPr>
            <w:tcW w:w="1696" w:type="dxa"/>
            <w:vAlign w:val="center"/>
          </w:tcPr>
          <w:p w14:paraId="11FC68D7" w14:textId="2D7509E5" w:rsidR="00481CDC" w:rsidRPr="00D41C01" w:rsidRDefault="009A3B2C" w:rsidP="008006DB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024" w:type="dxa"/>
            <w:vAlign w:val="center"/>
          </w:tcPr>
          <w:p w14:paraId="346BF6E4" w14:textId="13839C1F" w:rsidR="0031791D" w:rsidRPr="00D41C01" w:rsidRDefault="009906C2" w:rsidP="008F42BD">
            <w:pPr>
              <w:spacing w:line="276" w:lineRule="auto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富国基金、</w:t>
            </w:r>
            <w:r w:rsidRPr="009906C2">
              <w:rPr>
                <w:rFonts w:ascii="宋体" w:eastAsia="宋体" w:hAnsi="宋体" w:cs="Arial" w:hint="eastAsia"/>
                <w:b/>
                <w:sz w:val="24"/>
                <w:szCs w:val="24"/>
              </w:rPr>
              <w:t>誉辉资本</w:t>
            </w:r>
            <w:r w:rsidR="00DB18B7">
              <w:rPr>
                <w:rFonts w:ascii="宋体" w:eastAsia="宋体" w:hAnsi="宋体" w:cs="Arial" w:hint="eastAsia"/>
                <w:b/>
                <w:sz w:val="24"/>
                <w:szCs w:val="24"/>
              </w:rPr>
              <w:t>等</w:t>
            </w:r>
          </w:p>
        </w:tc>
      </w:tr>
      <w:tr w:rsidR="00481CDC" w:rsidRPr="00D41C01" w14:paraId="46373F3E" w14:textId="77777777" w:rsidTr="00FC1ADB">
        <w:trPr>
          <w:jc w:val="center"/>
        </w:trPr>
        <w:tc>
          <w:tcPr>
            <w:tcW w:w="1696" w:type="dxa"/>
            <w:vAlign w:val="center"/>
          </w:tcPr>
          <w:p w14:paraId="5991B5B1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24" w:type="dxa"/>
            <w:vAlign w:val="center"/>
          </w:tcPr>
          <w:p w14:paraId="45F43F90" w14:textId="6D83EA9F" w:rsidR="00481CDC" w:rsidRPr="00D41C01" w:rsidRDefault="00E10992" w:rsidP="009906C2">
            <w:pPr>
              <w:spacing w:line="276" w:lineRule="auto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/>
                <w:b/>
                <w:sz w:val="24"/>
                <w:szCs w:val="24"/>
              </w:rPr>
              <w:t>202</w:t>
            </w:r>
            <w:r w:rsidR="008F42BD">
              <w:rPr>
                <w:rFonts w:ascii="宋体" w:eastAsia="宋体" w:hAnsi="宋体" w:cs="Arial"/>
                <w:b/>
                <w:sz w:val="24"/>
                <w:szCs w:val="24"/>
              </w:rPr>
              <w:t>4</w:t>
            </w: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年</w:t>
            </w:r>
            <w:r w:rsidR="009906C2">
              <w:rPr>
                <w:rFonts w:ascii="宋体" w:eastAsia="宋体" w:hAnsi="宋体" w:cs="Arial"/>
                <w:b/>
                <w:sz w:val="24"/>
                <w:szCs w:val="24"/>
              </w:rPr>
              <w:t>7</w:t>
            </w: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月</w:t>
            </w:r>
            <w:r w:rsidR="009906C2">
              <w:rPr>
                <w:rFonts w:ascii="宋体" w:eastAsia="宋体" w:hAnsi="宋体" w:cs="Arial"/>
                <w:b/>
                <w:sz w:val="24"/>
                <w:szCs w:val="24"/>
              </w:rPr>
              <w:t>10</w:t>
            </w: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日-</w:t>
            </w:r>
            <w:r w:rsidR="00875460" w:rsidRPr="00D41C01">
              <w:rPr>
                <w:rFonts w:ascii="宋体" w:eastAsia="宋体" w:hAnsi="宋体" w:cs="Arial"/>
                <w:b/>
                <w:sz w:val="24"/>
                <w:szCs w:val="24"/>
              </w:rPr>
              <w:t>202</w:t>
            </w:r>
            <w:r w:rsidR="008F42BD">
              <w:rPr>
                <w:rFonts w:ascii="宋体" w:eastAsia="宋体" w:hAnsi="宋体" w:cs="Arial"/>
                <w:b/>
                <w:sz w:val="24"/>
                <w:szCs w:val="24"/>
              </w:rPr>
              <w:t>4</w:t>
            </w:r>
            <w:r w:rsidR="00875460"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年</w:t>
            </w:r>
            <w:r w:rsidR="009906C2">
              <w:rPr>
                <w:rFonts w:ascii="宋体" w:eastAsia="宋体" w:hAnsi="宋体" w:cs="Arial"/>
                <w:b/>
                <w:sz w:val="24"/>
                <w:szCs w:val="24"/>
              </w:rPr>
              <w:t>7</w:t>
            </w:r>
            <w:r w:rsidR="00450986"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月</w:t>
            </w:r>
            <w:r w:rsidR="009906C2">
              <w:rPr>
                <w:rFonts w:ascii="宋体" w:eastAsia="宋体" w:hAnsi="宋体" w:cs="Arial"/>
                <w:b/>
                <w:sz w:val="24"/>
                <w:szCs w:val="24"/>
              </w:rPr>
              <w:t>15</w:t>
            </w:r>
            <w:r w:rsidR="00450986"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日</w:t>
            </w:r>
          </w:p>
        </w:tc>
      </w:tr>
      <w:tr w:rsidR="00481CDC" w:rsidRPr="00D41C01" w14:paraId="0F8E68E7" w14:textId="77777777" w:rsidTr="00FC1ADB">
        <w:trPr>
          <w:jc w:val="center"/>
        </w:trPr>
        <w:tc>
          <w:tcPr>
            <w:tcW w:w="1696" w:type="dxa"/>
            <w:vAlign w:val="center"/>
          </w:tcPr>
          <w:p w14:paraId="508215BF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024" w:type="dxa"/>
            <w:vAlign w:val="center"/>
          </w:tcPr>
          <w:p w14:paraId="298933A1" w14:textId="41E7F55E" w:rsidR="00481CDC" w:rsidRPr="00D41C01" w:rsidRDefault="009906C2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/>
                <w:sz w:val="24"/>
                <w:szCs w:val="24"/>
              </w:rPr>
              <w:t>1</w:t>
            </w:r>
            <w:r w:rsidR="00E10992" w:rsidRPr="00D41C01">
              <w:rPr>
                <w:rFonts w:ascii="宋体" w:eastAsia="宋体" w:hAnsi="宋体" w:cs="Arial" w:hint="eastAsia"/>
                <w:sz w:val="24"/>
                <w:szCs w:val="24"/>
              </w:rPr>
              <w:t>）</w:t>
            </w:r>
            <w:r w:rsidR="00705443" w:rsidRPr="00D41C01">
              <w:rPr>
                <w:rFonts w:ascii="宋体" w:eastAsia="宋体" w:hAnsi="宋体" w:cs="Arial" w:hint="eastAsia"/>
                <w:sz w:val="24"/>
                <w:szCs w:val="24"/>
              </w:rPr>
              <w:t>公司会议室</w:t>
            </w:r>
          </w:p>
        </w:tc>
      </w:tr>
      <w:tr w:rsidR="00481CDC" w:rsidRPr="00FB42C6" w14:paraId="7427EC02" w14:textId="77777777" w:rsidTr="00FC1ADB">
        <w:trPr>
          <w:jc w:val="center"/>
        </w:trPr>
        <w:tc>
          <w:tcPr>
            <w:tcW w:w="1696" w:type="dxa"/>
            <w:vAlign w:val="center"/>
          </w:tcPr>
          <w:p w14:paraId="655B2F59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7024" w:type="dxa"/>
            <w:vAlign w:val="center"/>
          </w:tcPr>
          <w:p w14:paraId="1DFCFEBB" w14:textId="5EAF16CF" w:rsidR="00FC0B90" w:rsidRPr="00D41C01" w:rsidRDefault="00FB42C6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董事、财务总监兼董事会秘书胡敏翔先生</w:t>
            </w:r>
          </w:p>
          <w:p w14:paraId="6D626E21" w14:textId="36FBAA4E" w:rsidR="00FC0B90" w:rsidRPr="00D41C01" w:rsidRDefault="009A3B2C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证券事务代表佘芳蕾女士</w:t>
            </w:r>
          </w:p>
        </w:tc>
      </w:tr>
      <w:tr w:rsidR="00481CDC" w:rsidRPr="00D41C01" w14:paraId="504D2AE2" w14:textId="77777777" w:rsidTr="00FC1ADB">
        <w:trPr>
          <w:jc w:val="center"/>
        </w:trPr>
        <w:tc>
          <w:tcPr>
            <w:tcW w:w="1696" w:type="dxa"/>
            <w:vAlign w:val="center"/>
          </w:tcPr>
          <w:p w14:paraId="3A960B07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024" w:type="dxa"/>
            <w:vAlign w:val="center"/>
          </w:tcPr>
          <w:p w14:paraId="286B8786" w14:textId="0B6647F8" w:rsidR="009906C2" w:rsidRPr="00CC29D3" w:rsidRDefault="009906C2" w:rsidP="009906C2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1: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 xml:space="preserve"> 公司2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024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年一季度业绩下滑的主要原因？公司二季度及半年度业绩</w:t>
            </w:r>
            <w:r w:rsidR="00635BA5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情况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？</w:t>
            </w:r>
          </w:p>
          <w:p w14:paraId="25C8466C" w14:textId="23843105" w:rsidR="009906C2" w:rsidRDefault="009906C2" w:rsidP="0063018E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="005D570A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="005D570A" w:rsidRPr="005D570A">
              <w:rPr>
                <w:rFonts w:ascii="宋体" w:eastAsia="宋体" w:hAnsi="宋体"/>
                <w:bCs/>
                <w:sz w:val="24"/>
                <w:szCs w:val="24"/>
              </w:rPr>
              <w:t>2024年第一季度，公司营业收入和净利润较去年同期有所下降，主要原因如下：</w:t>
            </w:r>
            <w:r w:rsidR="005D570A">
              <w:rPr>
                <w:rFonts w:ascii="宋体" w:eastAsia="宋体" w:hAnsi="宋体" w:hint="eastAsia"/>
                <w:bCs/>
                <w:sz w:val="24"/>
                <w:szCs w:val="24"/>
              </w:rPr>
              <w:t>1）2</w:t>
            </w:r>
            <w:r w:rsidR="005D570A" w:rsidRPr="005D570A">
              <w:rPr>
                <w:rFonts w:ascii="宋体" w:eastAsia="宋体" w:hAnsi="宋体"/>
                <w:bCs/>
                <w:sz w:val="24"/>
                <w:szCs w:val="24"/>
              </w:rPr>
              <w:t>022年第四季度</w:t>
            </w:r>
            <w:r w:rsidR="005D570A">
              <w:rPr>
                <w:rFonts w:ascii="宋体" w:eastAsia="宋体" w:hAnsi="宋体" w:hint="eastAsia"/>
                <w:bCs/>
                <w:sz w:val="24"/>
                <w:szCs w:val="24"/>
              </w:rPr>
              <w:t>因公共卫生事件影响，</w:t>
            </w:r>
            <w:r w:rsidR="005D570A" w:rsidRPr="005D570A">
              <w:rPr>
                <w:rFonts w:ascii="宋体" w:eastAsia="宋体" w:hAnsi="宋体"/>
                <w:bCs/>
                <w:sz w:val="24"/>
                <w:szCs w:val="24"/>
              </w:rPr>
              <w:t>需求集中</w:t>
            </w:r>
            <w:r w:rsidR="005D570A">
              <w:rPr>
                <w:rFonts w:ascii="宋体" w:eastAsia="宋体" w:hAnsi="宋体" w:hint="eastAsia"/>
                <w:bCs/>
                <w:sz w:val="24"/>
                <w:szCs w:val="24"/>
              </w:rPr>
              <w:t>在2</w:t>
            </w:r>
            <w:r w:rsidR="005D570A">
              <w:rPr>
                <w:rFonts w:ascii="宋体" w:eastAsia="宋体" w:hAnsi="宋体"/>
                <w:bCs/>
                <w:sz w:val="24"/>
                <w:szCs w:val="24"/>
              </w:rPr>
              <w:t>023</w:t>
            </w:r>
            <w:r w:rsidR="005D570A">
              <w:rPr>
                <w:rFonts w:ascii="宋体" w:eastAsia="宋体" w:hAnsi="宋体" w:hint="eastAsia"/>
                <w:bCs/>
                <w:sz w:val="24"/>
                <w:szCs w:val="24"/>
              </w:rPr>
              <w:t>年一季度</w:t>
            </w:r>
            <w:r w:rsidR="005D570A" w:rsidRPr="005D570A">
              <w:rPr>
                <w:rFonts w:ascii="宋体" w:eastAsia="宋体" w:hAnsi="宋体"/>
                <w:bCs/>
                <w:sz w:val="24"/>
                <w:szCs w:val="24"/>
              </w:rPr>
              <w:t>释放</w:t>
            </w:r>
            <w:r w:rsidR="005D570A">
              <w:rPr>
                <w:rFonts w:ascii="宋体" w:eastAsia="宋体" w:hAnsi="宋体" w:hint="eastAsia"/>
                <w:bCs/>
                <w:sz w:val="24"/>
                <w:szCs w:val="24"/>
              </w:rPr>
              <w:t>，因此</w:t>
            </w:r>
            <w:r w:rsidR="005D570A" w:rsidRPr="005D570A">
              <w:rPr>
                <w:rFonts w:ascii="宋体" w:eastAsia="宋体" w:hAnsi="宋体"/>
                <w:bCs/>
                <w:sz w:val="24"/>
                <w:szCs w:val="24"/>
              </w:rPr>
              <w:t>2023年第一季度业绩表现强劲。相比之下，2024年第一季度回归至正常销售水平，导致销量较去年同期有所下降。</w:t>
            </w:r>
            <w:r w:rsidR="005D570A">
              <w:rPr>
                <w:rFonts w:ascii="宋体" w:eastAsia="宋体" w:hAnsi="宋体" w:hint="eastAsia"/>
                <w:bCs/>
                <w:sz w:val="24"/>
                <w:szCs w:val="24"/>
              </w:rPr>
              <w:t>2）</w:t>
            </w:r>
            <w:r w:rsidR="005D570A" w:rsidRPr="005D570A">
              <w:rPr>
                <w:rFonts w:ascii="宋体" w:eastAsia="宋体" w:hAnsi="宋体"/>
                <w:bCs/>
                <w:sz w:val="24"/>
                <w:szCs w:val="24"/>
              </w:rPr>
              <w:t>2024年第一季度，公司铅蓄电池的主要原材料——铅的价格大幅上涨，这在成本端对公司的盈利能力造成了压力。</w:t>
            </w:r>
            <w:r w:rsidR="005D570A">
              <w:rPr>
                <w:rFonts w:ascii="宋体" w:eastAsia="宋体" w:hAnsi="宋体" w:hint="eastAsia"/>
                <w:bCs/>
                <w:sz w:val="24"/>
                <w:szCs w:val="24"/>
              </w:rPr>
              <w:t>但</w:t>
            </w:r>
            <w:r w:rsidR="005D570A" w:rsidRPr="005D570A">
              <w:rPr>
                <w:rFonts w:ascii="宋体" w:eastAsia="宋体" w:hAnsi="宋体" w:hint="eastAsia"/>
                <w:bCs/>
                <w:sz w:val="24"/>
                <w:szCs w:val="24"/>
              </w:rPr>
              <w:t>为了持续扩大市场份额，公司在</w:t>
            </w:r>
            <w:r w:rsidR="005D570A" w:rsidRPr="005D570A">
              <w:rPr>
                <w:rFonts w:ascii="宋体" w:eastAsia="宋体" w:hAnsi="宋体"/>
                <w:bCs/>
                <w:sz w:val="24"/>
                <w:szCs w:val="24"/>
              </w:rPr>
              <w:t>2024年第一季度并未对铅蓄电池的售价进行相应的价格调整，以保持产品在市场上的竞争力。</w:t>
            </w:r>
            <w:r w:rsidR="005D570A" w:rsidRPr="005D570A">
              <w:rPr>
                <w:rFonts w:ascii="宋体" w:eastAsia="宋体" w:hAnsi="宋体" w:hint="eastAsia"/>
                <w:bCs/>
                <w:sz w:val="24"/>
                <w:szCs w:val="24"/>
              </w:rPr>
              <w:t>这些因素共同作用，导致了</w:t>
            </w:r>
            <w:r w:rsidR="005D570A" w:rsidRPr="005D570A">
              <w:rPr>
                <w:rFonts w:ascii="宋体" w:eastAsia="宋体" w:hAnsi="宋体"/>
                <w:bCs/>
                <w:sz w:val="24"/>
                <w:szCs w:val="24"/>
              </w:rPr>
              <w:t>2024年第一季度业绩的同比下降。</w:t>
            </w:r>
          </w:p>
          <w:p w14:paraId="6A0CF237" w14:textId="70A90DE1" w:rsidR="004C66A3" w:rsidRPr="004C66A3" w:rsidRDefault="0063018E" w:rsidP="004C66A3">
            <w:pPr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3018E">
              <w:rPr>
                <w:rFonts w:ascii="宋体" w:eastAsia="宋体" w:hAnsi="宋体" w:hint="eastAsia"/>
                <w:bCs/>
                <w:sz w:val="24"/>
                <w:szCs w:val="24"/>
              </w:rPr>
              <w:t>在第二季度，公司采取了一系列价格调整措施，以应对原材料成本的上涨。我们对不同型号的产品实施了差异化的涨价策略，以合理地传导成本压力至市场。</w:t>
            </w:r>
            <w:r w:rsidR="004C66A3" w:rsidRPr="004C66A3">
              <w:rPr>
                <w:rFonts w:ascii="宋体" w:eastAsia="宋体" w:hAnsi="宋体" w:hint="eastAsia"/>
                <w:bCs/>
                <w:sz w:val="24"/>
                <w:szCs w:val="24"/>
              </w:rPr>
              <w:t>二季度，公司经营情况向好，整体业绩得到修复</w:t>
            </w:r>
            <w:r w:rsidR="003B2517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5D05FFEE" w14:textId="77777777" w:rsidR="0063018E" w:rsidRDefault="0063018E" w:rsidP="0063018E">
            <w:pPr>
              <w:spacing w:line="276" w:lineRule="auto"/>
              <w:ind w:firstLine="480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</w:p>
          <w:p w14:paraId="29BD1C68" w14:textId="597DC80B" w:rsidR="009906C2" w:rsidRDefault="00E01AE7" w:rsidP="00D41C01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 w:rsidR="009906C2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</w:t>
            </w:r>
            <w:r w:rsidR="009906C2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铅价持续上涨，对公司的业绩影响？</w:t>
            </w:r>
          </w:p>
          <w:p w14:paraId="7087DD8E" w14:textId="1BB30532" w:rsidR="009906C2" w:rsidRDefault="009906C2" w:rsidP="004C66A3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A2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="004C66A3" w:rsidRPr="004C66A3">
              <w:rPr>
                <w:rFonts w:ascii="宋体" w:eastAsia="宋体" w:hAnsi="宋体" w:hint="eastAsia"/>
                <w:bCs/>
                <w:sz w:val="24"/>
                <w:szCs w:val="24"/>
              </w:rPr>
              <w:t>今年以来，铅价经历了显著的上涨趋势，目前价格稳定在每吨约</w:t>
            </w:r>
            <w:r w:rsidR="004C66A3" w:rsidRPr="004C66A3">
              <w:rPr>
                <w:rFonts w:ascii="宋体" w:eastAsia="宋体" w:hAnsi="宋体"/>
                <w:bCs/>
                <w:sz w:val="24"/>
                <w:szCs w:val="24"/>
              </w:rPr>
              <w:t>19,000元的高位。作为铅原材料的主要需求方之一，公司对铅价的这一走势有着敏锐的洞察力。自去年年底起，公司便对市场进行了深入分析，并制定了相应的应对策略。</w:t>
            </w:r>
            <w:r w:rsidR="004C66A3" w:rsidRPr="004C66A3">
              <w:rPr>
                <w:rFonts w:ascii="宋体" w:eastAsia="宋体" w:hAnsi="宋体" w:hint="eastAsia"/>
                <w:bCs/>
                <w:sz w:val="24"/>
                <w:szCs w:val="24"/>
              </w:rPr>
              <w:t>在采购策略上，公司不仅在原材料铅和铅蓄电池产品上进行了充足的库存储备，还充分发挥了规模采购的优势。通过现货市场采购与期货套期保值的组合策略，公司有效降低了铅价波动对成本的影响。在销售策略上，</w:t>
            </w:r>
            <w:r w:rsidR="004C66A3" w:rsidRPr="004C66A3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自第二季度以来，公司利用产品与原材料价格联动机制，灵活调整产品定价，成功将成本上涨的压力传导至市场。</w:t>
            </w:r>
          </w:p>
          <w:p w14:paraId="19D8DD4E" w14:textId="3C96E103" w:rsidR="009906C2" w:rsidRDefault="004C66A3" w:rsidP="004C66A3">
            <w:pPr>
              <w:spacing w:line="276" w:lineRule="auto"/>
              <w:ind w:firstLineChars="200" w:firstLine="480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因此，</w:t>
            </w:r>
            <w:r w:rsidRPr="004C66A3">
              <w:rPr>
                <w:rFonts w:ascii="宋体" w:eastAsia="宋体" w:hAnsi="宋体" w:hint="eastAsia"/>
                <w:bCs/>
                <w:sz w:val="24"/>
                <w:szCs w:val="24"/>
              </w:rPr>
              <w:t>当前铅价的波动对公司整体业绩的影响得到了有效的控制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17DE1D9C" w14:textId="3F2299DA" w:rsidR="009906C2" w:rsidRDefault="009906C2" w:rsidP="008B2317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7F46CA84" w14:textId="30DC0841" w:rsidR="009906C2" w:rsidRDefault="009906C2" w:rsidP="009906C2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：公司的回购计划实施情况</w:t>
            </w:r>
            <w:r w:rsidRPr="00B23047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？</w:t>
            </w:r>
          </w:p>
          <w:p w14:paraId="2D75122B" w14:textId="0795B23E" w:rsidR="009906C2" w:rsidRPr="009906C2" w:rsidRDefault="004C66A3" w:rsidP="004C66A3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Pr="004C66A3">
              <w:rPr>
                <w:rFonts w:ascii="宋体" w:eastAsia="宋体" w:hAnsi="宋体" w:hint="eastAsia"/>
                <w:bCs/>
                <w:sz w:val="24"/>
                <w:szCs w:val="24"/>
              </w:rPr>
              <w:t>公司始终将股东利益放在首位，并严格遵守我们对股东的承诺。基于对公司未来发展的坚定信心，在分红结束后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，公司依据既定的回购计划，积极加快了整体</w:t>
            </w:r>
            <w:r w:rsidRPr="004C66A3">
              <w:rPr>
                <w:rFonts w:ascii="宋体" w:eastAsia="宋体" w:hAnsi="宋体" w:hint="eastAsia"/>
                <w:bCs/>
                <w:sz w:val="24"/>
                <w:szCs w:val="24"/>
              </w:rPr>
              <w:t>股份回购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进程</w:t>
            </w:r>
            <w:r w:rsidRPr="004C66A3">
              <w:rPr>
                <w:rFonts w:ascii="宋体" w:eastAsia="宋体" w:hAnsi="宋体" w:hint="eastAsia"/>
                <w:bCs/>
                <w:sz w:val="24"/>
                <w:szCs w:val="24"/>
              </w:rPr>
              <w:t>。公司将继续密切关注市场变化，灵活调整回购策略，确保在维护股东利益的同时，也推动公司的持续发展和市场竞争力的提升。</w:t>
            </w:r>
          </w:p>
          <w:p w14:paraId="0431F2D8" w14:textId="77777777" w:rsidR="003B620D" w:rsidRPr="004C66A3" w:rsidRDefault="003B620D" w:rsidP="00CE409D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6E9D30D4" w14:textId="77777777" w:rsidR="00903764" w:rsidRPr="005764F2" w:rsidRDefault="00903764" w:rsidP="00CE409D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5750390" w14:textId="0F0EE8DD" w:rsidR="00AE52EA" w:rsidRPr="009C002F" w:rsidRDefault="00017461" w:rsidP="00CE409D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Q</w:t>
            </w:r>
            <w:r w:rsidR="009906C2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4</w:t>
            </w:r>
            <w:r w:rsidR="009C002F" w:rsidRPr="009C002F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</w:t>
            </w:r>
            <w:r w:rsidR="00AC768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公司在海外市场的产能规划和最新进展情况</w:t>
            </w:r>
            <w:r w:rsidR="00AC7687" w:rsidRPr="00AC768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？</w:t>
            </w:r>
          </w:p>
          <w:p w14:paraId="589F4877" w14:textId="1B00C4D8" w:rsidR="00FB3356" w:rsidRPr="00FB3356" w:rsidRDefault="00017461" w:rsidP="00FB3356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</w:t>
            </w:r>
            <w:r w:rsidR="00F4654B">
              <w:rPr>
                <w:rFonts w:ascii="宋体" w:eastAsia="宋体" w:hAnsi="宋体"/>
                <w:sz w:val="24"/>
                <w:szCs w:val="24"/>
              </w:rPr>
              <w:t>4</w:t>
            </w:r>
            <w:r w:rsidR="009C002F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FB3356" w:rsidRPr="00FB3356">
              <w:rPr>
                <w:rFonts w:ascii="宋体" w:eastAsia="宋体" w:hAnsi="宋体" w:hint="eastAsia"/>
                <w:sz w:val="24"/>
                <w:szCs w:val="24"/>
              </w:rPr>
              <w:t>公司正以坚定的步伐推进全球化战略，专注于海外市场的深度开发与拓展。我们特别关注那些展现出显著增长潜力的区域市场，例如充满活力的东南亚地区。</w:t>
            </w:r>
          </w:p>
          <w:p w14:paraId="2AF4DA45" w14:textId="716D0CB7" w:rsidR="00FB3356" w:rsidRPr="00FB3356" w:rsidRDefault="00FB3356" w:rsidP="00FB3356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B3356">
              <w:rPr>
                <w:rFonts w:ascii="宋体" w:eastAsia="宋体" w:hAnsi="宋体" w:hint="eastAsia"/>
                <w:sz w:val="24"/>
                <w:szCs w:val="24"/>
              </w:rPr>
              <w:t>作为这一战略的关键举措，我们在越南建立了公司首个海外生产基地，其首期产能规划达到了</w:t>
            </w:r>
            <w:r w:rsidRPr="00FB3356">
              <w:rPr>
                <w:rFonts w:ascii="宋体" w:eastAsia="宋体" w:hAnsi="宋体"/>
                <w:sz w:val="24"/>
                <w:szCs w:val="24"/>
              </w:rPr>
              <w:t>1000万只铅蓄电池。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同时，</w:t>
            </w:r>
            <w:r w:rsidRPr="00FB3356">
              <w:rPr>
                <w:rFonts w:ascii="宋体" w:eastAsia="宋体" w:hAnsi="宋体" w:hint="eastAsia"/>
                <w:sz w:val="24"/>
                <w:szCs w:val="24"/>
              </w:rPr>
              <w:t>公司正在积极构建和优化整体销售渠道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。目前</w:t>
            </w:r>
            <w:r w:rsidRPr="00FB3356">
              <w:rPr>
                <w:rFonts w:ascii="宋体" w:eastAsia="宋体" w:hAnsi="宋体" w:hint="eastAsia"/>
                <w:sz w:val="24"/>
                <w:szCs w:val="24"/>
              </w:rPr>
              <w:t>东南亚地区正在逐步推广油改电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Pr="00FB3356">
              <w:rPr>
                <w:rFonts w:ascii="宋体" w:eastAsia="宋体" w:hAnsi="宋体" w:hint="eastAsia"/>
                <w:sz w:val="24"/>
                <w:szCs w:val="24"/>
              </w:rPr>
              <w:t>政策，如印尼、越南。这些措施预计将有效推动电动自行车的普及。随着这些政策的推进，我们预见东南亚地区对铅蓄电池的需求将持续增长。</w:t>
            </w:r>
          </w:p>
          <w:p w14:paraId="3B22864C" w14:textId="1FDA1963" w:rsidR="001D64AD" w:rsidRDefault="00FB3356" w:rsidP="00FB3356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B3356">
              <w:rPr>
                <w:rFonts w:ascii="宋体" w:eastAsia="宋体" w:hAnsi="宋体" w:hint="eastAsia"/>
                <w:sz w:val="24"/>
                <w:szCs w:val="24"/>
              </w:rPr>
              <w:t>海外电动二轮车市场的快速发展为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FB3356">
              <w:rPr>
                <w:rFonts w:ascii="宋体" w:eastAsia="宋体" w:hAnsi="宋体" w:hint="eastAsia"/>
                <w:sz w:val="24"/>
                <w:szCs w:val="24"/>
              </w:rPr>
              <w:t>提供了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相应</w:t>
            </w:r>
            <w:r w:rsidRPr="00FB3356">
              <w:rPr>
                <w:rFonts w:ascii="宋体" w:eastAsia="宋体" w:hAnsi="宋体" w:hint="eastAsia"/>
                <w:sz w:val="24"/>
                <w:szCs w:val="24"/>
              </w:rPr>
              <w:t>的市场潜力和广阔的增长空间。</w:t>
            </w:r>
          </w:p>
          <w:p w14:paraId="6DEAE06C" w14:textId="77777777" w:rsidR="00FB3356" w:rsidRPr="001D64AD" w:rsidRDefault="00FB3356" w:rsidP="00FB3356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665B6C6F" w14:textId="370A1A65" w:rsidR="009906C2" w:rsidRDefault="009906C2" w:rsidP="009906C2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：公司锂电业务未来发展规划是什么</w:t>
            </w:r>
            <w:r w:rsidRPr="00B23047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？</w:t>
            </w:r>
          </w:p>
          <w:p w14:paraId="5C5BD2C3" w14:textId="2720FCDB" w:rsidR="009906C2" w:rsidRDefault="009906C2" w:rsidP="009906C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E01AE7"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F4654B">
              <w:rPr>
                <w:rFonts w:ascii="宋体" w:eastAsia="宋体" w:hAnsi="宋体"/>
                <w:sz w:val="24"/>
                <w:szCs w:val="24"/>
              </w:rPr>
              <w:t>5</w:t>
            </w:r>
            <w:r w:rsidRPr="00E01AE7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F41B9A" w:rsidRPr="00F41B9A">
              <w:rPr>
                <w:rFonts w:ascii="宋体" w:eastAsia="宋体" w:hAnsi="宋体" w:hint="eastAsia"/>
                <w:sz w:val="24"/>
                <w:szCs w:val="24"/>
              </w:rPr>
              <w:t>在资本支出方面，公司经过审慎评估，决定对锂电领域的资本开支进行阶段性调整，以适应当前市场环境。与</w:t>
            </w:r>
            <w:r w:rsidR="00F41B9A" w:rsidRPr="00F41B9A">
              <w:rPr>
                <w:rFonts w:ascii="宋体" w:eastAsia="宋体" w:hAnsi="宋体"/>
                <w:sz w:val="24"/>
                <w:szCs w:val="24"/>
              </w:rPr>
              <w:t>2023年相比，预计整体资本支出将呈现下降趋势。</w:t>
            </w:r>
          </w:p>
          <w:p w14:paraId="425C349E" w14:textId="14632312" w:rsidR="009906C2" w:rsidRPr="00F41B9A" w:rsidRDefault="00F41B9A" w:rsidP="00F41B9A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此外，</w:t>
            </w:r>
            <w:r w:rsidRPr="00F41B9A">
              <w:rPr>
                <w:rFonts w:ascii="宋体" w:eastAsia="宋体" w:hAnsi="宋体" w:hint="eastAsia"/>
                <w:sz w:val="24"/>
                <w:szCs w:val="24"/>
              </w:rPr>
              <w:t>公司将充分利用现有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锂电</w:t>
            </w:r>
            <w:r w:rsidRPr="00F41B9A">
              <w:rPr>
                <w:rFonts w:ascii="宋体" w:eastAsia="宋体" w:hAnsi="宋体" w:hint="eastAsia"/>
                <w:sz w:val="24"/>
                <w:szCs w:val="24"/>
              </w:rPr>
              <w:t>产能，通过提高生产效率和优化产品组合，努力实现产能的最大化利用。面对锂电市场的激烈竞争，我们的业务目标是实现整体亏损的减少。我们将通过持续的产品创新、成本控制和市场策略调整，力求在竞争中保持优势，稳步提升业务的盈利能力。</w:t>
            </w:r>
          </w:p>
          <w:p w14:paraId="2DCBBB9E" w14:textId="77777777" w:rsidR="00B47669" w:rsidRPr="00E01AE7" w:rsidRDefault="00B47669" w:rsidP="00CE409D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35065F9" w14:textId="2EBCFE9B" w:rsidR="0005115C" w:rsidRPr="00E01AE7" w:rsidRDefault="0031161A" w:rsidP="00B83563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 w:rsidR="009906C2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6</w:t>
            </w:r>
            <w:r w:rsidR="00C1603E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：</w:t>
            </w:r>
            <w:r w:rsidR="009906C2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未来公司是否会提高分红力度</w:t>
            </w:r>
            <w:r w:rsidR="00AC7687" w:rsidRPr="00AC768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？</w:t>
            </w:r>
          </w:p>
          <w:p w14:paraId="46D7268A" w14:textId="0EFF708A" w:rsidR="004C66A3" w:rsidRPr="004C66A3" w:rsidRDefault="0005115C" w:rsidP="004C66A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F4654B">
              <w:rPr>
                <w:rFonts w:ascii="宋体" w:eastAsia="宋体" w:hAnsi="宋体"/>
                <w:sz w:val="24"/>
                <w:szCs w:val="24"/>
              </w:rPr>
              <w:t>6</w:t>
            </w:r>
            <w:r w:rsidR="00C1603E">
              <w:rPr>
                <w:rFonts w:ascii="宋体" w:eastAsia="宋体" w:hAnsi="宋体"/>
                <w:sz w:val="24"/>
                <w:szCs w:val="24"/>
              </w:rPr>
              <w:t>：</w:t>
            </w:r>
            <w:r w:rsidR="004C66A3" w:rsidRPr="004C66A3">
              <w:rPr>
                <w:rFonts w:ascii="宋体" w:eastAsia="宋体" w:hAnsi="宋体" w:hint="eastAsia"/>
                <w:sz w:val="24"/>
                <w:szCs w:val="24"/>
              </w:rPr>
              <w:t>公司始终将投资者的利益置于核心地位，致力于通过稳定且持</w:t>
            </w:r>
            <w:r w:rsidR="004C66A3" w:rsidRPr="004C66A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续的现金回报，确保股东权益得到充分保障。自上市以来，我们一直秉承稳定的分红政策，以实际行动回馈股东的信任与支持。</w:t>
            </w:r>
            <w:r w:rsidR="004C66A3" w:rsidRPr="004C66A3">
              <w:rPr>
                <w:rFonts w:ascii="宋体" w:eastAsia="宋体" w:hAnsi="宋体"/>
                <w:sz w:val="24"/>
                <w:szCs w:val="24"/>
              </w:rPr>
              <w:t>公司</w:t>
            </w:r>
            <w:r w:rsidR="00635BA5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635BA5">
              <w:rPr>
                <w:rFonts w:ascii="宋体" w:eastAsia="宋体" w:hAnsi="宋体"/>
                <w:sz w:val="24"/>
                <w:szCs w:val="24"/>
              </w:rPr>
              <w:t>023</w:t>
            </w:r>
            <w:r w:rsidR="00635BA5">
              <w:rPr>
                <w:rFonts w:ascii="宋体" w:eastAsia="宋体" w:hAnsi="宋体" w:hint="eastAsia"/>
                <w:sz w:val="24"/>
                <w:szCs w:val="24"/>
              </w:rPr>
              <w:t>年年度</w:t>
            </w:r>
            <w:r w:rsidR="004C66A3" w:rsidRPr="004C66A3">
              <w:rPr>
                <w:rFonts w:ascii="宋体" w:eastAsia="宋体" w:hAnsi="宋体"/>
                <w:sz w:val="24"/>
                <w:szCs w:val="24"/>
              </w:rPr>
              <w:t>利润分配方案进一步优化，每股派发现金红利提升至0.65003元</w:t>
            </w:r>
            <w:r w:rsidR="00B55816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B218B9F" w14:textId="3F1CD0DC" w:rsidR="005A3DE5" w:rsidRDefault="004C66A3" w:rsidP="004C66A3">
            <w:pPr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C66A3">
              <w:rPr>
                <w:rFonts w:ascii="宋体" w:eastAsia="宋体" w:hAnsi="宋体" w:hint="eastAsia"/>
                <w:sz w:val="24"/>
                <w:szCs w:val="24"/>
              </w:rPr>
              <w:t>展望未来，公司将继续与股东保持密切沟通，积极倾听股东的声音。我们将结合公司的业务发展和资金状况，综合考量分红、回购等多种方式，以实现对股东回报的持续优化和提升。我们坚信，通过这些多元化</w:t>
            </w:r>
            <w:bookmarkStart w:id="0" w:name="_GoBack"/>
            <w:bookmarkEnd w:id="0"/>
            <w:r w:rsidRPr="004C66A3">
              <w:rPr>
                <w:rFonts w:ascii="宋体" w:eastAsia="宋体" w:hAnsi="宋体" w:hint="eastAsia"/>
                <w:sz w:val="24"/>
                <w:szCs w:val="24"/>
              </w:rPr>
              <w:t>的回报机制，能够进一步增强股东的信心，促进公司与股东之间的长期共赢关系。</w:t>
            </w:r>
          </w:p>
          <w:p w14:paraId="30232B9E" w14:textId="08F28E91" w:rsidR="0005115C" w:rsidRPr="00D41C01" w:rsidRDefault="0005115C" w:rsidP="00644EE6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81CDC" w:rsidRPr="00D41C01" w14:paraId="5A510F5D" w14:textId="77777777" w:rsidTr="009653F1">
        <w:trPr>
          <w:trHeight w:val="602"/>
          <w:jc w:val="center"/>
        </w:trPr>
        <w:tc>
          <w:tcPr>
            <w:tcW w:w="1696" w:type="dxa"/>
            <w:vAlign w:val="center"/>
          </w:tcPr>
          <w:p w14:paraId="3B72FBD0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24" w:type="dxa"/>
            <w:vAlign w:val="center"/>
          </w:tcPr>
          <w:p w14:paraId="453340FD" w14:textId="77777777" w:rsidR="00481CDC" w:rsidRPr="00D41C01" w:rsidRDefault="009A3B2C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/>
                <w:sz w:val="24"/>
                <w:szCs w:val="24"/>
              </w:rPr>
              <w:t>无</w:t>
            </w:r>
          </w:p>
        </w:tc>
      </w:tr>
      <w:tr w:rsidR="00014443" w:rsidRPr="00D41C01" w14:paraId="426DA6F1" w14:textId="77777777" w:rsidTr="009653F1">
        <w:trPr>
          <w:trHeight w:val="602"/>
          <w:jc w:val="center"/>
        </w:trPr>
        <w:tc>
          <w:tcPr>
            <w:tcW w:w="1696" w:type="dxa"/>
            <w:vAlign w:val="center"/>
          </w:tcPr>
          <w:p w14:paraId="311EC74A" w14:textId="123CA9FF" w:rsidR="00014443" w:rsidRPr="00D41C01" w:rsidRDefault="00014443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024" w:type="dxa"/>
            <w:vAlign w:val="center"/>
          </w:tcPr>
          <w:p w14:paraId="04D03428" w14:textId="3C524718" w:rsidR="00014443" w:rsidRPr="00D41C01" w:rsidRDefault="00014443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无</w:t>
            </w:r>
          </w:p>
        </w:tc>
      </w:tr>
      <w:tr w:rsidR="00481CDC" w:rsidRPr="00D41C01" w14:paraId="7B24DDC7" w14:textId="77777777" w:rsidTr="009653F1">
        <w:trPr>
          <w:trHeight w:val="159"/>
          <w:jc w:val="center"/>
        </w:trPr>
        <w:tc>
          <w:tcPr>
            <w:tcW w:w="1696" w:type="dxa"/>
            <w:vAlign w:val="center"/>
          </w:tcPr>
          <w:p w14:paraId="72C73A60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024" w:type="dxa"/>
            <w:vAlign w:val="center"/>
          </w:tcPr>
          <w:p w14:paraId="60175BAD" w14:textId="0DC2BD95" w:rsidR="00481CDC" w:rsidRPr="00D41C01" w:rsidRDefault="00376E1C" w:rsidP="009906C2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4</w:t>
            </w:r>
            <w:r w:rsidR="003A4F96" w:rsidRPr="00D41C01">
              <w:rPr>
                <w:rFonts w:ascii="宋体" w:eastAsia="宋体" w:hAnsi="宋体" w:cs="Arial" w:hint="eastAsia"/>
                <w:sz w:val="24"/>
                <w:szCs w:val="24"/>
              </w:rPr>
              <w:t>年</w:t>
            </w:r>
            <w:r w:rsidR="009906C2">
              <w:rPr>
                <w:rFonts w:ascii="宋体" w:eastAsia="宋体" w:hAnsi="宋体" w:cs="Arial"/>
                <w:sz w:val="24"/>
                <w:szCs w:val="24"/>
              </w:rPr>
              <w:t>7</w:t>
            </w:r>
            <w:r w:rsidR="003A4F96" w:rsidRPr="00D41C0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="009906C2">
              <w:rPr>
                <w:rFonts w:ascii="宋体" w:eastAsia="宋体" w:hAnsi="宋体" w:cs="Arial"/>
                <w:sz w:val="24"/>
                <w:szCs w:val="24"/>
              </w:rPr>
              <w:t>16</w:t>
            </w:r>
            <w:r w:rsidR="00FD48A3" w:rsidRPr="00D41C01"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</w:tbl>
    <w:p w14:paraId="505D04A4" w14:textId="77777777" w:rsidR="00481CDC" w:rsidRDefault="00481CDC" w:rsidP="009653F1">
      <w:pPr>
        <w:spacing w:line="360" w:lineRule="auto"/>
        <w:rPr>
          <w:rFonts w:ascii="宋体" w:eastAsia="宋体" w:hAnsi="宋体" w:cs="Arial"/>
          <w:sz w:val="24"/>
          <w:szCs w:val="24"/>
        </w:rPr>
      </w:pPr>
    </w:p>
    <w:sectPr w:rsidR="00481CDC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43D6F2" w16cex:dateUtc="2024-07-16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E07B7C" w16cid:durableId="4043D6F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E0CCD" w14:textId="77777777" w:rsidR="00E617DF" w:rsidRDefault="00E617DF" w:rsidP="0087491D">
      <w:r>
        <w:separator/>
      </w:r>
    </w:p>
  </w:endnote>
  <w:endnote w:type="continuationSeparator" w:id="0">
    <w:p w14:paraId="3ECFBDD7" w14:textId="77777777" w:rsidR="00E617DF" w:rsidRDefault="00E617DF" w:rsidP="0087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8681E" w14:textId="77777777" w:rsidR="00E617DF" w:rsidRDefault="00E617DF" w:rsidP="0087491D">
      <w:r>
        <w:separator/>
      </w:r>
    </w:p>
  </w:footnote>
  <w:footnote w:type="continuationSeparator" w:id="0">
    <w:p w14:paraId="2A94DE63" w14:textId="77777777" w:rsidR="00E617DF" w:rsidRDefault="00E617DF" w:rsidP="00874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30"/>
    <w:rsid w:val="0000665C"/>
    <w:rsid w:val="00006FEB"/>
    <w:rsid w:val="00012390"/>
    <w:rsid w:val="00014443"/>
    <w:rsid w:val="00017461"/>
    <w:rsid w:val="00021D71"/>
    <w:rsid w:val="00023F52"/>
    <w:rsid w:val="00024818"/>
    <w:rsid w:val="00030DC2"/>
    <w:rsid w:val="00033643"/>
    <w:rsid w:val="000425D6"/>
    <w:rsid w:val="00047BF4"/>
    <w:rsid w:val="0005115C"/>
    <w:rsid w:val="00051378"/>
    <w:rsid w:val="000513BC"/>
    <w:rsid w:val="0005598A"/>
    <w:rsid w:val="00072E05"/>
    <w:rsid w:val="00074852"/>
    <w:rsid w:val="0009132B"/>
    <w:rsid w:val="000932EE"/>
    <w:rsid w:val="000937A1"/>
    <w:rsid w:val="00093B8C"/>
    <w:rsid w:val="00096AED"/>
    <w:rsid w:val="00096C4F"/>
    <w:rsid w:val="000A107B"/>
    <w:rsid w:val="000A5F55"/>
    <w:rsid w:val="000B0306"/>
    <w:rsid w:val="000B0DDB"/>
    <w:rsid w:val="000B5680"/>
    <w:rsid w:val="000C5EFF"/>
    <w:rsid w:val="000D1414"/>
    <w:rsid w:val="000D51DC"/>
    <w:rsid w:val="000D54F1"/>
    <w:rsid w:val="000E0751"/>
    <w:rsid w:val="000E26B7"/>
    <w:rsid w:val="000E34CE"/>
    <w:rsid w:val="000E5AA6"/>
    <w:rsid w:val="001078DF"/>
    <w:rsid w:val="0010791B"/>
    <w:rsid w:val="00110C72"/>
    <w:rsid w:val="00111DEB"/>
    <w:rsid w:val="0011205A"/>
    <w:rsid w:val="00134BB4"/>
    <w:rsid w:val="00134FAC"/>
    <w:rsid w:val="0013739D"/>
    <w:rsid w:val="001474A2"/>
    <w:rsid w:val="00152F80"/>
    <w:rsid w:val="001533CE"/>
    <w:rsid w:val="00153F24"/>
    <w:rsid w:val="001657D9"/>
    <w:rsid w:val="001659C9"/>
    <w:rsid w:val="00167A5D"/>
    <w:rsid w:val="00175B76"/>
    <w:rsid w:val="00180EAF"/>
    <w:rsid w:val="00181B93"/>
    <w:rsid w:val="001901BE"/>
    <w:rsid w:val="001B3DA0"/>
    <w:rsid w:val="001B466C"/>
    <w:rsid w:val="001B78AB"/>
    <w:rsid w:val="001B78B5"/>
    <w:rsid w:val="001C24E8"/>
    <w:rsid w:val="001C27CA"/>
    <w:rsid w:val="001C6D6A"/>
    <w:rsid w:val="001D29E7"/>
    <w:rsid w:val="001D64AD"/>
    <w:rsid w:val="001E679F"/>
    <w:rsid w:val="001E7930"/>
    <w:rsid w:val="001F3ECF"/>
    <w:rsid w:val="00207544"/>
    <w:rsid w:val="00211FCB"/>
    <w:rsid w:val="00215DAE"/>
    <w:rsid w:val="00221572"/>
    <w:rsid w:val="0022783D"/>
    <w:rsid w:val="00227FBC"/>
    <w:rsid w:val="002429FE"/>
    <w:rsid w:val="0025053B"/>
    <w:rsid w:val="00253D69"/>
    <w:rsid w:val="002548C6"/>
    <w:rsid w:val="002639E3"/>
    <w:rsid w:val="00263DC3"/>
    <w:rsid w:val="002641D8"/>
    <w:rsid w:val="00265014"/>
    <w:rsid w:val="0027548B"/>
    <w:rsid w:val="00276C73"/>
    <w:rsid w:val="0028109A"/>
    <w:rsid w:val="00293251"/>
    <w:rsid w:val="0029469E"/>
    <w:rsid w:val="002A26D8"/>
    <w:rsid w:val="002A2FDC"/>
    <w:rsid w:val="002A388F"/>
    <w:rsid w:val="002A3E26"/>
    <w:rsid w:val="002B0C43"/>
    <w:rsid w:val="002B104C"/>
    <w:rsid w:val="002B2BE2"/>
    <w:rsid w:val="002C2C65"/>
    <w:rsid w:val="002C49CF"/>
    <w:rsid w:val="002C50CC"/>
    <w:rsid w:val="002D1AAD"/>
    <w:rsid w:val="002D31E2"/>
    <w:rsid w:val="002D4526"/>
    <w:rsid w:val="002D6123"/>
    <w:rsid w:val="002D798B"/>
    <w:rsid w:val="002D79A4"/>
    <w:rsid w:val="002E03D4"/>
    <w:rsid w:val="002F23B4"/>
    <w:rsid w:val="002F5E8B"/>
    <w:rsid w:val="002F79B8"/>
    <w:rsid w:val="00302533"/>
    <w:rsid w:val="00302B6D"/>
    <w:rsid w:val="003072FD"/>
    <w:rsid w:val="0031161A"/>
    <w:rsid w:val="00311648"/>
    <w:rsid w:val="0031394C"/>
    <w:rsid w:val="0031791D"/>
    <w:rsid w:val="00331F21"/>
    <w:rsid w:val="00331F2A"/>
    <w:rsid w:val="00341902"/>
    <w:rsid w:val="0034363E"/>
    <w:rsid w:val="00350931"/>
    <w:rsid w:val="0035234B"/>
    <w:rsid w:val="00353763"/>
    <w:rsid w:val="003604D5"/>
    <w:rsid w:val="00365F06"/>
    <w:rsid w:val="003660B5"/>
    <w:rsid w:val="00371AF3"/>
    <w:rsid w:val="00372F51"/>
    <w:rsid w:val="00375B14"/>
    <w:rsid w:val="00376E1C"/>
    <w:rsid w:val="0038286E"/>
    <w:rsid w:val="00384BD6"/>
    <w:rsid w:val="0039185B"/>
    <w:rsid w:val="003923FA"/>
    <w:rsid w:val="00396270"/>
    <w:rsid w:val="003A4E12"/>
    <w:rsid w:val="003A4F96"/>
    <w:rsid w:val="003A6B5D"/>
    <w:rsid w:val="003A708F"/>
    <w:rsid w:val="003B2517"/>
    <w:rsid w:val="003B2735"/>
    <w:rsid w:val="003B620D"/>
    <w:rsid w:val="003B6295"/>
    <w:rsid w:val="003C4579"/>
    <w:rsid w:val="003D5CEA"/>
    <w:rsid w:val="003D5D8F"/>
    <w:rsid w:val="003E1A2D"/>
    <w:rsid w:val="003E274C"/>
    <w:rsid w:val="003E6054"/>
    <w:rsid w:val="003F3C37"/>
    <w:rsid w:val="003F52BA"/>
    <w:rsid w:val="003F58A8"/>
    <w:rsid w:val="003F6821"/>
    <w:rsid w:val="00403184"/>
    <w:rsid w:val="00413A3F"/>
    <w:rsid w:val="0041485A"/>
    <w:rsid w:val="00415D4D"/>
    <w:rsid w:val="004164DF"/>
    <w:rsid w:val="00417103"/>
    <w:rsid w:val="00417C73"/>
    <w:rsid w:val="00422CAC"/>
    <w:rsid w:val="00432093"/>
    <w:rsid w:val="00433479"/>
    <w:rsid w:val="00435A3C"/>
    <w:rsid w:val="00442BDC"/>
    <w:rsid w:val="00447985"/>
    <w:rsid w:val="00450986"/>
    <w:rsid w:val="00452B7C"/>
    <w:rsid w:val="004578BE"/>
    <w:rsid w:val="00466D15"/>
    <w:rsid w:val="0047244D"/>
    <w:rsid w:val="0047706B"/>
    <w:rsid w:val="00481CDC"/>
    <w:rsid w:val="004833B6"/>
    <w:rsid w:val="00485839"/>
    <w:rsid w:val="004926B1"/>
    <w:rsid w:val="004943AC"/>
    <w:rsid w:val="004A5D95"/>
    <w:rsid w:val="004B2598"/>
    <w:rsid w:val="004B2E70"/>
    <w:rsid w:val="004C3808"/>
    <w:rsid w:val="004C3DD5"/>
    <w:rsid w:val="004C66A3"/>
    <w:rsid w:val="004D052C"/>
    <w:rsid w:val="004D1746"/>
    <w:rsid w:val="004D3F05"/>
    <w:rsid w:val="004E3A9F"/>
    <w:rsid w:val="00502C7F"/>
    <w:rsid w:val="00502F94"/>
    <w:rsid w:val="00513C25"/>
    <w:rsid w:val="005140CF"/>
    <w:rsid w:val="00515630"/>
    <w:rsid w:val="0052343D"/>
    <w:rsid w:val="0053422F"/>
    <w:rsid w:val="0053519E"/>
    <w:rsid w:val="00537EB7"/>
    <w:rsid w:val="005440CD"/>
    <w:rsid w:val="00544E01"/>
    <w:rsid w:val="00551499"/>
    <w:rsid w:val="00551776"/>
    <w:rsid w:val="00552407"/>
    <w:rsid w:val="00564A09"/>
    <w:rsid w:val="005665E9"/>
    <w:rsid w:val="00567F32"/>
    <w:rsid w:val="005700C5"/>
    <w:rsid w:val="00572A85"/>
    <w:rsid w:val="00573843"/>
    <w:rsid w:val="005764F2"/>
    <w:rsid w:val="005832E5"/>
    <w:rsid w:val="00591B16"/>
    <w:rsid w:val="00596C24"/>
    <w:rsid w:val="005A3DE5"/>
    <w:rsid w:val="005B1505"/>
    <w:rsid w:val="005B639C"/>
    <w:rsid w:val="005B731E"/>
    <w:rsid w:val="005C51AE"/>
    <w:rsid w:val="005D119A"/>
    <w:rsid w:val="005D2C92"/>
    <w:rsid w:val="005D570A"/>
    <w:rsid w:val="005D6C4B"/>
    <w:rsid w:val="005F0DAC"/>
    <w:rsid w:val="005F4E19"/>
    <w:rsid w:val="005F5FDE"/>
    <w:rsid w:val="0060759B"/>
    <w:rsid w:val="0060778D"/>
    <w:rsid w:val="00613C94"/>
    <w:rsid w:val="006173C3"/>
    <w:rsid w:val="00617CE9"/>
    <w:rsid w:val="00621F38"/>
    <w:rsid w:val="0063018E"/>
    <w:rsid w:val="006312A6"/>
    <w:rsid w:val="00635BA5"/>
    <w:rsid w:val="0064082A"/>
    <w:rsid w:val="00640CA4"/>
    <w:rsid w:val="0064443C"/>
    <w:rsid w:val="00644EE6"/>
    <w:rsid w:val="006456C6"/>
    <w:rsid w:val="006520A5"/>
    <w:rsid w:val="00656159"/>
    <w:rsid w:val="00657F18"/>
    <w:rsid w:val="00660636"/>
    <w:rsid w:val="00661D81"/>
    <w:rsid w:val="00662F14"/>
    <w:rsid w:val="00670FCF"/>
    <w:rsid w:val="006723B9"/>
    <w:rsid w:val="00680B65"/>
    <w:rsid w:val="00681AB3"/>
    <w:rsid w:val="00681EBF"/>
    <w:rsid w:val="00684D89"/>
    <w:rsid w:val="00692F53"/>
    <w:rsid w:val="00697887"/>
    <w:rsid w:val="006A3930"/>
    <w:rsid w:val="006A4B18"/>
    <w:rsid w:val="006A5605"/>
    <w:rsid w:val="006B5BF5"/>
    <w:rsid w:val="006B6BF2"/>
    <w:rsid w:val="006B78F3"/>
    <w:rsid w:val="006C1050"/>
    <w:rsid w:val="006C23DC"/>
    <w:rsid w:val="006C31A3"/>
    <w:rsid w:val="006C50CA"/>
    <w:rsid w:val="006C6D22"/>
    <w:rsid w:val="006D0AE1"/>
    <w:rsid w:val="006D0B30"/>
    <w:rsid w:val="006D4897"/>
    <w:rsid w:val="006D615B"/>
    <w:rsid w:val="006F2352"/>
    <w:rsid w:val="006F4893"/>
    <w:rsid w:val="006F4C8C"/>
    <w:rsid w:val="006F6C22"/>
    <w:rsid w:val="006F77BD"/>
    <w:rsid w:val="007014AF"/>
    <w:rsid w:val="00704735"/>
    <w:rsid w:val="00704D1F"/>
    <w:rsid w:val="00705443"/>
    <w:rsid w:val="00711313"/>
    <w:rsid w:val="007167B4"/>
    <w:rsid w:val="0072118E"/>
    <w:rsid w:val="00727ED4"/>
    <w:rsid w:val="00734ED5"/>
    <w:rsid w:val="00735743"/>
    <w:rsid w:val="00735E1B"/>
    <w:rsid w:val="007405EF"/>
    <w:rsid w:val="00754599"/>
    <w:rsid w:val="007574AC"/>
    <w:rsid w:val="00764574"/>
    <w:rsid w:val="00764E89"/>
    <w:rsid w:val="007715DC"/>
    <w:rsid w:val="00775C60"/>
    <w:rsid w:val="007814A8"/>
    <w:rsid w:val="00781E9A"/>
    <w:rsid w:val="0078212D"/>
    <w:rsid w:val="00792815"/>
    <w:rsid w:val="007945E6"/>
    <w:rsid w:val="00797E57"/>
    <w:rsid w:val="007A0C3D"/>
    <w:rsid w:val="007A676D"/>
    <w:rsid w:val="007B0D4E"/>
    <w:rsid w:val="007B132E"/>
    <w:rsid w:val="007B139C"/>
    <w:rsid w:val="007B2254"/>
    <w:rsid w:val="007B792E"/>
    <w:rsid w:val="007C7F4C"/>
    <w:rsid w:val="007D6026"/>
    <w:rsid w:val="007E2E4D"/>
    <w:rsid w:val="007E7799"/>
    <w:rsid w:val="007F6B97"/>
    <w:rsid w:val="008006DB"/>
    <w:rsid w:val="0080348C"/>
    <w:rsid w:val="00810B25"/>
    <w:rsid w:val="00812D23"/>
    <w:rsid w:val="0081671D"/>
    <w:rsid w:val="0081673B"/>
    <w:rsid w:val="00824A3C"/>
    <w:rsid w:val="008264FF"/>
    <w:rsid w:val="0083190E"/>
    <w:rsid w:val="0083312B"/>
    <w:rsid w:val="00837357"/>
    <w:rsid w:val="00841419"/>
    <w:rsid w:val="0084251E"/>
    <w:rsid w:val="0084451E"/>
    <w:rsid w:val="00852455"/>
    <w:rsid w:val="00857DFB"/>
    <w:rsid w:val="0086382B"/>
    <w:rsid w:val="0087491D"/>
    <w:rsid w:val="00875460"/>
    <w:rsid w:val="00877EE8"/>
    <w:rsid w:val="00885CE9"/>
    <w:rsid w:val="00886E37"/>
    <w:rsid w:val="00892157"/>
    <w:rsid w:val="00892810"/>
    <w:rsid w:val="008A5733"/>
    <w:rsid w:val="008A766F"/>
    <w:rsid w:val="008B2317"/>
    <w:rsid w:val="008B4F14"/>
    <w:rsid w:val="008C4FD3"/>
    <w:rsid w:val="008D2AE8"/>
    <w:rsid w:val="008E427A"/>
    <w:rsid w:val="008F0151"/>
    <w:rsid w:val="008F0E90"/>
    <w:rsid w:val="008F42BD"/>
    <w:rsid w:val="00901520"/>
    <w:rsid w:val="00903135"/>
    <w:rsid w:val="00903764"/>
    <w:rsid w:val="0091303D"/>
    <w:rsid w:val="0092026E"/>
    <w:rsid w:val="0092053B"/>
    <w:rsid w:val="009226D2"/>
    <w:rsid w:val="009234D5"/>
    <w:rsid w:val="00924DCA"/>
    <w:rsid w:val="00926076"/>
    <w:rsid w:val="00926773"/>
    <w:rsid w:val="00927E60"/>
    <w:rsid w:val="0094056B"/>
    <w:rsid w:val="00941E76"/>
    <w:rsid w:val="0094273C"/>
    <w:rsid w:val="00950218"/>
    <w:rsid w:val="00954574"/>
    <w:rsid w:val="009653F1"/>
    <w:rsid w:val="00971AF5"/>
    <w:rsid w:val="00972C69"/>
    <w:rsid w:val="00981D52"/>
    <w:rsid w:val="00984DBF"/>
    <w:rsid w:val="009874EA"/>
    <w:rsid w:val="009906C2"/>
    <w:rsid w:val="00991B7D"/>
    <w:rsid w:val="00993377"/>
    <w:rsid w:val="009A2383"/>
    <w:rsid w:val="009A3008"/>
    <w:rsid w:val="009A3B2C"/>
    <w:rsid w:val="009A48C7"/>
    <w:rsid w:val="009B199B"/>
    <w:rsid w:val="009B4E56"/>
    <w:rsid w:val="009C002F"/>
    <w:rsid w:val="009C6001"/>
    <w:rsid w:val="009D1783"/>
    <w:rsid w:val="009D1E35"/>
    <w:rsid w:val="009D5C4B"/>
    <w:rsid w:val="009E2789"/>
    <w:rsid w:val="009E4B9C"/>
    <w:rsid w:val="009E5E4B"/>
    <w:rsid w:val="009E61B2"/>
    <w:rsid w:val="009F4A9B"/>
    <w:rsid w:val="009F6FD6"/>
    <w:rsid w:val="00A014E0"/>
    <w:rsid w:val="00A0531D"/>
    <w:rsid w:val="00A0678D"/>
    <w:rsid w:val="00A14FDC"/>
    <w:rsid w:val="00A1789F"/>
    <w:rsid w:val="00A20762"/>
    <w:rsid w:val="00A21136"/>
    <w:rsid w:val="00A21775"/>
    <w:rsid w:val="00A23C77"/>
    <w:rsid w:val="00A24E3F"/>
    <w:rsid w:val="00A251B6"/>
    <w:rsid w:val="00A278B6"/>
    <w:rsid w:val="00A36160"/>
    <w:rsid w:val="00A37927"/>
    <w:rsid w:val="00A4322E"/>
    <w:rsid w:val="00A470E1"/>
    <w:rsid w:val="00A57D23"/>
    <w:rsid w:val="00A65363"/>
    <w:rsid w:val="00A7110F"/>
    <w:rsid w:val="00A75538"/>
    <w:rsid w:val="00A81A6F"/>
    <w:rsid w:val="00A855B4"/>
    <w:rsid w:val="00A90909"/>
    <w:rsid w:val="00A90C6A"/>
    <w:rsid w:val="00A91506"/>
    <w:rsid w:val="00A9339D"/>
    <w:rsid w:val="00AB0E08"/>
    <w:rsid w:val="00AB0FEF"/>
    <w:rsid w:val="00AC2775"/>
    <w:rsid w:val="00AC5390"/>
    <w:rsid w:val="00AC6E0C"/>
    <w:rsid w:val="00AC7687"/>
    <w:rsid w:val="00AC7768"/>
    <w:rsid w:val="00AD137D"/>
    <w:rsid w:val="00AE01DB"/>
    <w:rsid w:val="00AE527A"/>
    <w:rsid w:val="00AE52EA"/>
    <w:rsid w:val="00AF0581"/>
    <w:rsid w:val="00AF0D2A"/>
    <w:rsid w:val="00AF64B4"/>
    <w:rsid w:val="00B07697"/>
    <w:rsid w:val="00B103E1"/>
    <w:rsid w:val="00B1192B"/>
    <w:rsid w:val="00B226F0"/>
    <w:rsid w:val="00B23047"/>
    <w:rsid w:val="00B27EE4"/>
    <w:rsid w:val="00B33464"/>
    <w:rsid w:val="00B33AB2"/>
    <w:rsid w:val="00B411EE"/>
    <w:rsid w:val="00B46EA3"/>
    <w:rsid w:val="00B47669"/>
    <w:rsid w:val="00B51B5F"/>
    <w:rsid w:val="00B52A56"/>
    <w:rsid w:val="00B5303F"/>
    <w:rsid w:val="00B55816"/>
    <w:rsid w:val="00B560B2"/>
    <w:rsid w:val="00B56A28"/>
    <w:rsid w:val="00B57EAE"/>
    <w:rsid w:val="00B6041A"/>
    <w:rsid w:val="00B61466"/>
    <w:rsid w:val="00B71130"/>
    <w:rsid w:val="00B72498"/>
    <w:rsid w:val="00B807C1"/>
    <w:rsid w:val="00B83563"/>
    <w:rsid w:val="00B865D6"/>
    <w:rsid w:val="00B900FA"/>
    <w:rsid w:val="00BA0154"/>
    <w:rsid w:val="00BB42A0"/>
    <w:rsid w:val="00BB4C18"/>
    <w:rsid w:val="00BB5DCA"/>
    <w:rsid w:val="00BD1D24"/>
    <w:rsid w:val="00BD26B5"/>
    <w:rsid w:val="00BD58E2"/>
    <w:rsid w:val="00BE1B5F"/>
    <w:rsid w:val="00BE1F6C"/>
    <w:rsid w:val="00BE38D1"/>
    <w:rsid w:val="00BE6858"/>
    <w:rsid w:val="00BF273E"/>
    <w:rsid w:val="00BF6D8A"/>
    <w:rsid w:val="00C02B49"/>
    <w:rsid w:val="00C038D9"/>
    <w:rsid w:val="00C1603E"/>
    <w:rsid w:val="00C2111E"/>
    <w:rsid w:val="00C23027"/>
    <w:rsid w:val="00C24D80"/>
    <w:rsid w:val="00C43292"/>
    <w:rsid w:val="00C46917"/>
    <w:rsid w:val="00C53BFE"/>
    <w:rsid w:val="00C54C6D"/>
    <w:rsid w:val="00C57EC0"/>
    <w:rsid w:val="00C6760D"/>
    <w:rsid w:val="00C7016B"/>
    <w:rsid w:val="00C70E13"/>
    <w:rsid w:val="00C725B4"/>
    <w:rsid w:val="00C73001"/>
    <w:rsid w:val="00C73AB3"/>
    <w:rsid w:val="00C74155"/>
    <w:rsid w:val="00C83425"/>
    <w:rsid w:val="00C838B0"/>
    <w:rsid w:val="00C908FA"/>
    <w:rsid w:val="00C928D5"/>
    <w:rsid w:val="00C967AF"/>
    <w:rsid w:val="00CA2A02"/>
    <w:rsid w:val="00CA351B"/>
    <w:rsid w:val="00CA6760"/>
    <w:rsid w:val="00CA7068"/>
    <w:rsid w:val="00CB4894"/>
    <w:rsid w:val="00CB67C2"/>
    <w:rsid w:val="00CC1224"/>
    <w:rsid w:val="00CC1A78"/>
    <w:rsid w:val="00CC29D3"/>
    <w:rsid w:val="00CC51D6"/>
    <w:rsid w:val="00CC614A"/>
    <w:rsid w:val="00CC73AA"/>
    <w:rsid w:val="00CD365C"/>
    <w:rsid w:val="00CD602C"/>
    <w:rsid w:val="00CD69D3"/>
    <w:rsid w:val="00CD7FBF"/>
    <w:rsid w:val="00CE2C7A"/>
    <w:rsid w:val="00CE374A"/>
    <w:rsid w:val="00CE409D"/>
    <w:rsid w:val="00CE6F0F"/>
    <w:rsid w:val="00CF01ED"/>
    <w:rsid w:val="00CF2D39"/>
    <w:rsid w:val="00CF577A"/>
    <w:rsid w:val="00CF794F"/>
    <w:rsid w:val="00D02F33"/>
    <w:rsid w:val="00D070CF"/>
    <w:rsid w:val="00D071AF"/>
    <w:rsid w:val="00D14A70"/>
    <w:rsid w:val="00D160A4"/>
    <w:rsid w:val="00D225AF"/>
    <w:rsid w:val="00D230B5"/>
    <w:rsid w:val="00D278E4"/>
    <w:rsid w:val="00D3388C"/>
    <w:rsid w:val="00D41C01"/>
    <w:rsid w:val="00D42FC7"/>
    <w:rsid w:val="00D51B49"/>
    <w:rsid w:val="00D522C1"/>
    <w:rsid w:val="00D5618B"/>
    <w:rsid w:val="00D6059D"/>
    <w:rsid w:val="00D60C1A"/>
    <w:rsid w:val="00D639F5"/>
    <w:rsid w:val="00D64F1B"/>
    <w:rsid w:val="00D73836"/>
    <w:rsid w:val="00D77A66"/>
    <w:rsid w:val="00D817CB"/>
    <w:rsid w:val="00D81D03"/>
    <w:rsid w:val="00D82E52"/>
    <w:rsid w:val="00D84DF3"/>
    <w:rsid w:val="00D927A1"/>
    <w:rsid w:val="00D95271"/>
    <w:rsid w:val="00D95320"/>
    <w:rsid w:val="00DA2B4D"/>
    <w:rsid w:val="00DB0F05"/>
    <w:rsid w:val="00DB18B7"/>
    <w:rsid w:val="00DC4C1C"/>
    <w:rsid w:val="00DC76C6"/>
    <w:rsid w:val="00DD259B"/>
    <w:rsid w:val="00DD5AB8"/>
    <w:rsid w:val="00DD7A23"/>
    <w:rsid w:val="00DF3974"/>
    <w:rsid w:val="00DF7723"/>
    <w:rsid w:val="00E01AE7"/>
    <w:rsid w:val="00E047E8"/>
    <w:rsid w:val="00E0596E"/>
    <w:rsid w:val="00E0654B"/>
    <w:rsid w:val="00E0731A"/>
    <w:rsid w:val="00E10992"/>
    <w:rsid w:val="00E1344F"/>
    <w:rsid w:val="00E246EF"/>
    <w:rsid w:val="00E321B6"/>
    <w:rsid w:val="00E35177"/>
    <w:rsid w:val="00E360C8"/>
    <w:rsid w:val="00E41307"/>
    <w:rsid w:val="00E42B43"/>
    <w:rsid w:val="00E45A0B"/>
    <w:rsid w:val="00E46B0E"/>
    <w:rsid w:val="00E47E4A"/>
    <w:rsid w:val="00E56252"/>
    <w:rsid w:val="00E60411"/>
    <w:rsid w:val="00E60888"/>
    <w:rsid w:val="00E617DF"/>
    <w:rsid w:val="00E76330"/>
    <w:rsid w:val="00E76E69"/>
    <w:rsid w:val="00E802D9"/>
    <w:rsid w:val="00E91E60"/>
    <w:rsid w:val="00E949A0"/>
    <w:rsid w:val="00E95B08"/>
    <w:rsid w:val="00EA2781"/>
    <w:rsid w:val="00EB2079"/>
    <w:rsid w:val="00EB55B3"/>
    <w:rsid w:val="00EC112A"/>
    <w:rsid w:val="00EC3166"/>
    <w:rsid w:val="00EC7B75"/>
    <w:rsid w:val="00ED02BB"/>
    <w:rsid w:val="00ED6151"/>
    <w:rsid w:val="00EE0BFB"/>
    <w:rsid w:val="00EF156A"/>
    <w:rsid w:val="00EF1987"/>
    <w:rsid w:val="00EF60C0"/>
    <w:rsid w:val="00F0060B"/>
    <w:rsid w:val="00F058E9"/>
    <w:rsid w:val="00F170D7"/>
    <w:rsid w:val="00F2461B"/>
    <w:rsid w:val="00F26A06"/>
    <w:rsid w:val="00F30207"/>
    <w:rsid w:val="00F3245C"/>
    <w:rsid w:val="00F35812"/>
    <w:rsid w:val="00F373CD"/>
    <w:rsid w:val="00F40114"/>
    <w:rsid w:val="00F401C4"/>
    <w:rsid w:val="00F407F9"/>
    <w:rsid w:val="00F41B9A"/>
    <w:rsid w:val="00F42093"/>
    <w:rsid w:val="00F4654B"/>
    <w:rsid w:val="00F5137E"/>
    <w:rsid w:val="00F55165"/>
    <w:rsid w:val="00F568F5"/>
    <w:rsid w:val="00F57950"/>
    <w:rsid w:val="00F57A92"/>
    <w:rsid w:val="00F75CE2"/>
    <w:rsid w:val="00F77D79"/>
    <w:rsid w:val="00F81907"/>
    <w:rsid w:val="00F90C0C"/>
    <w:rsid w:val="00F96F50"/>
    <w:rsid w:val="00FA0E5A"/>
    <w:rsid w:val="00FA19EF"/>
    <w:rsid w:val="00FA734C"/>
    <w:rsid w:val="00FB3356"/>
    <w:rsid w:val="00FB42C6"/>
    <w:rsid w:val="00FB661B"/>
    <w:rsid w:val="00FB6C3D"/>
    <w:rsid w:val="00FB7CC5"/>
    <w:rsid w:val="00FC0B90"/>
    <w:rsid w:val="00FC1ADB"/>
    <w:rsid w:val="00FC3182"/>
    <w:rsid w:val="00FD48A3"/>
    <w:rsid w:val="00FE14A7"/>
    <w:rsid w:val="00FE2CB2"/>
    <w:rsid w:val="00FE6E48"/>
    <w:rsid w:val="00FE7073"/>
    <w:rsid w:val="00FE799D"/>
    <w:rsid w:val="00FF3F92"/>
    <w:rsid w:val="080F6FEF"/>
    <w:rsid w:val="21BA09AE"/>
    <w:rsid w:val="22A909DB"/>
    <w:rsid w:val="324E6115"/>
    <w:rsid w:val="4B36647A"/>
    <w:rsid w:val="54D51B9B"/>
    <w:rsid w:val="6D1966FC"/>
    <w:rsid w:val="6FD16F81"/>
    <w:rsid w:val="7140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0BDF0"/>
  <w15:docId w15:val="{F24DB994-C4FE-4865-853B-DFC27D07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8B4F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D2800F-AD6F-435C-8539-A6C8C0EF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77 7</dc:creator>
  <cp:lastModifiedBy>佘芳蕾</cp:lastModifiedBy>
  <cp:revision>2</cp:revision>
  <dcterms:created xsi:type="dcterms:W3CDTF">2024-07-16T07:47:00Z</dcterms:created>
  <dcterms:modified xsi:type="dcterms:W3CDTF">2024-07-16T07:47:00Z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