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</w:t>
      </w:r>
      <w:r>
        <w:rPr>
          <w:rFonts w:ascii="宋体" w:hAnsi="宋体" w:eastAsia="宋体"/>
          <w:b/>
          <w:bCs/>
          <w:kern w:val="2"/>
          <w:sz w:val="24"/>
          <w:szCs w:val="24"/>
        </w:rPr>
        <w:t>0</w:t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4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国信证券、圆信永丰基金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2024年7月23日10:00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2:0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黄兴良、苏敏、吴锡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Q1.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公司怎么面对目前的行业形势？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答：行业竞争逐渐激烈，公司要尽最大的努力打造核心竞争力。一是做好产品，提升品质降成本；二是拓宽市场，抓住大客户，推广新产品；三是提高数字化水平，优化工艺。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Q2.公司目前对于多样化发展有没有什么思路？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答：公司首先会聚焦主业，同时也会考虑在新材料相关的领域拓展新赛道。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Q3.公司怎么判断未来的竞争格局？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答：一方面，同业公司扩产的影响要以实际投产的情况来判断；另一方面，公司在技术工艺、市场布局、成本管控等方面有较强竞争优势，对未来的竞争格局比较有信心。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Q4.公司产品结构现在是什么样的？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答：优和博以满足国内需求为主；北京以及山东的纤维以出口和自用为主。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Q5.复合材料外销情况怎么样？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答：在相关政策明确以后，有好转的趋势。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Q6.纤维价格现在怎么样？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答：目前超高分子量聚乙烯纤维价格趋于稳定，出口的价格因规格和性能的不同相对高一些。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Q7.现在毛利怎么样？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答：目前公司主要原材料价格相对稳定，公司也会通过降单耗控制成本，成本有一定竞争优势，毛利较稳定。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Q8.去年年报里，产能利用率100%，自用部分怎么算的？库存为什么还增加了？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答：自用部分按照成本价计算。2023年末存货增加主要系基建转固生产储备原辅半成品、规模扩大产品规格增加等综合所致。根据公司经营战略，公司规格品种较多，库存量相对合理。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Q9.出口管制新规里，公司在管制范围里的出口订单占多少？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答：总的来看占比不高，对现有订单影响比较小。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Q10.目前海外的订单情况怎么样？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答：虽然目前和需求最高点的时候还是有差距，但整体来看比较稳定。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Q11.国内超高分子量聚乙烯纤维未来的增长点在哪？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答：公司正在积极开拓新应用市场，比如水泥增强、海洋牧场等，未来的利润贡献要看具体需求情况。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Q12.公司目前有再融资的计划吗？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答：公司账面资金比较充足，暂时不需要融资，未来如果有再融资的需求会及时公告。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.原材料都是进口吗？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答：目前主要原材料进口和国内采购都有，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目前正在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逐步加大国产原料比重。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.新产能投完之后，价格会有大的变动吗？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答：公司的产能会逐步投产，不会对市场和价格带来较大的波动。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2024年7月23日</w:t>
            </w:r>
          </w:p>
        </w:tc>
      </w:tr>
    </w:tbl>
    <w:p>
      <w:pPr>
        <w:widowControl w:val="0"/>
        <w:ind w:firstLine="640" w:firstLineChars="0"/>
        <w:jc w:val="both"/>
        <w:rPr>
          <w:rFonts w:ascii="等线" w:hAnsi="等线" w:eastAsia="等线"/>
          <w:kern w:val="2"/>
          <w:sz w:val="21"/>
          <w:szCs w:val="22"/>
        </w:rPr>
      </w:pP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br w:type="page"/>
      </w:r>
    </w:p>
    <w:p>
      <w:pPr>
        <w:keepNext/>
        <w:keepLines/>
        <w:widowControl w:val="0"/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</w:t>
      </w:r>
      <w:r>
        <w:rPr>
          <w:rFonts w:ascii="宋体" w:hAnsi="宋体" w:eastAsia="宋体"/>
          <w:b/>
          <w:bCs/>
          <w:kern w:val="2"/>
          <w:sz w:val="24"/>
          <w:szCs w:val="24"/>
        </w:rPr>
        <w:t>0</w:t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5</w:t>
      </w:r>
    </w:p>
    <w:tbl>
      <w:tblPr>
        <w:tblStyle w:val="1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海通证券、新华基金、诺安基金、汇丰晋信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2024年7月23日15:00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6:3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黄兴良、苏敏、吴锡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Q1.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出口新规现在对公司有什么影响？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答：出口政策主要是影响纤维和无纬布产品，随着相关政策明确，无纬布市场正在回升，未来在推广高端产品、开拓市场时可能会受一些影响。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Q2.开工率现在有多少？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答：开工率跟品种有关，纤维的粗细、复材制品的规格等都会影响开工率，目前纤维开工率基本上是100%，复材制品开工率不足，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也在增加中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根据以往的经验，公司会保有一部分复材富裕产能，才能跟上订单的交付要求。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Q3.产品价格现在怎么样？下降的原因是什么？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答：平均来看纤维和无纬布价格略有下降，价格下降既有需求端的原因也有供给端的原因。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Q4.5320吨的纤维里面有多少军用？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答：5320吨的纤维里约有1000多吨的防弹用纤维。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Q5.目前同益中提升的点有哪些？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答：同益中一是要降低成本，打造成本领先优势；二是提升工艺，推进技术迭代；三是拓展新应用；四是提升数智化水平。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Q6.怎么消化这些产能？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优和博可以补足公司纤维民用市场的短板，山东租赁的600吨老产能已经在一季度淘汰掉了，现在的产能比较有竞争力。目前来看，大国竞争的烈度不会缓和，并且防弹制品基本已经到了换装周期，叠加未来美元可能降息带来的影响，公司预计需求会有一定的修复。现在有一些新的应用领域，比如运动鞋、海洋牧场等，长期来看都是比较有前景的应用领域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Q7.同业公司是怎么进入产业链的？同业的产品能实现防弹的效果吗，竞争格局如何？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答：同业公司主要通过价格进入，公司的产品价格在国内相对较高。不同纤维制成的防弹制品的性能也不同，公司有超高分子量聚乙烯纤维全产业链布局，品质更有保障，也能够快速响应客户需求，在争取订单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有竞争优势，T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YZ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品牌在防弹市场有一定知名度和信任度。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Q8.是否可以理解为对公司的限制因素已经落地了？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答：2024年一季度是业绩的低谷，随着各项因素逐渐落地，公司预计未来的需求会有一定修复。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Q9.公司的护城河在什么地方？公司怎么看待新进入者的影响？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答：公司所处的行业已经进行了三次洗牌。新进入者也都是看好本行业的前景，加强竞争是好事，有利于行业进步，关键还是要加强同益中的竞争力。同益中有品牌优势、技术优势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成本优势，同时随着募投项目逐步投产，规模效益逐步显现，研发能力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稳步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提升，我们有信心在竞争中发展壮大。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.国资对公司都考核哪些方面？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答：考核的效益指标以利润为主，同时也会对公司的战略、产能等方面进行考核。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.公司有并购的想法吗？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答：公司会建立以“FIBER+复材”为核心的“3+X”未来纤维产业体系，在行业周期底部寻找合适标的。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.价格方面往后看有没有回升的趋势？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答：纤维价格在去年四季度下降较快，今年初到现在略有下降，幅度在正常范围。2024年一季度的价格虽然有下降，但是毛利率只比2023年一季度下降了2-3个点，成本的下降和结构的调整能够中和价格的下降。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.国产原材料的比例会有提高吗？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答：目前已经在逐步提高国产原材料的使用比例。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2024年7月23日</w:t>
            </w:r>
          </w:p>
        </w:tc>
      </w:tr>
    </w:tbl>
    <w:p>
      <w:pPr>
        <w:widowControl w:val="0"/>
        <w:ind w:firstLine="640" w:firstLineChars="0"/>
        <w:jc w:val="both"/>
        <w:rPr>
          <w:rFonts w:ascii="等线" w:hAnsi="等线" w:eastAsia="等线"/>
          <w:kern w:val="2"/>
          <w:sz w:val="21"/>
          <w:szCs w:val="22"/>
        </w:rPr>
      </w:pP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349A"/>
    <w:rsid w:val="00005CB1"/>
    <w:rsid w:val="00022845"/>
    <w:rsid w:val="0003081F"/>
    <w:rsid w:val="000359C1"/>
    <w:rsid w:val="000439B2"/>
    <w:rsid w:val="00052A0E"/>
    <w:rsid w:val="00053DE0"/>
    <w:rsid w:val="00076D2E"/>
    <w:rsid w:val="000859E9"/>
    <w:rsid w:val="000A0F55"/>
    <w:rsid w:val="000A591D"/>
    <w:rsid w:val="000B1741"/>
    <w:rsid w:val="000C52AC"/>
    <w:rsid w:val="000D692C"/>
    <w:rsid w:val="000F7A06"/>
    <w:rsid w:val="00100F6B"/>
    <w:rsid w:val="00121761"/>
    <w:rsid w:val="00123AB5"/>
    <w:rsid w:val="00123D47"/>
    <w:rsid w:val="00127FC3"/>
    <w:rsid w:val="0013327B"/>
    <w:rsid w:val="00150F1B"/>
    <w:rsid w:val="00154F86"/>
    <w:rsid w:val="0017151E"/>
    <w:rsid w:val="001807AB"/>
    <w:rsid w:val="00191AAA"/>
    <w:rsid w:val="001A495D"/>
    <w:rsid w:val="001A77E4"/>
    <w:rsid w:val="001B29A9"/>
    <w:rsid w:val="001B6AE4"/>
    <w:rsid w:val="001C64DA"/>
    <w:rsid w:val="001D2D5A"/>
    <w:rsid w:val="001D6386"/>
    <w:rsid w:val="001E10BA"/>
    <w:rsid w:val="001E7427"/>
    <w:rsid w:val="001F0723"/>
    <w:rsid w:val="001F70E2"/>
    <w:rsid w:val="00200B7F"/>
    <w:rsid w:val="00215717"/>
    <w:rsid w:val="002218E2"/>
    <w:rsid w:val="002229EC"/>
    <w:rsid w:val="00231CBA"/>
    <w:rsid w:val="00232E50"/>
    <w:rsid w:val="002602DB"/>
    <w:rsid w:val="00263AF7"/>
    <w:rsid w:val="00290276"/>
    <w:rsid w:val="00293C93"/>
    <w:rsid w:val="002A4006"/>
    <w:rsid w:val="002B23D8"/>
    <w:rsid w:val="002E31E3"/>
    <w:rsid w:val="00313AE1"/>
    <w:rsid w:val="003232EE"/>
    <w:rsid w:val="00332EB2"/>
    <w:rsid w:val="0035471F"/>
    <w:rsid w:val="00356A66"/>
    <w:rsid w:val="00365A26"/>
    <w:rsid w:val="0037349D"/>
    <w:rsid w:val="00375B92"/>
    <w:rsid w:val="0038615E"/>
    <w:rsid w:val="003D1F1D"/>
    <w:rsid w:val="003E7880"/>
    <w:rsid w:val="003F25B0"/>
    <w:rsid w:val="003F27D8"/>
    <w:rsid w:val="003F559C"/>
    <w:rsid w:val="003F78BD"/>
    <w:rsid w:val="004206ED"/>
    <w:rsid w:val="004249A5"/>
    <w:rsid w:val="00494F74"/>
    <w:rsid w:val="004D4B52"/>
    <w:rsid w:val="004E0365"/>
    <w:rsid w:val="004F2783"/>
    <w:rsid w:val="00504054"/>
    <w:rsid w:val="005132A6"/>
    <w:rsid w:val="00513E2D"/>
    <w:rsid w:val="005170EA"/>
    <w:rsid w:val="00522547"/>
    <w:rsid w:val="00523EB9"/>
    <w:rsid w:val="005271C6"/>
    <w:rsid w:val="00527B9E"/>
    <w:rsid w:val="00537329"/>
    <w:rsid w:val="00561802"/>
    <w:rsid w:val="0056315A"/>
    <w:rsid w:val="005631C7"/>
    <w:rsid w:val="00565D53"/>
    <w:rsid w:val="00582C94"/>
    <w:rsid w:val="005A18A2"/>
    <w:rsid w:val="005B0BFA"/>
    <w:rsid w:val="005C14A6"/>
    <w:rsid w:val="005C64CF"/>
    <w:rsid w:val="005D5EBB"/>
    <w:rsid w:val="005E0598"/>
    <w:rsid w:val="005E1843"/>
    <w:rsid w:val="005E75EB"/>
    <w:rsid w:val="00602907"/>
    <w:rsid w:val="0060552C"/>
    <w:rsid w:val="006333DD"/>
    <w:rsid w:val="006447A3"/>
    <w:rsid w:val="006574F9"/>
    <w:rsid w:val="006600C3"/>
    <w:rsid w:val="00682E4B"/>
    <w:rsid w:val="006A45FC"/>
    <w:rsid w:val="006A6CCD"/>
    <w:rsid w:val="006B7B42"/>
    <w:rsid w:val="006D189C"/>
    <w:rsid w:val="007077C1"/>
    <w:rsid w:val="00710CBA"/>
    <w:rsid w:val="00711F8C"/>
    <w:rsid w:val="00734288"/>
    <w:rsid w:val="007358E4"/>
    <w:rsid w:val="00750877"/>
    <w:rsid w:val="00754332"/>
    <w:rsid w:val="007553F1"/>
    <w:rsid w:val="00757C9C"/>
    <w:rsid w:val="0076705F"/>
    <w:rsid w:val="0077076E"/>
    <w:rsid w:val="00791A84"/>
    <w:rsid w:val="00793B83"/>
    <w:rsid w:val="007A4B09"/>
    <w:rsid w:val="007B3C2B"/>
    <w:rsid w:val="007C307B"/>
    <w:rsid w:val="007C49A7"/>
    <w:rsid w:val="007D0B41"/>
    <w:rsid w:val="007D1E69"/>
    <w:rsid w:val="007D5F60"/>
    <w:rsid w:val="007E0EE4"/>
    <w:rsid w:val="007E7586"/>
    <w:rsid w:val="007F5328"/>
    <w:rsid w:val="00803B88"/>
    <w:rsid w:val="00815D5C"/>
    <w:rsid w:val="00822581"/>
    <w:rsid w:val="00825546"/>
    <w:rsid w:val="0087222A"/>
    <w:rsid w:val="0087222F"/>
    <w:rsid w:val="008808BF"/>
    <w:rsid w:val="0089022A"/>
    <w:rsid w:val="00897FB6"/>
    <w:rsid w:val="008A1883"/>
    <w:rsid w:val="008C217E"/>
    <w:rsid w:val="008D0B09"/>
    <w:rsid w:val="008D4237"/>
    <w:rsid w:val="008D53D3"/>
    <w:rsid w:val="008E0660"/>
    <w:rsid w:val="009011F4"/>
    <w:rsid w:val="00915CF1"/>
    <w:rsid w:val="00917743"/>
    <w:rsid w:val="00921748"/>
    <w:rsid w:val="00927C89"/>
    <w:rsid w:val="009329EC"/>
    <w:rsid w:val="0093634A"/>
    <w:rsid w:val="00947FBA"/>
    <w:rsid w:val="00950D5C"/>
    <w:rsid w:val="00952D04"/>
    <w:rsid w:val="00955406"/>
    <w:rsid w:val="00956231"/>
    <w:rsid w:val="009675EB"/>
    <w:rsid w:val="00974FE4"/>
    <w:rsid w:val="0099730E"/>
    <w:rsid w:val="009A335B"/>
    <w:rsid w:val="009B484D"/>
    <w:rsid w:val="009D1F37"/>
    <w:rsid w:val="009D3500"/>
    <w:rsid w:val="009D351A"/>
    <w:rsid w:val="009F1BB8"/>
    <w:rsid w:val="009F5371"/>
    <w:rsid w:val="00A2420A"/>
    <w:rsid w:val="00A304A7"/>
    <w:rsid w:val="00A4517B"/>
    <w:rsid w:val="00A45574"/>
    <w:rsid w:val="00A45C82"/>
    <w:rsid w:val="00A51669"/>
    <w:rsid w:val="00A533E9"/>
    <w:rsid w:val="00A73B7F"/>
    <w:rsid w:val="00A90E57"/>
    <w:rsid w:val="00A95A82"/>
    <w:rsid w:val="00A9622D"/>
    <w:rsid w:val="00AA0C22"/>
    <w:rsid w:val="00AC343C"/>
    <w:rsid w:val="00AD132F"/>
    <w:rsid w:val="00AD1B2A"/>
    <w:rsid w:val="00AE45B8"/>
    <w:rsid w:val="00AE4C42"/>
    <w:rsid w:val="00AE5983"/>
    <w:rsid w:val="00AF5895"/>
    <w:rsid w:val="00B017DB"/>
    <w:rsid w:val="00B03895"/>
    <w:rsid w:val="00B06151"/>
    <w:rsid w:val="00B10325"/>
    <w:rsid w:val="00B109F7"/>
    <w:rsid w:val="00B114E9"/>
    <w:rsid w:val="00B203D3"/>
    <w:rsid w:val="00B3034F"/>
    <w:rsid w:val="00B3220A"/>
    <w:rsid w:val="00B328DA"/>
    <w:rsid w:val="00B32F30"/>
    <w:rsid w:val="00B40FB9"/>
    <w:rsid w:val="00B50D27"/>
    <w:rsid w:val="00B64C06"/>
    <w:rsid w:val="00B83688"/>
    <w:rsid w:val="00B8786B"/>
    <w:rsid w:val="00B92C67"/>
    <w:rsid w:val="00BA1C96"/>
    <w:rsid w:val="00BB067A"/>
    <w:rsid w:val="00BC14A0"/>
    <w:rsid w:val="00BF1EC2"/>
    <w:rsid w:val="00BF767C"/>
    <w:rsid w:val="00C04B96"/>
    <w:rsid w:val="00C12546"/>
    <w:rsid w:val="00C24C1B"/>
    <w:rsid w:val="00C26CEF"/>
    <w:rsid w:val="00C2715F"/>
    <w:rsid w:val="00C455EA"/>
    <w:rsid w:val="00C465EA"/>
    <w:rsid w:val="00C55A0D"/>
    <w:rsid w:val="00C6133B"/>
    <w:rsid w:val="00C65F17"/>
    <w:rsid w:val="00C80979"/>
    <w:rsid w:val="00C93067"/>
    <w:rsid w:val="00C95269"/>
    <w:rsid w:val="00C9599E"/>
    <w:rsid w:val="00C974C0"/>
    <w:rsid w:val="00CB10D7"/>
    <w:rsid w:val="00D1667F"/>
    <w:rsid w:val="00D207E8"/>
    <w:rsid w:val="00D27B9F"/>
    <w:rsid w:val="00D322CD"/>
    <w:rsid w:val="00D34299"/>
    <w:rsid w:val="00D3459F"/>
    <w:rsid w:val="00D3643E"/>
    <w:rsid w:val="00D378DC"/>
    <w:rsid w:val="00D564BD"/>
    <w:rsid w:val="00D7212D"/>
    <w:rsid w:val="00D740AF"/>
    <w:rsid w:val="00D80DDF"/>
    <w:rsid w:val="00D8198E"/>
    <w:rsid w:val="00DA6BD8"/>
    <w:rsid w:val="00DB297F"/>
    <w:rsid w:val="00DB6E75"/>
    <w:rsid w:val="00DC5B54"/>
    <w:rsid w:val="00DD27B5"/>
    <w:rsid w:val="00DD364F"/>
    <w:rsid w:val="00DD57B4"/>
    <w:rsid w:val="00DF2737"/>
    <w:rsid w:val="00E01477"/>
    <w:rsid w:val="00E22078"/>
    <w:rsid w:val="00E23B0E"/>
    <w:rsid w:val="00E272DA"/>
    <w:rsid w:val="00E32B4D"/>
    <w:rsid w:val="00E41492"/>
    <w:rsid w:val="00E514E5"/>
    <w:rsid w:val="00E55083"/>
    <w:rsid w:val="00E61634"/>
    <w:rsid w:val="00E653D4"/>
    <w:rsid w:val="00E74D21"/>
    <w:rsid w:val="00E97317"/>
    <w:rsid w:val="00EB0724"/>
    <w:rsid w:val="00EC2BBF"/>
    <w:rsid w:val="00EC692B"/>
    <w:rsid w:val="00ED13BD"/>
    <w:rsid w:val="00ED6C3A"/>
    <w:rsid w:val="00F003ED"/>
    <w:rsid w:val="00F27FCD"/>
    <w:rsid w:val="00F3447E"/>
    <w:rsid w:val="00F43D01"/>
    <w:rsid w:val="00F74ABE"/>
    <w:rsid w:val="00FA0079"/>
    <w:rsid w:val="00FA1835"/>
    <w:rsid w:val="00FA5A22"/>
    <w:rsid w:val="00FB1FF7"/>
    <w:rsid w:val="00FC0367"/>
    <w:rsid w:val="00FC129F"/>
    <w:rsid w:val="00FC64E7"/>
    <w:rsid w:val="00FC7F22"/>
    <w:rsid w:val="00FD191B"/>
    <w:rsid w:val="00FD52FF"/>
    <w:rsid w:val="00FD7A78"/>
    <w:rsid w:val="00FE1BCC"/>
    <w:rsid w:val="0504144A"/>
    <w:rsid w:val="08225AF0"/>
    <w:rsid w:val="09FF6454"/>
    <w:rsid w:val="10E7084B"/>
    <w:rsid w:val="1199286D"/>
    <w:rsid w:val="121A65F2"/>
    <w:rsid w:val="12F4610E"/>
    <w:rsid w:val="16E72704"/>
    <w:rsid w:val="19284730"/>
    <w:rsid w:val="1B0A334F"/>
    <w:rsid w:val="20C4156B"/>
    <w:rsid w:val="21AA5544"/>
    <w:rsid w:val="2671641F"/>
    <w:rsid w:val="27966247"/>
    <w:rsid w:val="32FB1B9A"/>
    <w:rsid w:val="344A6A9D"/>
    <w:rsid w:val="36AF5D13"/>
    <w:rsid w:val="38F31D4F"/>
    <w:rsid w:val="39F56811"/>
    <w:rsid w:val="3AEA3ABC"/>
    <w:rsid w:val="3B631480"/>
    <w:rsid w:val="3D351B7B"/>
    <w:rsid w:val="3EDB2FFD"/>
    <w:rsid w:val="426F0F16"/>
    <w:rsid w:val="43855351"/>
    <w:rsid w:val="43EC028B"/>
    <w:rsid w:val="44B86B57"/>
    <w:rsid w:val="4ABE057B"/>
    <w:rsid w:val="4F4C48A4"/>
    <w:rsid w:val="4F877ECE"/>
    <w:rsid w:val="50DD7C51"/>
    <w:rsid w:val="59FB1240"/>
    <w:rsid w:val="5A4B5E6B"/>
    <w:rsid w:val="5EE70604"/>
    <w:rsid w:val="5F613231"/>
    <w:rsid w:val="614451E9"/>
    <w:rsid w:val="624A187C"/>
    <w:rsid w:val="64F667B6"/>
    <w:rsid w:val="654140C2"/>
    <w:rsid w:val="66682C0E"/>
    <w:rsid w:val="66DF73D5"/>
    <w:rsid w:val="68AE231B"/>
    <w:rsid w:val="69AA5856"/>
    <w:rsid w:val="6B3622F2"/>
    <w:rsid w:val="71F37403"/>
    <w:rsid w:val="75681F2D"/>
    <w:rsid w:val="77252516"/>
    <w:rsid w:val="77264227"/>
    <w:rsid w:val="7CA552EE"/>
    <w:rsid w:val="7CFA4897"/>
    <w:rsid w:val="7D00301C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6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5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8"/>
    <w:qFormat/>
    <w:uiPriority w:val="0"/>
    <w:pPr>
      <w:adjustRightInd w:val="0"/>
      <w:snapToGrid w:val="0"/>
      <w:spacing w:line="600" w:lineRule="exact"/>
    </w:pPr>
  </w:style>
  <w:style w:type="paragraph" w:styleId="6">
    <w:name w:val="annotation text"/>
    <w:basedOn w:val="1"/>
    <w:link w:val="22"/>
    <w:semiHidden/>
    <w:unhideWhenUsed/>
    <w:uiPriority w:val="99"/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7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paragraph" w:styleId="11">
    <w:name w:val="annotation subject"/>
    <w:basedOn w:val="6"/>
    <w:next w:val="6"/>
    <w:link w:val="23"/>
    <w:semiHidden/>
    <w:unhideWhenUsed/>
    <w:uiPriority w:val="99"/>
    <w:rPr>
      <w:b/>
      <w:bCs/>
    </w:r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3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7">
    <w:name w:val="标题 字符"/>
    <w:basedOn w:val="13"/>
    <w:link w:val="10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8">
    <w:name w:val="公文正文 字符"/>
    <w:basedOn w:val="13"/>
    <w:link w:val="4"/>
    <w:qFormat/>
    <w:uiPriority w:val="0"/>
    <w:rPr>
      <w:rFonts w:ascii="仿宋" w:hAnsi="仿宋" w:eastAsia="仿宋" w:cs="Times New Roman"/>
      <w:sz w:val="32"/>
      <w:szCs w:val="32"/>
    </w:rPr>
  </w:style>
  <w:style w:type="character" w:customStyle="1" w:styleId="19">
    <w:name w:val="页眉 字符"/>
    <w:basedOn w:val="13"/>
    <w:link w:val="9"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1">
    <w:name w:val="批注框文本 字符"/>
    <w:basedOn w:val="13"/>
    <w:link w:val="7"/>
    <w:semiHidden/>
    <w:uiPriority w:val="99"/>
    <w:rPr>
      <w:rFonts w:ascii="仿宋" w:hAnsi="仿宋" w:eastAsia="仿宋"/>
      <w:sz w:val="18"/>
      <w:szCs w:val="18"/>
    </w:rPr>
  </w:style>
  <w:style w:type="character" w:customStyle="1" w:styleId="22">
    <w:name w:val="批注文字 字符"/>
    <w:basedOn w:val="13"/>
    <w:link w:val="6"/>
    <w:semiHidden/>
    <w:uiPriority w:val="99"/>
    <w:rPr>
      <w:rFonts w:ascii="仿宋" w:hAnsi="仿宋" w:eastAsia="仿宋"/>
      <w:sz w:val="32"/>
      <w:szCs w:val="32"/>
    </w:rPr>
  </w:style>
  <w:style w:type="character" w:customStyle="1" w:styleId="23">
    <w:name w:val="批注主题 字符"/>
    <w:basedOn w:val="22"/>
    <w:link w:val="11"/>
    <w:semiHidden/>
    <w:uiPriority w:val="99"/>
    <w:rPr>
      <w:rFonts w:ascii="仿宋" w:hAnsi="仿宋" w:eastAsia="仿宋"/>
      <w:b/>
      <w:bCs/>
      <w:sz w:val="32"/>
      <w:szCs w:val="32"/>
    </w:rPr>
  </w:style>
  <w:style w:type="paragraph" w:customStyle="1" w:styleId="24">
    <w:name w:val="修订1"/>
    <w:hidden/>
    <w:unhideWhenUsed/>
    <w:uiPriority w:val="99"/>
    <w:rPr>
      <w:rFonts w:ascii="仿宋" w:hAnsi="仿宋" w:eastAsia="仿宋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445</Words>
  <Characters>2541</Characters>
  <Lines>21</Lines>
  <Paragraphs>5</Paragraphs>
  <TotalTime>14</TotalTime>
  <ScaleCrop>false</ScaleCrop>
  <LinksUpToDate>false</LinksUpToDate>
  <CharactersWithSpaces>2981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2024-07-24T09:09:00Z</dcterms:created>
  <dc:creator>zhb-duds</dc:creator>
  <cp:lastModifiedBy>wps</cp:lastModifiedBy>
  <dcterms:modified xsi:type="dcterms:W3CDTF">2024-07-24T09:30:40Z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C329CF5F716B469AA8BAF081BA5CBA1A</vt:lpwstr>
  </property>
</Properties>
</file>