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3A332">
      <w:pPr>
        <w:spacing w:before="156" w:beforeLines="50" w:after="156" w:afterLines="50" w:line="400" w:lineRule="exact"/>
        <w:rPr>
          <w:rFonts w:ascii="宋体" w:hAnsi="宋体"/>
          <w:b/>
          <w:iCs/>
          <w:color w:val="000000"/>
          <w:sz w:val="24"/>
          <w:szCs w:val="22"/>
        </w:rPr>
      </w:pPr>
      <w:r>
        <w:rPr>
          <w:rFonts w:hint="eastAsia" w:ascii="宋体" w:hAnsi="宋体"/>
          <w:b/>
          <w:iCs/>
          <w:color w:val="000000"/>
          <w:sz w:val="24"/>
          <w:szCs w:val="22"/>
        </w:rPr>
        <w:t xml:space="preserve">证券代码：688188                                </w:t>
      </w:r>
      <w:r>
        <w:rPr>
          <w:rFonts w:ascii="宋体" w:hAnsi="宋体"/>
          <w:b/>
          <w:iCs/>
          <w:color w:val="000000"/>
          <w:sz w:val="24"/>
          <w:szCs w:val="22"/>
        </w:rPr>
        <w:t xml:space="preserve">  </w:t>
      </w:r>
      <w:r>
        <w:rPr>
          <w:rFonts w:hint="eastAsia" w:ascii="宋体" w:hAnsi="宋体"/>
          <w:b/>
          <w:iCs/>
          <w:color w:val="000000"/>
          <w:sz w:val="24"/>
          <w:szCs w:val="22"/>
        </w:rPr>
        <w:t xml:space="preserve">证券简称：柏楚电子 </w:t>
      </w:r>
    </w:p>
    <w:p w14:paraId="027FE76B">
      <w:pPr>
        <w:spacing w:line="360" w:lineRule="auto"/>
        <w:ind w:firstLine="643" w:firstLineChars="200"/>
        <w:jc w:val="center"/>
        <w:rPr>
          <w:rFonts w:hint="eastAsia" w:ascii="宋体" w:hAnsi="宋体"/>
          <w:b/>
          <w:bCs/>
          <w:iCs/>
          <w:color w:val="000000"/>
          <w:sz w:val="32"/>
          <w:szCs w:val="32"/>
        </w:rPr>
      </w:pPr>
    </w:p>
    <w:p w14:paraId="4A25741D">
      <w:pPr>
        <w:spacing w:line="360" w:lineRule="auto"/>
        <w:ind w:firstLine="643" w:firstLineChars="200"/>
        <w:jc w:val="center"/>
        <w:rPr>
          <w:rFonts w:hint="eastAsia" w:ascii="宋体" w:hAnsi="宋体"/>
          <w:b/>
          <w:bCs/>
          <w:iCs/>
          <w:color w:val="000000"/>
          <w:sz w:val="32"/>
          <w:szCs w:val="32"/>
        </w:rPr>
      </w:pPr>
      <w:r>
        <w:rPr>
          <w:rFonts w:hint="eastAsia" w:ascii="宋体" w:hAnsi="宋体"/>
          <w:b/>
          <w:bCs/>
          <w:iCs/>
          <w:color w:val="000000"/>
          <w:sz w:val="32"/>
          <w:szCs w:val="32"/>
        </w:rPr>
        <w:t>上海柏楚电子科技股份有限公司</w:t>
      </w:r>
    </w:p>
    <w:p w14:paraId="6F07B510">
      <w:pPr>
        <w:spacing w:line="360" w:lineRule="auto"/>
        <w:ind w:firstLine="643" w:firstLineChars="200"/>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320BD2A0">
      <w:pPr>
        <w:spacing w:line="360" w:lineRule="auto"/>
        <w:ind w:firstLine="643" w:firstLineChars="200"/>
        <w:jc w:val="center"/>
        <w:rPr>
          <w:rFonts w:hint="eastAsia" w:ascii="宋体" w:hAnsi="宋体"/>
          <w:b/>
          <w:bCs/>
          <w:iCs/>
          <w:color w:val="000000"/>
          <w:sz w:val="32"/>
          <w:szCs w:val="32"/>
        </w:rPr>
      </w:pPr>
    </w:p>
    <w:p w14:paraId="3FFE12CF">
      <w:pPr>
        <w:spacing w:line="400" w:lineRule="exact"/>
        <w:ind w:firstLine="480" w:firstLineChars="200"/>
        <w:rPr>
          <w:rFonts w:hint="default" w:ascii="宋体" w:hAnsi="宋体" w:eastAsia="宋体"/>
          <w:bCs/>
          <w:iCs/>
          <w:color w:val="000000"/>
          <w:sz w:val="24"/>
          <w:lang w:val="en-US" w:eastAsia="zh-CN"/>
        </w:rPr>
      </w:pPr>
      <w:r>
        <w:rPr>
          <w:rFonts w:hint="eastAsia" w:ascii="宋体" w:hAnsi="宋体"/>
          <w:bCs/>
          <w:iCs/>
          <w:color w:val="000000"/>
          <w:sz w:val="24"/>
        </w:rPr>
        <w:t xml:space="preserve">                                                   编号：</w:t>
      </w:r>
      <w:r>
        <w:rPr>
          <w:rFonts w:hint="eastAsia" w:ascii="宋体" w:hAnsi="宋体"/>
          <w:bCs/>
          <w:iCs/>
          <w:color w:val="000000"/>
          <w:sz w:val="24"/>
          <w:lang w:val="en-US" w:eastAsia="zh-CN"/>
        </w:rPr>
        <w:t>2024-002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7A73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D4DCDD9">
            <w:pPr>
              <w:spacing w:line="360" w:lineRule="auto"/>
              <w:rPr>
                <w:rFonts w:ascii="宋体" w:hAnsi="宋体"/>
                <w:bCs/>
                <w:iCs/>
                <w:color w:val="000000"/>
                <w:sz w:val="24"/>
              </w:rPr>
            </w:pPr>
            <w:r>
              <w:rPr>
                <w:rFonts w:hint="eastAsia" w:ascii="宋体" w:hAnsi="宋体"/>
                <w:bCs/>
                <w:iCs/>
                <w:color w:val="000000"/>
                <w:sz w:val="24"/>
              </w:rPr>
              <w:t>投资者关系活动类别</w:t>
            </w:r>
          </w:p>
          <w:p w14:paraId="7B671610">
            <w:pPr>
              <w:spacing w:line="360" w:lineRule="auto"/>
              <w:rPr>
                <w:rFonts w:ascii="宋体" w:hAnsi="宋体"/>
                <w:bCs/>
                <w:iCs/>
                <w:color w:val="000000"/>
                <w:sz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D534067">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特定对象调研        </w:t>
            </w:r>
            <w:r>
              <w:rPr>
                <w:rFonts w:hint="eastAsia" w:ascii="宋体" w:hAnsi="宋体"/>
                <w:bCs/>
                <w:iCs/>
                <w:color w:val="000000"/>
                <w:sz w:val="24"/>
              </w:rPr>
              <w:t>□</w:t>
            </w:r>
            <w:r>
              <w:rPr>
                <w:rFonts w:hint="eastAsia" w:ascii="宋体" w:hAnsi="宋体"/>
                <w:sz w:val="24"/>
              </w:rPr>
              <w:t>分析师会议</w:t>
            </w:r>
          </w:p>
          <w:p w14:paraId="48DCF2C1">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媒体采访            </w:t>
            </w:r>
            <w:r>
              <w:rPr>
                <w:rFonts w:hint="eastAsia" w:ascii="宋体" w:hAnsi="宋体"/>
                <w:bCs/>
                <w:iCs/>
                <w:color w:val="000000"/>
                <w:sz w:val="24"/>
              </w:rPr>
              <w:t>□</w:t>
            </w:r>
            <w:r>
              <w:rPr>
                <w:rFonts w:hint="eastAsia" w:ascii="宋体" w:hAnsi="宋体"/>
                <w:sz w:val="24"/>
              </w:rPr>
              <w:t>业绩说明会</w:t>
            </w:r>
          </w:p>
          <w:p w14:paraId="766E16D5">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新闻发布会          </w:t>
            </w:r>
            <w:r>
              <w:rPr>
                <w:rFonts w:hint="eastAsia" w:ascii="宋体" w:hAnsi="宋体"/>
                <w:bCs/>
                <w:iCs/>
                <w:color w:val="000000"/>
                <w:sz w:val="24"/>
              </w:rPr>
              <w:t>□</w:t>
            </w:r>
            <w:r>
              <w:rPr>
                <w:rFonts w:hint="eastAsia" w:ascii="宋体" w:hAnsi="宋体"/>
                <w:sz w:val="24"/>
              </w:rPr>
              <w:t>路演活动</w:t>
            </w:r>
          </w:p>
          <w:p w14:paraId="0F86A34F">
            <w:pPr>
              <w:tabs>
                <w:tab w:val="left" w:pos="3045"/>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现场参观</w:t>
            </w:r>
            <w:r>
              <w:rPr>
                <w:rFonts w:hint="eastAsia" w:ascii="宋体" w:hAnsi="宋体"/>
                <w:bCs/>
                <w:iCs/>
                <w:color w:val="000000"/>
                <w:sz w:val="24"/>
              </w:rPr>
              <w:tab/>
            </w:r>
          </w:p>
          <w:p w14:paraId="29C0926E">
            <w:pPr>
              <w:tabs>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其他 （</w:t>
            </w:r>
            <w:r>
              <w:rPr>
                <w:rFonts w:hint="eastAsia" w:ascii="宋体" w:hAnsi="宋体"/>
                <w:sz w:val="24"/>
                <w:u w:val="single"/>
              </w:rPr>
              <w:t>电话会议）</w:t>
            </w:r>
          </w:p>
        </w:tc>
      </w:tr>
      <w:tr w14:paraId="22B6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2269432">
            <w:pPr>
              <w:spacing w:line="360" w:lineRule="auto"/>
              <w:rPr>
                <w:rFonts w:hint="default" w:ascii="宋体" w:hAnsi="宋体" w:eastAsia="宋体"/>
                <w:bCs/>
                <w:iCs/>
                <w:color w:val="000000"/>
                <w:sz w:val="24"/>
                <w:lang w:val="en-US" w:eastAsia="zh-CN"/>
              </w:rPr>
            </w:pPr>
            <w:r>
              <w:rPr>
                <w:rFonts w:hint="eastAsia" w:ascii="宋体" w:hAnsi="宋体"/>
                <w:bCs/>
                <w:iCs/>
                <w:color w:val="000000"/>
                <w:sz w:val="24"/>
              </w:rPr>
              <w:t>参与单位名称</w:t>
            </w:r>
            <w:r>
              <w:rPr>
                <w:rFonts w:hint="eastAsia" w:ascii="宋体" w:hAnsi="宋体"/>
                <w:bCs/>
                <w:iCs/>
                <w:color w:val="000000"/>
                <w:sz w:val="24"/>
                <w:lang w:val="en-US" w:eastAsia="zh-CN"/>
              </w:rPr>
              <w:t>及人数</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2C198C8F">
            <w:pPr>
              <w:spacing w:line="480" w:lineRule="atLeast"/>
              <w:rPr>
                <w:rFonts w:hint="default" w:ascii="宋体" w:hAnsi="宋体" w:eastAsia="宋体"/>
                <w:bCs/>
                <w:iCs/>
                <w:color w:val="000000"/>
                <w:sz w:val="24"/>
                <w:lang w:val="en-US" w:eastAsia="zh-CN"/>
              </w:rPr>
            </w:pPr>
            <w:r>
              <w:rPr>
                <w:rFonts w:hint="eastAsia"/>
              </w:rPr>
              <w:t>申万宏源证券有限公司</w:t>
            </w:r>
            <w:r>
              <w:rPr>
                <w:rFonts w:hint="eastAsia"/>
                <w:lang w:eastAsia="zh-CN"/>
              </w:rPr>
              <w:t>、</w:t>
            </w:r>
            <w:r>
              <w:rPr>
                <w:rFonts w:hint="eastAsia"/>
                <w:lang w:val="en-US" w:eastAsia="zh-CN"/>
              </w:rPr>
              <w:t>TEMASEK FULLERTON ALPHA PTE LTD、</w:t>
            </w:r>
            <w:r>
              <w:rPr>
                <w:rFonts w:hint="eastAsia"/>
                <w:lang w:eastAsia="zh-CN"/>
              </w:rPr>
              <w:t>GIC</w:t>
            </w:r>
            <w:r>
              <w:rPr>
                <w:rFonts w:hint="eastAsia"/>
                <w:lang w:val="en-US" w:eastAsia="zh-CN"/>
              </w:rPr>
              <w:t xml:space="preserve"> </w:t>
            </w:r>
            <w:r>
              <w:rPr>
                <w:rFonts w:hint="eastAsia"/>
                <w:lang w:eastAsia="zh-CN"/>
              </w:rPr>
              <w:t>PRIVATE</w:t>
            </w:r>
            <w:r>
              <w:rPr>
                <w:rFonts w:hint="eastAsia"/>
                <w:lang w:val="en-US" w:eastAsia="zh-CN"/>
              </w:rPr>
              <w:t xml:space="preserve"> </w:t>
            </w:r>
            <w:r>
              <w:rPr>
                <w:rFonts w:hint="eastAsia"/>
                <w:lang w:eastAsia="zh-CN"/>
              </w:rPr>
              <w:t>LIMITED、</w:t>
            </w:r>
            <w:r>
              <w:rPr>
                <w:rFonts w:hint="eastAsia"/>
              </w:rPr>
              <w:t>中信证券股份有限公司</w:t>
            </w:r>
            <w:r>
              <w:rPr>
                <w:rFonts w:hint="eastAsia"/>
                <w:lang w:eastAsia="zh-CN"/>
              </w:rPr>
              <w:t>、中信资本、中信建投证券股份有限公司、易方达基金管理有限公司、交银施罗德基金、睿远基金管理有限公司、南方基金管理股份</w:t>
            </w:r>
            <w:bookmarkStart w:id="0" w:name="_GoBack"/>
            <w:bookmarkEnd w:id="0"/>
            <w:r>
              <w:rPr>
                <w:rFonts w:hint="eastAsia"/>
                <w:lang w:eastAsia="zh-CN"/>
              </w:rPr>
              <w:t>有限公司、中欧基金管理有限公司、上海瓴仁私募基金管理合伙企业（有限合伙）、工银瑞信基金管理有限公司、华安基金、Point72 、Blackrock、GAAM、Harding Loevner、T. Rowe Price、Aeon Management、Causeway Capital Management、OCTO Rivers、Schroder Investment Mangement Limited</w:t>
            </w:r>
            <w:r>
              <w:rPr>
                <w:rFonts w:hint="eastAsia"/>
                <w:lang w:val="en-US" w:eastAsia="zh-CN"/>
              </w:rPr>
              <w:t>等228家机构，共计303人次。</w:t>
            </w:r>
          </w:p>
        </w:tc>
      </w:tr>
      <w:tr w14:paraId="3678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A972CC3">
            <w:pPr>
              <w:spacing w:line="360" w:lineRule="auto"/>
              <w:rPr>
                <w:rFonts w:ascii="宋体" w:hAnsi="宋体"/>
                <w:bCs/>
                <w:iCs/>
                <w:color w:val="000000"/>
                <w:sz w:val="24"/>
              </w:rPr>
            </w:pPr>
            <w:r>
              <w:rPr>
                <w:rFonts w:hint="eastAsia" w:ascii="宋体" w:hAnsi="宋体"/>
                <w:bCs/>
                <w:iCs/>
                <w:color w:val="000000"/>
                <w:sz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2177ABAF">
            <w:pPr>
              <w:spacing w:line="480" w:lineRule="atLeast"/>
              <w:rPr>
                <w:rFonts w:hint="default" w:ascii="宋体" w:hAnsi="宋体" w:eastAsia="宋体"/>
                <w:bCs/>
                <w:iCs/>
                <w:color w:val="000000"/>
                <w:sz w:val="24"/>
                <w:lang w:val="en-US" w:eastAsia="zh-CN"/>
              </w:rPr>
            </w:pPr>
            <w:r>
              <w:rPr>
                <w:rFonts w:hint="eastAsia" w:ascii="宋体" w:hAnsi="宋体"/>
                <w:bCs/>
                <w:iCs/>
                <w:color w:val="000000"/>
                <w:sz w:val="24"/>
              </w:rPr>
              <w:t>202</w:t>
            </w:r>
            <w:r>
              <w:rPr>
                <w:rFonts w:hint="eastAsia" w:ascii="宋体" w:hAnsi="宋体"/>
                <w:bCs/>
                <w:iCs/>
                <w:color w:val="000000"/>
                <w:sz w:val="24"/>
                <w:lang w:val="en-US" w:eastAsia="zh-CN"/>
              </w:rPr>
              <w:t>4</w:t>
            </w:r>
            <w:r>
              <w:rPr>
                <w:rFonts w:hint="eastAsia" w:ascii="宋体" w:hAnsi="宋体"/>
                <w:bCs/>
                <w:iCs/>
                <w:color w:val="000000"/>
                <w:sz w:val="24"/>
              </w:rPr>
              <w:t>年</w:t>
            </w:r>
            <w:r>
              <w:rPr>
                <w:rFonts w:hint="eastAsia" w:ascii="宋体" w:hAnsi="宋体"/>
                <w:bCs/>
                <w:iCs/>
                <w:color w:val="000000"/>
                <w:sz w:val="24"/>
                <w:lang w:val="en-US" w:eastAsia="zh-CN"/>
              </w:rPr>
              <w:t>8</w:t>
            </w:r>
            <w:r>
              <w:rPr>
                <w:rFonts w:hint="eastAsia" w:ascii="宋体" w:hAnsi="宋体"/>
                <w:bCs/>
                <w:iCs/>
                <w:color w:val="000000"/>
                <w:sz w:val="24"/>
              </w:rPr>
              <w:t>月</w:t>
            </w:r>
            <w:r>
              <w:rPr>
                <w:rFonts w:hint="eastAsia" w:ascii="宋体" w:hAnsi="宋体"/>
                <w:bCs/>
                <w:iCs/>
                <w:color w:val="000000"/>
                <w:sz w:val="24"/>
                <w:lang w:val="en-US" w:eastAsia="zh-CN"/>
              </w:rPr>
              <w:t>20</w:t>
            </w:r>
            <w:r>
              <w:rPr>
                <w:rFonts w:hint="eastAsia" w:ascii="宋体" w:hAnsi="宋体"/>
                <w:bCs/>
                <w:iCs/>
                <w:color w:val="000000"/>
                <w:sz w:val="24"/>
              </w:rPr>
              <w:t>日 上午1</w:t>
            </w:r>
            <w:r>
              <w:rPr>
                <w:rFonts w:hint="eastAsia" w:ascii="宋体" w:hAnsi="宋体"/>
                <w:bCs/>
                <w:iCs/>
                <w:color w:val="000000"/>
                <w:sz w:val="24"/>
                <w:lang w:val="en-US" w:eastAsia="zh-CN"/>
              </w:rPr>
              <w:t>3</w:t>
            </w:r>
            <w:r>
              <w:rPr>
                <w:rFonts w:hint="eastAsia" w:ascii="宋体" w:hAnsi="宋体"/>
                <w:bCs/>
                <w:iCs/>
                <w:color w:val="000000"/>
                <w:sz w:val="24"/>
              </w:rPr>
              <w:t>:</w:t>
            </w:r>
            <w:r>
              <w:rPr>
                <w:rFonts w:hint="eastAsia" w:ascii="宋体" w:hAnsi="宋体"/>
                <w:bCs/>
                <w:iCs/>
                <w:color w:val="000000"/>
                <w:sz w:val="24"/>
                <w:lang w:val="en-US" w:eastAsia="zh-CN"/>
              </w:rPr>
              <w:t>3</w:t>
            </w:r>
            <w:r>
              <w:rPr>
                <w:rFonts w:hint="eastAsia" w:ascii="宋体" w:hAnsi="宋体"/>
                <w:bCs/>
                <w:iCs/>
                <w:color w:val="000000"/>
                <w:sz w:val="24"/>
              </w:rPr>
              <w:t>0-1</w:t>
            </w:r>
            <w:r>
              <w:rPr>
                <w:rFonts w:hint="eastAsia" w:ascii="宋体" w:hAnsi="宋体"/>
                <w:bCs/>
                <w:iCs/>
                <w:color w:val="000000"/>
                <w:sz w:val="24"/>
                <w:lang w:val="en-US" w:eastAsia="zh-CN"/>
              </w:rPr>
              <w:t>4</w:t>
            </w:r>
            <w:r>
              <w:rPr>
                <w:rFonts w:hint="eastAsia" w:ascii="宋体" w:hAnsi="宋体"/>
                <w:bCs/>
                <w:iCs/>
                <w:color w:val="000000"/>
                <w:sz w:val="24"/>
              </w:rPr>
              <w:t>:</w:t>
            </w:r>
            <w:r>
              <w:rPr>
                <w:rFonts w:hint="eastAsia" w:ascii="宋体" w:hAnsi="宋体"/>
                <w:bCs/>
                <w:iCs/>
                <w:color w:val="000000"/>
                <w:sz w:val="24"/>
                <w:lang w:val="en-US" w:eastAsia="zh-CN"/>
              </w:rPr>
              <w:t>45</w:t>
            </w:r>
          </w:p>
        </w:tc>
      </w:tr>
      <w:tr w14:paraId="22F5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CA9532B">
            <w:pPr>
              <w:spacing w:line="360" w:lineRule="auto"/>
              <w:rPr>
                <w:rFonts w:ascii="宋体" w:hAnsi="宋体"/>
                <w:bCs/>
                <w:iCs/>
                <w:color w:val="000000"/>
                <w:sz w:val="24"/>
              </w:rPr>
            </w:pPr>
            <w:r>
              <w:rPr>
                <w:rFonts w:hint="eastAsia" w:ascii="宋体" w:hAnsi="宋体"/>
                <w:bCs/>
                <w:iCs/>
                <w:color w:val="000000"/>
                <w:sz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1E760726">
            <w:pPr>
              <w:spacing w:line="480" w:lineRule="atLeast"/>
              <w:rPr>
                <w:rFonts w:ascii="宋体" w:hAnsi="宋体"/>
                <w:bCs/>
                <w:iCs/>
                <w:color w:val="000000"/>
                <w:sz w:val="24"/>
              </w:rPr>
            </w:pPr>
            <w:r>
              <w:rPr>
                <w:rFonts w:hint="eastAsia" w:ascii="宋体" w:hAnsi="宋体"/>
                <w:bCs/>
                <w:iCs/>
                <w:color w:val="000000"/>
                <w:sz w:val="24"/>
              </w:rPr>
              <w:t>电话会议</w:t>
            </w:r>
          </w:p>
        </w:tc>
      </w:tr>
      <w:tr w14:paraId="1D52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90B9269">
            <w:pPr>
              <w:spacing w:line="360" w:lineRule="auto"/>
              <w:rPr>
                <w:rFonts w:ascii="宋体" w:hAnsi="宋体"/>
                <w:bCs/>
                <w:iCs/>
                <w:color w:val="000000"/>
                <w:sz w:val="24"/>
              </w:rPr>
            </w:pPr>
            <w:r>
              <w:rPr>
                <w:rFonts w:hint="eastAsia" w:ascii="宋体" w:hAnsi="宋体"/>
                <w:bCs/>
                <w:iCs/>
                <w:color w:val="000000"/>
                <w:sz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43E7534E">
            <w:pPr>
              <w:spacing w:line="480" w:lineRule="atLeast"/>
              <w:rPr>
                <w:rFonts w:ascii="宋体" w:hAnsi="宋体"/>
                <w:bCs/>
                <w:iCs/>
                <w:color w:val="000000"/>
                <w:sz w:val="24"/>
              </w:rPr>
            </w:pPr>
            <w:r>
              <w:rPr>
                <w:rFonts w:hint="eastAsia" w:ascii="宋体" w:hAnsi="宋体"/>
                <w:bCs/>
                <w:iCs/>
                <w:color w:val="000000"/>
                <w:sz w:val="24"/>
              </w:rPr>
              <w:t>董事会秘书：周荇</w:t>
            </w:r>
          </w:p>
          <w:p w14:paraId="308EE32E">
            <w:pPr>
              <w:spacing w:line="480" w:lineRule="atLeast"/>
              <w:rPr>
                <w:rFonts w:ascii="宋体" w:hAnsi="宋体"/>
                <w:bCs/>
                <w:iCs/>
                <w:color w:val="000000"/>
                <w:sz w:val="24"/>
              </w:rPr>
            </w:pPr>
            <w:r>
              <w:rPr>
                <w:rFonts w:hint="eastAsia" w:ascii="宋体" w:hAnsi="宋体"/>
                <w:bCs/>
                <w:iCs/>
                <w:color w:val="000000"/>
                <w:sz w:val="24"/>
              </w:rPr>
              <w:t>证券事务代表：周志禹</w:t>
            </w:r>
          </w:p>
        </w:tc>
      </w:tr>
      <w:tr w14:paraId="2A8B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07084BA">
            <w:pPr>
              <w:spacing w:line="360" w:lineRule="auto"/>
              <w:rPr>
                <w:rFonts w:ascii="宋体" w:hAnsi="宋体"/>
                <w:bCs/>
                <w:iCs/>
                <w:color w:val="000000"/>
                <w:sz w:val="24"/>
              </w:rPr>
            </w:pPr>
            <w:r>
              <w:rPr>
                <w:rFonts w:hint="eastAsia" w:ascii="宋体" w:hAnsi="宋体"/>
                <w:bCs/>
                <w:iCs/>
                <w:color w:val="000000"/>
                <w:sz w:val="24"/>
              </w:rPr>
              <w:t>投资者关系活动主要内容介绍</w:t>
            </w:r>
          </w:p>
          <w:p w14:paraId="58235F92">
            <w:pPr>
              <w:spacing w:line="360" w:lineRule="auto"/>
              <w:rPr>
                <w:rFonts w:ascii="宋体" w:hAnsi="宋体"/>
                <w:bCs/>
                <w:iCs/>
                <w:color w:val="000000"/>
                <w:sz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2DF54CED">
            <w:pPr>
              <w:spacing w:line="480" w:lineRule="atLeast"/>
              <w:rPr>
                <w:rFonts w:ascii="宋体" w:hAnsi="宋体"/>
                <w:b/>
                <w:iCs/>
                <w:color w:val="000000"/>
                <w:sz w:val="24"/>
              </w:rPr>
            </w:pPr>
            <w:r>
              <w:rPr>
                <w:rFonts w:hint="eastAsia" w:ascii="宋体" w:hAnsi="宋体"/>
                <w:b/>
                <w:iCs/>
                <w:color w:val="000000"/>
                <w:sz w:val="24"/>
              </w:rPr>
              <w:t>交流的主要内容：</w:t>
            </w:r>
          </w:p>
          <w:p w14:paraId="46DBAE3F">
            <w:pPr>
              <w:spacing w:line="480" w:lineRule="atLeast"/>
              <w:rPr>
                <w:rFonts w:ascii="宋体" w:hAnsi="宋体"/>
                <w:b/>
                <w:iCs/>
                <w:color w:val="000000"/>
                <w:sz w:val="24"/>
              </w:rPr>
            </w:pPr>
            <w:r>
              <w:rPr>
                <w:rFonts w:ascii="宋体" w:hAnsi="宋体"/>
                <w:b/>
                <w:iCs/>
                <w:color w:val="000000"/>
                <w:sz w:val="24"/>
              </w:rPr>
              <w:t>第一部分：公司</w:t>
            </w:r>
            <w:r>
              <w:rPr>
                <w:rFonts w:hint="eastAsia" w:ascii="宋体" w:hAnsi="宋体"/>
                <w:b/>
                <w:iCs/>
                <w:color w:val="000000"/>
                <w:sz w:val="24"/>
                <w:lang w:val="en-US" w:eastAsia="zh-CN"/>
              </w:rPr>
              <w:t>2024年半年度</w:t>
            </w:r>
            <w:r>
              <w:rPr>
                <w:rFonts w:hint="eastAsia" w:ascii="宋体" w:hAnsi="宋体"/>
                <w:b/>
                <w:iCs/>
                <w:color w:val="000000"/>
                <w:sz w:val="24"/>
              </w:rPr>
              <w:t>业绩基本</w:t>
            </w:r>
            <w:r>
              <w:rPr>
                <w:rFonts w:ascii="宋体" w:hAnsi="宋体"/>
                <w:b/>
                <w:iCs/>
                <w:color w:val="000000"/>
                <w:sz w:val="24"/>
              </w:rPr>
              <w:t>情况介绍</w:t>
            </w:r>
          </w:p>
          <w:p w14:paraId="4685F9EB">
            <w:pPr>
              <w:spacing w:line="480" w:lineRule="atLeast"/>
              <w:rPr>
                <w:rFonts w:hint="eastAsia" w:ascii="宋体" w:hAnsi="宋体"/>
                <w:bCs/>
                <w:iCs/>
                <w:color w:val="000000"/>
                <w:sz w:val="24"/>
              </w:rPr>
            </w:pPr>
            <w:r>
              <w:rPr>
                <w:rFonts w:hint="eastAsia" w:ascii="宋体" w:hAnsi="宋体"/>
                <w:bCs/>
                <w:iCs/>
                <w:color w:val="000000"/>
                <w:sz w:val="24"/>
              </w:rPr>
              <w:t>报告期内，今年上半年营收约为8.84亿，公司实现营业收入同比增长 33.65%，净利润为</w:t>
            </w:r>
            <w:r>
              <w:rPr>
                <w:rFonts w:hint="eastAsia" w:ascii="宋体" w:hAnsi="宋体"/>
                <w:bCs/>
                <w:iCs/>
                <w:color w:val="000000"/>
                <w:sz w:val="24"/>
                <w:lang w:val="en-US" w:eastAsia="zh-CN"/>
              </w:rPr>
              <w:t>约</w:t>
            </w:r>
            <w:r>
              <w:rPr>
                <w:rFonts w:hint="eastAsia" w:ascii="宋体" w:hAnsi="宋体"/>
                <w:bCs/>
                <w:iCs/>
                <w:color w:val="000000"/>
                <w:sz w:val="24"/>
              </w:rPr>
              <w:t>4.9</w:t>
            </w:r>
            <w:r>
              <w:rPr>
                <w:rFonts w:hint="eastAsia" w:ascii="宋体" w:hAnsi="宋体"/>
                <w:bCs/>
                <w:iCs/>
                <w:color w:val="000000"/>
                <w:sz w:val="24"/>
                <w:lang w:val="en-US" w:eastAsia="zh-CN"/>
              </w:rPr>
              <w:t>1</w:t>
            </w:r>
            <w:r>
              <w:rPr>
                <w:rFonts w:hint="eastAsia" w:ascii="宋体" w:hAnsi="宋体"/>
                <w:bCs/>
                <w:iCs/>
                <w:color w:val="000000"/>
                <w:sz w:val="24"/>
              </w:rPr>
              <w:t>亿，同比增长35.67%</w:t>
            </w:r>
            <w:r>
              <w:rPr>
                <w:rFonts w:hint="eastAsia" w:ascii="宋体" w:hAnsi="宋体"/>
                <w:bCs/>
                <w:iCs/>
                <w:color w:val="000000"/>
                <w:sz w:val="24"/>
                <w:lang w:eastAsia="zh-CN"/>
              </w:rPr>
              <w:t>，</w:t>
            </w:r>
            <w:r>
              <w:rPr>
                <w:rFonts w:hint="eastAsia" w:ascii="宋体" w:hAnsi="宋体"/>
                <w:bCs/>
                <w:iCs/>
                <w:color w:val="000000"/>
                <w:sz w:val="24"/>
              </w:rPr>
              <w:t>主要系公司持续加大技术研发及市场开拓的投入，不断开拓新市场，进一步优化产品结构，激光加工控制系统业务订单量持续增长，智能切割头业务订单量大幅增长所致。</w:t>
            </w:r>
          </w:p>
          <w:p w14:paraId="0A8F097D">
            <w:pPr>
              <w:spacing w:line="480" w:lineRule="atLeast"/>
              <w:rPr>
                <w:rFonts w:hint="eastAsia" w:ascii="宋体" w:hAnsi="宋体"/>
                <w:bCs/>
                <w:iCs/>
                <w:color w:val="000000"/>
                <w:sz w:val="24"/>
              </w:rPr>
            </w:pPr>
            <w:r>
              <w:rPr>
                <w:rFonts w:hint="eastAsia" w:ascii="宋体" w:hAnsi="宋体"/>
                <w:bCs/>
                <w:iCs/>
                <w:color w:val="000000"/>
                <w:sz w:val="24"/>
              </w:rPr>
              <w:t>归属于上市公司股东的净利润同比增长 35.67%、归属于上市公司股东的扣除非经常性损益的净利润同比增长 38.13%,主要系本期营业收入增长带动收益增长所致。</w:t>
            </w:r>
          </w:p>
          <w:p w14:paraId="0A18FD3D">
            <w:pPr>
              <w:spacing w:line="480" w:lineRule="atLeast"/>
              <w:rPr>
                <w:rFonts w:ascii="宋体" w:hAnsi="宋体"/>
                <w:b/>
                <w:iCs/>
                <w:color w:val="000000"/>
                <w:sz w:val="24"/>
              </w:rPr>
            </w:pPr>
            <w:r>
              <w:rPr>
                <w:rFonts w:hint="eastAsia" w:ascii="宋体" w:hAnsi="宋体"/>
                <w:b/>
                <w:iCs/>
                <w:color w:val="000000"/>
                <w:sz w:val="24"/>
              </w:rPr>
              <w:t>第二部分：提问与回答环节</w:t>
            </w:r>
          </w:p>
          <w:p w14:paraId="6E2AF4EB">
            <w:pPr>
              <w:spacing w:line="480" w:lineRule="atLeast"/>
              <w:rPr>
                <w:rFonts w:ascii="宋体" w:hAnsi="宋体"/>
                <w:bCs/>
                <w:iCs/>
                <w:color w:val="000000"/>
                <w:sz w:val="24"/>
              </w:rPr>
            </w:pPr>
            <w:r>
              <w:rPr>
                <w:rFonts w:hint="eastAsia" w:ascii="宋体" w:hAnsi="宋体"/>
                <w:bCs/>
                <w:iCs/>
                <w:color w:val="000000"/>
                <w:sz w:val="24"/>
              </w:rPr>
              <w:t>1、</w:t>
            </w:r>
            <w:r>
              <w:rPr>
                <w:rFonts w:hint="eastAsia" w:ascii="宋体" w:hAnsi="宋体"/>
                <w:bCs/>
                <w:iCs/>
                <w:color w:val="000000"/>
                <w:sz w:val="24"/>
                <w:lang w:val="en-US" w:eastAsia="zh-CN"/>
              </w:rPr>
              <w:t>公司目前主营产品的</w:t>
            </w:r>
            <w:r>
              <w:rPr>
                <w:rFonts w:hint="eastAsia" w:ascii="宋体" w:hAnsi="宋体"/>
                <w:bCs/>
                <w:iCs/>
                <w:color w:val="000000"/>
                <w:sz w:val="24"/>
              </w:rPr>
              <w:t>毛利率提升的原因？</w:t>
            </w:r>
          </w:p>
          <w:p w14:paraId="6B855933">
            <w:pPr>
              <w:spacing w:line="480" w:lineRule="atLeast"/>
              <w:rPr>
                <w:rFonts w:ascii="宋体" w:hAnsi="宋体"/>
                <w:bCs/>
                <w:iCs/>
                <w:color w:val="000000"/>
                <w:sz w:val="24"/>
              </w:rPr>
            </w:pPr>
            <w:r>
              <w:rPr>
                <w:rFonts w:hint="eastAsia" w:ascii="宋体" w:hAnsi="宋体"/>
                <w:bCs/>
                <w:iCs/>
                <w:color w:val="000000"/>
                <w:sz w:val="24"/>
              </w:rPr>
              <w:t>答：主要原因包括规模化效应和产品型号的优化（部分硬件简化，如去除触屏等）；产品型号向更高效能的方向发展，提升了出货量和利润水平。</w:t>
            </w:r>
          </w:p>
          <w:p w14:paraId="48E10B56">
            <w:pPr>
              <w:spacing w:line="480" w:lineRule="atLeast"/>
              <w:rPr>
                <w:rFonts w:ascii="宋体" w:hAnsi="宋体"/>
                <w:bCs/>
                <w:iCs/>
                <w:color w:val="000000"/>
                <w:sz w:val="24"/>
              </w:rPr>
            </w:pPr>
            <w:r>
              <w:rPr>
                <w:rFonts w:hint="eastAsia" w:ascii="宋体" w:hAnsi="宋体"/>
                <w:bCs/>
                <w:iCs/>
                <w:color w:val="000000"/>
                <w:sz w:val="24"/>
              </w:rPr>
              <w:t>2、</w:t>
            </w:r>
            <w:r>
              <w:rPr>
                <w:rFonts w:hint="eastAsia" w:ascii="宋体" w:hAnsi="宋体"/>
                <w:bCs/>
                <w:iCs/>
                <w:color w:val="000000"/>
                <w:sz w:val="24"/>
                <w:lang w:val="en-US" w:eastAsia="zh-CN"/>
              </w:rPr>
              <w:t>第二季度</w:t>
            </w:r>
            <w:r>
              <w:rPr>
                <w:rFonts w:hint="eastAsia" w:ascii="宋体" w:hAnsi="宋体"/>
                <w:bCs/>
                <w:iCs/>
                <w:color w:val="000000"/>
                <w:sz w:val="24"/>
              </w:rPr>
              <w:t>增速较</w:t>
            </w:r>
            <w:r>
              <w:rPr>
                <w:rFonts w:hint="eastAsia" w:ascii="宋体" w:hAnsi="宋体"/>
                <w:bCs/>
                <w:iCs/>
                <w:color w:val="000000"/>
                <w:sz w:val="24"/>
                <w:lang w:val="en-US" w:eastAsia="zh-CN"/>
              </w:rPr>
              <w:t>第一季度</w:t>
            </w:r>
            <w:r>
              <w:rPr>
                <w:rFonts w:hint="eastAsia" w:ascii="宋体" w:hAnsi="宋体"/>
                <w:bCs/>
                <w:iCs/>
                <w:color w:val="000000"/>
                <w:sz w:val="24"/>
              </w:rPr>
              <w:t>降速，如何看待今年终端行业景气度？</w:t>
            </w:r>
          </w:p>
          <w:p w14:paraId="0F36DA92">
            <w:pPr>
              <w:spacing w:line="480" w:lineRule="atLeast"/>
              <w:rPr>
                <w:rFonts w:ascii="宋体" w:hAnsi="宋体"/>
                <w:bCs/>
                <w:iCs/>
                <w:color w:val="000000"/>
                <w:sz w:val="24"/>
              </w:rPr>
            </w:pPr>
            <w:r>
              <w:rPr>
                <w:rFonts w:hint="eastAsia" w:ascii="宋体" w:hAnsi="宋体"/>
                <w:bCs/>
                <w:iCs/>
                <w:color w:val="000000"/>
                <w:sz w:val="24"/>
              </w:rPr>
              <w:t>答：</w:t>
            </w:r>
            <w:r>
              <w:rPr>
                <w:rFonts w:hint="eastAsia" w:ascii="宋体" w:hAnsi="宋体"/>
                <w:bCs/>
                <w:iCs/>
                <w:color w:val="000000"/>
                <w:sz w:val="24"/>
                <w:lang w:val="en-US" w:eastAsia="zh-CN"/>
              </w:rPr>
              <w:t>主要原因是20</w:t>
            </w:r>
            <w:r>
              <w:rPr>
                <w:rFonts w:hint="eastAsia" w:ascii="宋体" w:hAnsi="宋体"/>
                <w:bCs/>
                <w:iCs/>
                <w:color w:val="000000"/>
                <w:sz w:val="24"/>
              </w:rPr>
              <w:t>23年</w:t>
            </w:r>
            <w:r>
              <w:rPr>
                <w:rFonts w:hint="eastAsia" w:ascii="宋体" w:hAnsi="宋体"/>
                <w:bCs/>
                <w:iCs/>
                <w:color w:val="000000"/>
                <w:sz w:val="24"/>
                <w:lang w:val="en-US" w:eastAsia="zh-CN"/>
              </w:rPr>
              <w:t>第二季度营收</w:t>
            </w:r>
            <w:r>
              <w:rPr>
                <w:rFonts w:hint="eastAsia" w:ascii="宋体" w:hAnsi="宋体"/>
                <w:bCs/>
                <w:iCs/>
                <w:color w:val="000000"/>
                <w:sz w:val="24"/>
              </w:rPr>
              <w:t>基数</w:t>
            </w:r>
            <w:r>
              <w:rPr>
                <w:rFonts w:hint="eastAsia" w:ascii="宋体" w:hAnsi="宋体"/>
                <w:bCs/>
                <w:iCs/>
                <w:color w:val="000000"/>
                <w:sz w:val="24"/>
                <w:lang w:val="en-US" w:eastAsia="zh-CN"/>
              </w:rPr>
              <w:t>较高</w:t>
            </w:r>
            <w:r>
              <w:rPr>
                <w:rFonts w:hint="eastAsia" w:ascii="宋体" w:hAnsi="宋体"/>
                <w:bCs/>
                <w:iCs/>
                <w:color w:val="000000"/>
                <w:sz w:val="24"/>
              </w:rPr>
              <w:t>。</w:t>
            </w:r>
          </w:p>
          <w:p w14:paraId="68610330">
            <w:pPr>
              <w:spacing w:line="480" w:lineRule="atLeast"/>
              <w:rPr>
                <w:rFonts w:ascii="宋体" w:hAnsi="宋体"/>
                <w:bCs/>
                <w:iCs/>
                <w:color w:val="000000"/>
                <w:sz w:val="24"/>
              </w:rPr>
            </w:pPr>
            <w:r>
              <w:rPr>
                <w:rFonts w:hint="eastAsia" w:ascii="宋体" w:hAnsi="宋体"/>
                <w:bCs/>
                <w:iCs/>
                <w:color w:val="000000"/>
                <w:sz w:val="24"/>
              </w:rPr>
              <w:t>3、</w:t>
            </w:r>
            <w:r>
              <w:rPr>
                <w:rFonts w:hint="eastAsia" w:ascii="宋体" w:hAnsi="宋体"/>
                <w:bCs/>
                <w:iCs/>
                <w:color w:val="000000"/>
                <w:sz w:val="24"/>
                <w:lang w:val="en-US" w:eastAsia="zh-CN"/>
              </w:rPr>
              <w:t>目前看来第三季度</w:t>
            </w:r>
            <w:r>
              <w:rPr>
                <w:rFonts w:hint="eastAsia" w:ascii="宋体" w:hAnsi="宋体"/>
                <w:bCs/>
                <w:iCs/>
                <w:color w:val="000000"/>
                <w:sz w:val="24"/>
              </w:rPr>
              <w:t>内需情况如何？</w:t>
            </w:r>
          </w:p>
          <w:p w14:paraId="6A88275D">
            <w:pPr>
              <w:spacing w:line="480" w:lineRule="atLeast"/>
              <w:rPr>
                <w:rFonts w:ascii="宋体" w:hAnsi="宋体"/>
                <w:bCs/>
                <w:iCs/>
                <w:color w:val="000000"/>
                <w:sz w:val="24"/>
              </w:rPr>
            </w:pPr>
            <w:r>
              <w:rPr>
                <w:rFonts w:hint="eastAsia" w:ascii="宋体" w:hAnsi="宋体"/>
                <w:bCs/>
                <w:iCs/>
                <w:color w:val="000000"/>
                <w:sz w:val="24"/>
              </w:rPr>
              <w:t>答：</w:t>
            </w:r>
            <w:r>
              <w:rPr>
                <w:rFonts w:hint="eastAsia" w:ascii="宋体" w:hAnsi="宋体"/>
                <w:bCs/>
                <w:iCs/>
                <w:color w:val="000000"/>
                <w:sz w:val="24"/>
                <w:lang w:val="en-US" w:eastAsia="zh-CN"/>
              </w:rPr>
              <w:t>第三季度相对</w:t>
            </w:r>
            <w:r>
              <w:rPr>
                <w:rFonts w:hint="eastAsia" w:ascii="宋体" w:hAnsi="宋体"/>
                <w:bCs/>
                <w:iCs/>
                <w:color w:val="000000"/>
                <w:sz w:val="24"/>
              </w:rPr>
              <w:t>是</w:t>
            </w:r>
            <w:r>
              <w:rPr>
                <w:rFonts w:hint="eastAsia" w:ascii="宋体" w:hAnsi="宋体"/>
                <w:bCs/>
                <w:iCs/>
                <w:color w:val="000000"/>
                <w:sz w:val="24"/>
                <w:lang w:val="en-US" w:eastAsia="zh-CN"/>
              </w:rPr>
              <w:t>行业</w:t>
            </w:r>
            <w:r>
              <w:rPr>
                <w:rFonts w:hint="eastAsia" w:ascii="宋体" w:hAnsi="宋体"/>
                <w:bCs/>
                <w:iCs/>
                <w:color w:val="000000"/>
                <w:sz w:val="24"/>
              </w:rPr>
              <w:t>每年的淡季，</w:t>
            </w:r>
            <w:r>
              <w:rPr>
                <w:rFonts w:hint="eastAsia" w:ascii="宋体" w:hAnsi="宋体"/>
                <w:bCs/>
                <w:iCs/>
                <w:color w:val="000000"/>
                <w:sz w:val="24"/>
                <w:lang w:val="en-US" w:eastAsia="zh-CN"/>
              </w:rPr>
              <w:t>具体业绩情况还要更进一步观察</w:t>
            </w:r>
            <w:r>
              <w:rPr>
                <w:rFonts w:hint="eastAsia" w:ascii="宋体" w:hAnsi="宋体"/>
                <w:bCs/>
                <w:iCs/>
                <w:color w:val="000000"/>
                <w:sz w:val="24"/>
              </w:rPr>
              <w:t>。</w:t>
            </w:r>
          </w:p>
          <w:p w14:paraId="4AD52842">
            <w:pPr>
              <w:widowControl w:val="0"/>
              <w:numPr>
                <w:ilvl w:val="0"/>
                <w:numId w:val="0"/>
              </w:numPr>
              <w:spacing w:line="480" w:lineRule="atLeast"/>
              <w:jc w:val="both"/>
              <w:rPr>
                <w:rFonts w:hint="eastAsia" w:ascii="宋体" w:hAnsi="宋体" w:eastAsia="宋体"/>
                <w:bCs/>
                <w:iCs/>
                <w:color w:val="000000"/>
                <w:sz w:val="24"/>
                <w:lang w:val="en-US" w:eastAsia="zh-CN"/>
              </w:rPr>
            </w:pPr>
            <w:r>
              <w:rPr>
                <w:rFonts w:hint="eastAsia" w:ascii="宋体" w:hAnsi="宋体"/>
                <w:bCs/>
                <w:iCs/>
                <w:color w:val="000000"/>
                <w:sz w:val="24"/>
                <w:lang w:val="en-US" w:eastAsia="zh-CN"/>
              </w:rPr>
              <w:t>4、切割头后续价格策略？是否会降价？</w:t>
            </w:r>
          </w:p>
          <w:p w14:paraId="0A2E1BF3">
            <w:pPr>
              <w:widowControl w:val="0"/>
              <w:numPr>
                <w:ilvl w:val="0"/>
                <w:numId w:val="0"/>
              </w:numPr>
              <w:spacing w:line="480" w:lineRule="atLeast"/>
              <w:jc w:val="both"/>
              <w:rPr>
                <w:rFonts w:hint="eastAsia" w:ascii="宋体" w:hAnsi="宋体" w:eastAsia="宋体"/>
                <w:bCs/>
                <w:iCs/>
                <w:color w:val="000000"/>
                <w:sz w:val="24"/>
                <w:lang w:val="en-US" w:eastAsia="zh-CN"/>
              </w:rPr>
            </w:pPr>
            <w:r>
              <w:rPr>
                <w:rFonts w:hint="eastAsia" w:ascii="宋体" w:hAnsi="宋体"/>
                <w:bCs/>
                <w:iCs/>
                <w:color w:val="000000"/>
                <w:sz w:val="24"/>
                <w:lang w:val="en-US" w:eastAsia="zh-CN"/>
              </w:rPr>
              <w:t>答：公司主要关注产品技术指标与使用性能等方面的突破以实现良好的使用性能和综合性价比，公司也不会去通过短期价格调整来刺激销量。</w:t>
            </w:r>
          </w:p>
          <w:p w14:paraId="7778423A">
            <w:pPr>
              <w:widowControl w:val="0"/>
              <w:numPr>
                <w:ilvl w:val="0"/>
                <w:numId w:val="0"/>
              </w:numPr>
              <w:spacing w:line="480" w:lineRule="atLeast"/>
              <w:jc w:val="both"/>
              <w:rPr>
                <w:rFonts w:hint="eastAsia" w:ascii="宋体" w:hAnsi="宋体"/>
                <w:bCs/>
                <w:iCs/>
                <w:color w:val="000000"/>
                <w:sz w:val="24"/>
              </w:rPr>
            </w:pPr>
            <w:r>
              <w:rPr>
                <w:rFonts w:hint="eastAsia" w:ascii="宋体" w:hAnsi="宋体"/>
                <w:bCs/>
                <w:iCs/>
                <w:color w:val="000000"/>
                <w:sz w:val="24"/>
                <w:lang w:val="en-US" w:eastAsia="zh-CN"/>
              </w:rPr>
              <w:t>5、目前公司智能</w:t>
            </w:r>
            <w:r>
              <w:rPr>
                <w:rFonts w:hint="eastAsia" w:ascii="宋体" w:hAnsi="宋体"/>
                <w:bCs/>
                <w:iCs/>
                <w:color w:val="000000"/>
                <w:sz w:val="24"/>
              </w:rPr>
              <w:t>焊接</w:t>
            </w:r>
            <w:r>
              <w:rPr>
                <w:rFonts w:hint="eastAsia" w:ascii="宋体" w:hAnsi="宋体"/>
                <w:bCs/>
                <w:iCs/>
                <w:color w:val="000000"/>
                <w:sz w:val="24"/>
                <w:lang w:val="en-US" w:eastAsia="zh-CN"/>
              </w:rPr>
              <w:t>机器人控制系统</w:t>
            </w:r>
            <w:r>
              <w:rPr>
                <w:rFonts w:hint="eastAsia" w:ascii="宋体" w:hAnsi="宋体"/>
                <w:bCs/>
                <w:iCs/>
                <w:color w:val="000000"/>
                <w:sz w:val="24"/>
              </w:rPr>
              <w:t>业务发展情况？</w:t>
            </w:r>
          </w:p>
          <w:p w14:paraId="31B35F66">
            <w:pPr>
              <w:widowControl w:val="0"/>
              <w:numPr>
                <w:ilvl w:val="0"/>
                <w:numId w:val="0"/>
              </w:numPr>
              <w:spacing w:line="480" w:lineRule="atLeast"/>
              <w:jc w:val="both"/>
              <w:rPr>
                <w:rFonts w:hint="eastAsia" w:ascii="宋体" w:hAnsi="宋体" w:eastAsia="宋体"/>
                <w:bCs/>
                <w:iCs/>
                <w:color w:val="000000"/>
                <w:sz w:val="24"/>
                <w:lang w:val="en-US" w:eastAsia="zh-CN"/>
              </w:rPr>
            </w:pPr>
            <w:r>
              <w:rPr>
                <w:rFonts w:hint="eastAsia" w:ascii="宋体" w:hAnsi="宋体"/>
                <w:bCs/>
                <w:iCs/>
                <w:color w:val="000000"/>
                <w:sz w:val="24"/>
                <w:lang w:val="en-US" w:eastAsia="zh-CN"/>
              </w:rPr>
              <w:t>答：目前智能焊接控制系统正在逐步推广，不少一二线的机器人本体厂商和集成商已在配套公司方案，去年到现在本体厂商和集成商且反馈不错。从行业端来看，公司目前聚焦在建筑钢结构，未来会向铁塔、桥梁等方面逐步拓展。公司已实现了部分批量交付，终端售后的服务量较低，发展状况良好。</w:t>
            </w:r>
          </w:p>
        </w:tc>
      </w:tr>
      <w:tr w14:paraId="049E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A3BC70C">
            <w:pPr>
              <w:spacing w:line="360" w:lineRule="auto"/>
              <w:rPr>
                <w:rFonts w:ascii="宋体" w:hAnsi="宋体"/>
                <w:bCs/>
                <w:iCs/>
                <w:color w:val="000000"/>
                <w:sz w:val="24"/>
              </w:rPr>
            </w:pPr>
            <w:r>
              <w:rPr>
                <w:rFonts w:hint="eastAsia" w:ascii="宋体" w:hAnsi="宋体"/>
                <w:bCs/>
                <w:iCs/>
                <w:color w:val="000000"/>
                <w:sz w:val="24"/>
              </w:rPr>
              <w:t>关于本次活动是否涉及应当披露重大信息的说明</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0A0ED9C8">
            <w:pPr>
              <w:spacing w:line="480" w:lineRule="atLeast"/>
              <w:rPr>
                <w:rFonts w:ascii="宋体" w:hAnsi="宋体"/>
                <w:bCs/>
                <w:iCs/>
                <w:color w:val="000000"/>
                <w:sz w:val="24"/>
              </w:rPr>
            </w:pPr>
            <w:r>
              <w:rPr>
                <w:rFonts w:hint="eastAsia" w:ascii="宋体" w:hAnsi="宋体"/>
                <w:bCs/>
                <w:iCs/>
                <w:color w:val="000000"/>
                <w:sz w:val="24"/>
              </w:rPr>
              <w:t>无。</w:t>
            </w:r>
          </w:p>
        </w:tc>
      </w:tr>
      <w:tr w14:paraId="3F26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9AA049E">
            <w:pPr>
              <w:spacing w:line="360" w:lineRule="auto"/>
              <w:rPr>
                <w:rFonts w:ascii="宋体" w:hAnsi="宋体"/>
                <w:bCs/>
                <w:iCs/>
                <w:color w:val="000000"/>
                <w:sz w:val="24"/>
              </w:rPr>
            </w:pPr>
            <w:r>
              <w:rPr>
                <w:rFonts w:hint="eastAsia" w:ascii="宋体" w:hAnsi="宋体"/>
                <w:bCs/>
                <w:iCs/>
                <w:color w:val="000000"/>
                <w:sz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A445717">
            <w:pPr>
              <w:spacing w:line="480" w:lineRule="atLeast"/>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4</w:t>
            </w:r>
            <w:r>
              <w:rPr>
                <w:rFonts w:hint="eastAsia" w:ascii="宋体" w:hAnsi="宋体"/>
                <w:bCs/>
                <w:iCs/>
                <w:color w:val="000000"/>
                <w:sz w:val="24"/>
              </w:rPr>
              <w:t>年</w:t>
            </w:r>
            <w:r>
              <w:rPr>
                <w:rFonts w:hint="eastAsia" w:ascii="宋体" w:hAnsi="宋体"/>
                <w:bCs/>
                <w:iCs/>
                <w:color w:val="000000"/>
                <w:sz w:val="24"/>
                <w:lang w:val="en-US" w:eastAsia="zh-CN"/>
              </w:rPr>
              <w:t>8</w:t>
            </w:r>
            <w:r>
              <w:rPr>
                <w:rFonts w:hint="eastAsia" w:ascii="宋体" w:hAnsi="宋体"/>
                <w:bCs/>
                <w:iCs/>
                <w:color w:val="000000"/>
                <w:sz w:val="24"/>
              </w:rPr>
              <w:t>月</w:t>
            </w:r>
            <w:r>
              <w:rPr>
                <w:rFonts w:hint="eastAsia" w:ascii="宋体" w:hAnsi="宋体"/>
                <w:bCs/>
                <w:iCs/>
                <w:color w:val="000000"/>
                <w:sz w:val="24"/>
                <w:lang w:val="en-US" w:eastAsia="zh-CN"/>
              </w:rPr>
              <w:t>20</w:t>
            </w:r>
            <w:r>
              <w:rPr>
                <w:rFonts w:hint="eastAsia" w:ascii="宋体" w:hAnsi="宋体"/>
                <w:bCs/>
                <w:iCs/>
                <w:color w:val="000000"/>
                <w:sz w:val="24"/>
              </w:rPr>
              <w:t>日</w:t>
            </w:r>
          </w:p>
        </w:tc>
      </w:tr>
    </w:tbl>
    <w:p w14:paraId="60E53F9C">
      <w:pPr>
        <w:jc w:val="left"/>
        <w:rPr>
          <w:rFonts w:hint="eastAsia" w:ascii="Times New Roman" w:hAnsi="Times New Roman" w:eastAsia="宋体" w:cs="Times New Roman"/>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YzcxNmFjOWU0MDU0NjVlZWM4NTczMTA1ZTYwMDYifQ=="/>
  </w:docVars>
  <w:rsids>
    <w:rsidRoot w:val="00DB361F"/>
    <w:rsid w:val="00000601"/>
    <w:rsid w:val="0000207D"/>
    <w:rsid w:val="00003F99"/>
    <w:rsid w:val="00005DB8"/>
    <w:rsid w:val="001417C0"/>
    <w:rsid w:val="001A2E1E"/>
    <w:rsid w:val="001D3494"/>
    <w:rsid w:val="00293E36"/>
    <w:rsid w:val="00295CED"/>
    <w:rsid w:val="002A2C74"/>
    <w:rsid w:val="002B0130"/>
    <w:rsid w:val="002C09B8"/>
    <w:rsid w:val="002D7C22"/>
    <w:rsid w:val="002F3005"/>
    <w:rsid w:val="003035EA"/>
    <w:rsid w:val="003609BA"/>
    <w:rsid w:val="003E70FC"/>
    <w:rsid w:val="00412DA5"/>
    <w:rsid w:val="004D6884"/>
    <w:rsid w:val="0054490C"/>
    <w:rsid w:val="005964DF"/>
    <w:rsid w:val="0060334D"/>
    <w:rsid w:val="00652AE8"/>
    <w:rsid w:val="006903D5"/>
    <w:rsid w:val="006A78DE"/>
    <w:rsid w:val="00752966"/>
    <w:rsid w:val="00785F1B"/>
    <w:rsid w:val="007B2ED3"/>
    <w:rsid w:val="008107E8"/>
    <w:rsid w:val="008A37DE"/>
    <w:rsid w:val="008B0754"/>
    <w:rsid w:val="009148ED"/>
    <w:rsid w:val="009967E3"/>
    <w:rsid w:val="009A490D"/>
    <w:rsid w:val="009B0B11"/>
    <w:rsid w:val="009E743C"/>
    <w:rsid w:val="00A247FA"/>
    <w:rsid w:val="00A6539A"/>
    <w:rsid w:val="00AC7C57"/>
    <w:rsid w:val="00AE4ED3"/>
    <w:rsid w:val="00B26A5B"/>
    <w:rsid w:val="00BB2FD4"/>
    <w:rsid w:val="00CF1F10"/>
    <w:rsid w:val="00D039FA"/>
    <w:rsid w:val="00DA041C"/>
    <w:rsid w:val="00DA4F8C"/>
    <w:rsid w:val="00DB361F"/>
    <w:rsid w:val="00E33901"/>
    <w:rsid w:val="00E52443"/>
    <w:rsid w:val="00EB0D2E"/>
    <w:rsid w:val="00ED430E"/>
    <w:rsid w:val="00F514E1"/>
    <w:rsid w:val="030148E2"/>
    <w:rsid w:val="06145310"/>
    <w:rsid w:val="068E795F"/>
    <w:rsid w:val="07A71079"/>
    <w:rsid w:val="0C547201"/>
    <w:rsid w:val="131B45D5"/>
    <w:rsid w:val="1A397B11"/>
    <w:rsid w:val="1A4268EB"/>
    <w:rsid w:val="1B845309"/>
    <w:rsid w:val="1CF71A15"/>
    <w:rsid w:val="23E34C9B"/>
    <w:rsid w:val="39957106"/>
    <w:rsid w:val="3B992858"/>
    <w:rsid w:val="3DBF6F19"/>
    <w:rsid w:val="4A920BD0"/>
    <w:rsid w:val="56B84DAE"/>
    <w:rsid w:val="5B065111"/>
    <w:rsid w:val="71FE04BF"/>
    <w:rsid w:val="78FB2611"/>
    <w:rsid w:val="7CD51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Emphasis"/>
    <w:basedOn w:val="8"/>
    <w:qFormat/>
    <w:uiPriority w:val="20"/>
    <w:rPr>
      <w:i/>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rFonts w:ascii="Times New Roman" w:hAnsi="Times New Roman" w:eastAsia="宋体" w:cs="Times New Roman"/>
      <w:sz w:val="18"/>
      <w:szCs w:val="18"/>
    </w:rPr>
  </w:style>
  <w:style w:type="character" w:customStyle="1" w:styleId="12">
    <w:name w:val="页脚 字符"/>
    <w:basedOn w:val="8"/>
    <w:link w:val="4"/>
    <w:qFormat/>
    <w:uiPriority w:val="99"/>
    <w:rPr>
      <w:rFonts w:ascii="Times New Roman" w:hAnsi="Times New Roman" w:eastAsia="宋体" w:cs="Times New Roman"/>
      <w:sz w:val="18"/>
      <w:szCs w:val="18"/>
    </w:r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主题 字符"/>
    <w:basedOn w:val="13"/>
    <w:link w:val="6"/>
    <w:semiHidden/>
    <w:qFormat/>
    <w:uiPriority w:val="99"/>
    <w:rPr>
      <w:rFonts w:ascii="Times New Roman" w:hAnsi="Times New Roman" w:eastAsia="宋体" w:cs="Times New Roman"/>
      <w:b/>
      <w:bCs/>
      <w:szCs w:val="24"/>
    </w:rPr>
  </w:style>
  <w:style w:type="character" w:customStyle="1" w:styleId="15">
    <w:name w:val="批注框文本 字符"/>
    <w:basedOn w:val="8"/>
    <w:link w:val="3"/>
    <w:semiHidden/>
    <w:qFormat/>
    <w:uiPriority w:val="99"/>
    <w:rPr>
      <w:rFonts w:ascii="Times New Roman" w:hAnsi="Times New Roman" w:eastAsia="宋体" w:cs="Times New Roman"/>
      <w:sz w:val="18"/>
      <w:szCs w:val="18"/>
    </w:rPr>
  </w:style>
  <w:style w:type="character" w:customStyle="1" w:styleId="16">
    <w:name w:val="font21"/>
    <w:basedOn w:val="8"/>
    <w:qFormat/>
    <w:uiPriority w:val="0"/>
    <w:rPr>
      <w:rFonts w:hint="default" w:ascii="Calibri" w:hAnsi="Calibri" w:cs="Calibri"/>
      <w:color w:val="000000"/>
      <w:sz w:val="16"/>
      <w:szCs w:val="16"/>
      <w:u w:val="none"/>
    </w:rPr>
  </w:style>
  <w:style w:type="character" w:customStyle="1" w:styleId="17">
    <w:name w:val="font31"/>
    <w:basedOn w:val="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EEFA9-4F87-439C-AC01-3D44CAB8AFA8}">
  <ds:schemaRefs/>
</ds:datastoreItem>
</file>

<file path=docProps/app.xml><?xml version="1.0" encoding="utf-8"?>
<Properties xmlns="http://schemas.openxmlformats.org/officeDocument/2006/extended-properties" xmlns:vt="http://schemas.openxmlformats.org/officeDocument/2006/docPropsVTypes">
  <Template>Normal</Template>
  <Pages>3</Pages>
  <Words>1060</Words>
  <Characters>1230</Characters>
  <Lines>9</Lines>
  <Paragraphs>2</Paragraphs>
  <TotalTime>16</TotalTime>
  <ScaleCrop>false</ScaleCrop>
  <LinksUpToDate>false</LinksUpToDate>
  <CharactersWithSpaces>1361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2023-10-13T07:56:00Z</dcterms:created>
  <dc:creator>skd004</dc:creator>
  <cp:lastModifiedBy>周志禹</cp:lastModifiedBy>
  <dcterms:modified xsi:type="dcterms:W3CDTF">2024-08-21T09:18:57Z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79D4DBEDAC2B42A995FB05A57F7AF3F7_13</vt:lpwstr>
  </property>
</Properties>
</file>