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2F786" w14:textId="77777777" w:rsidR="00C701AF" w:rsidRDefault="00A762A3">
      <w:pPr>
        <w:adjustRightInd w:val="0"/>
        <w:snapToGrid w:val="0"/>
        <w:spacing w:line="600" w:lineRule="exact"/>
        <w:jc w:val="center"/>
        <w:rPr>
          <w:rFonts w:ascii="宋体" w:eastAsia="宋体" w:hAnsi="宋体" w:cs="Arial"/>
          <w:bCs/>
          <w:sz w:val="28"/>
          <w:szCs w:val="28"/>
        </w:rPr>
      </w:pPr>
      <w:bookmarkStart w:id="0" w:name="_Hlk61459020"/>
      <w:r>
        <w:rPr>
          <w:rFonts w:ascii="宋体" w:eastAsia="宋体" w:hAnsi="宋体" w:cs="Arial"/>
          <w:bCs/>
          <w:sz w:val="28"/>
          <w:szCs w:val="28"/>
        </w:rPr>
        <w:t>证券</w:t>
      </w:r>
      <w:r>
        <w:rPr>
          <w:rFonts w:ascii="宋体" w:eastAsia="宋体" w:hAnsi="宋体" w:cs="Arial" w:hint="eastAsia"/>
          <w:bCs/>
          <w:sz w:val="28"/>
          <w:szCs w:val="28"/>
        </w:rPr>
        <w:t>代码</w:t>
      </w:r>
      <w:r>
        <w:rPr>
          <w:rFonts w:ascii="宋体" w:eastAsia="宋体" w:hAnsi="宋体" w:cs="Courier New"/>
          <w:bCs/>
          <w:sz w:val="28"/>
          <w:szCs w:val="28"/>
        </w:rPr>
        <w:t>:</w:t>
      </w:r>
      <w:r>
        <w:rPr>
          <w:rFonts w:ascii="宋体" w:eastAsia="宋体" w:hAnsi="宋体" w:cs="Arial"/>
          <w:bCs/>
          <w:sz w:val="28"/>
          <w:szCs w:val="28"/>
        </w:rPr>
        <w:t xml:space="preserve"> </w:t>
      </w:r>
      <w:r>
        <w:rPr>
          <w:rFonts w:ascii="宋体" w:eastAsia="宋体" w:hAnsi="宋体" w:cs="Arial" w:hint="eastAsia"/>
          <w:bCs/>
          <w:sz w:val="28"/>
          <w:szCs w:val="28"/>
        </w:rPr>
        <w:t xml:space="preserve">688136 </w:t>
      </w:r>
      <w:r>
        <w:rPr>
          <w:rFonts w:ascii="宋体" w:eastAsia="宋体" w:hAnsi="宋体" w:cs="Arial"/>
          <w:bCs/>
          <w:sz w:val="28"/>
          <w:szCs w:val="28"/>
        </w:rPr>
        <w:t xml:space="preserve">                        </w:t>
      </w:r>
      <w:r>
        <w:rPr>
          <w:rFonts w:ascii="宋体" w:eastAsia="宋体" w:hAnsi="宋体" w:cs="Arial"/>
          <w:bCs/>
          <w:sz w:val="28"/>
          <w:szCs w:val="28"/>
        </w:rPr>
        <w:t>证券</w:t>
      </w:r>
      <w:r>
        <w:rPr>
          <w:rFonts w:ascii="宋体" w:eastAsia="宋体" w:hAnsi="宋体" w:cs="Arial" w:hint="eastAsia"/>
          <w:bCs/>
          <w:sz w:val="28"/>
          <w:szCs w:val="28"/>
        </w:rPr>
        <w:t>简称</w:t>
      </w:r>
      <w:r>
        <w:rPr>
          <w:rFonts w:ascii="宋体" w:eastAsia="宋体" w:hAnsi="宋体" w:cs="Arial"/>
          <w:bCs/>
          <w:sz w:val="28"/>
          <w:szCs w:val="28"/>
        </w:rPr>
        <w:t>：</w:t>
      </w:r>
      <w:r>
        <w:rPr>
          <w:rFonts w:ascii="宋体" w:eastAsia="宋体" w:hAnsi="宋体" w:cs="Arial" w:hint="eastAsia"/>
          <w:bCs/>
          <w:sz w:val="28"/>
          <w:szCs w:val="28"/>
        </w:rPr>
        <w:t>科兴制药</w:t>
      </w:r>
      <w:r>
        <w:rPr>
          <w:rFonts w:ascii="宋体" w:eastAsia="宋体" w:hAnsi="宋体" w:cs="Arial"/>
          <w:bCs/>
          <w:sz w:val="28"/>
          <w:szCs w:val="28"/>
        </w:rPr>
        <w:t xml:space="preserve">   </w:t>
      </w:r>
    </w:p>
    <w:p w14:paraId="44C6B526" w14:textId="77777777" w:rsidR="00C701AF" w:rsidRDefault="00A762A3">
      <w:pPr>
        <w:adjustRightInd w:val="0"/>
        <w:snapToGrid w:val="0"/>
        <w:spacing w:line="600" w:lineRule="exact"/>
        <w:jc w:val="center"/>
        <w:rPr>
          <w:rFonts w:ascii="宋体" w:eastAsia="宋体" w:hAnsi="宋体" w:cs="Arial"/>
          <w:b/>
          <w:bCs/>
          <w:sz w:val="28"/>
          <w:szCs w:val="28"/>
        </w:rPr>
      </w:pPr>
      <w:r>
        <w:rPr>
          <w:rFonts w:ascii="宋体" w:eastAsia="宋体" w:hAnsi="宋体" w:cs="Arial" w:hint="eastAsia"/>
          <w:b/>
          <w:bCs/>
          <w:sz w:val="28"/>
          <w:szCs w:val="28"/>
        </w:rPr>
        <w:t>科兴生物制药股份有限公司投资者关系活动记录表</w:t>
      </w:r>
    </w:p>
    <w:p w14:paraId="556BE108" w14:textId="77777777" w:rsidR="00C701AF" w:rsidRDefault="00A762A3">
      <w:pPr>
        <w:adjustRightInd w:val="0"/>
        <w:snapToGrid w:val="0"/>
        <w:spacing w:line="600" w:lineRule="exact"/>
        <w:jc w:val="right"/>
        <w:rPr>
          <w:rFonts w:ascii="宋体" w:eastAsia="宋体" w:hAnsi="宋体" w:cs="Arial"/>
          <w:b/>
          <w:bCs/>
          <w:sz w:val="28"/>
          <w:szCs w:val="28"/>
        </w:rPr>
      </w:pPr>
      <w:r>
        <w:rPr>
          <w:rFonts w:ascii="宋体" w:eastAsia="宋体" w:hAnsi="宋体" w:cs="Arial" w:hint="eastAsia"/>
          <w:bCs/>
          <w:sz w:val="28"/>
          <w:szCs w:val="28"/>
        </w:rPr>
        <w:t>编号：</w:t>
      </w:r>
      <w:r>
        <w:rPr>
          <w:rFonts w:ascii="宋体" w:eastAsia="宋体" w:hAnsi="宋体" w:cs="Arial" w:hint="eastAsia"/>
          <w:bCs/>
          <w:sz w:val="28"/>
          <w:szCs w:val="28"/>
        </w:rPr>
        <w:t>2024-00</w:t>
      </w:r>
      <w:r>
        <w:rPr>
          <w:rFonts w:ascii="宋体" w:eastAsia="宋体" w:hAnsi="宋体" w:cs="Arial" w:hint="eastAsia"/>
          <w:bCs/>
          <w:sz w:val="28"/>
          <w:szCs w:val="28"/>
        </w:rPr>
        <w:t>3</w:t>
      </w:r>
    </w:p>
    <w:tbl>
      <w:tblPr>
        <w:tblStyle w:val="af"/>
        <w:tblpPr w:leftFromText="180" w:rightFromText="180" w:vertAnchor="page" w:horzAnchor="margin" w:tblpY="3507"/>
        <w:tblW w:w="8296" w:type="dxa"/>
        <w:tblLook w:val="04A0" w:firstRow="1" w:lastRow="0" w:firstColumn="1" w:lastColumn="0" w:noHBand="0" w:noVBand="1"/>
      </w:tblPr>
      <w:tblGrid>
        <w:gridCol w:w="2679"/>
        <w:gridCol w:w="5617"/>
      </w:tblGrid>
      <w:tr w:rsidR="00C701AF" w14:paraId="61082106" w14:textId="77777777">
        <w:tc>
          <w:tcPr>
            <w:tcW w:w="2679" w:type="dxa"/>
            <w:vAlign w:val="center"/>
          </w:tcPr>
          <w:p w14:paraId="46875D07" w14:textId="77777777" w:rsidR="00C701AF" w:rsidRDefault="00A762A3">
            <w:pPr>
              <w:widowControl/>
              <w:rPr>
                <w:rFonts w:ascii="宋体" w:eastAsia="宋体" w:hAnsi="宋体"/>
                <w:sz w:val="24"/>
                <w:szCs w:val="28"/>
              </w:rPr>
            </w:pPr>
            <w:r>
              <w:rPr>
                <w:rFonts w:ascii="宋体" w:eastAsia="宋体" w:hAnsi="宋体"/>
                <w:sz w:val="24"/>
                <w:szCs w:val="28"/>
              </w:rPr>
              <w:t>投资者关系活动类别</w:t>
            </w:r>
          </w:p>
        </w:tc>
        <w:tc>
          <w:tcPr>
            <w:tcW w:w="5617" w:type="dxa"/>
          </w:tcPr>
          <w:p w14:paraId="28884FEC" w14:textId="77777777" w:rsidR="00C701AF" w:rsidRDefault="00A762A3">
            <w:pPr>
              <w:rPr>
                <w:rFonts w:ascii="宋体" w:eastAsia="宋体" w:hAnsi="宋体"/>
                <w:sz w:val="24"/>
                <w:szCs w:val="28"/>
              </w:rPr>
            </w:pPr>
            <w:r>
              <w:rPr>
                <w:rFonts w:ascii="宋体" w:eastAsia="宋体" w:hAnsi="宋体"/>
                <w:sz w:val="24"/>
                <w:szCs w:val="28"/>
              </w:rPr>
              <w:sym w:font="Wingdings 2" w:char="00A3"/>
            </w:r>
            <w:r>
              <w:rPr>
                <w:rFonts w:ascii="宋体" w:eastAsia="宋体" w:hAnsi="宋体" w:hint="eastAsia"/>
                <w:sz w:val="24"/>
                <w:szCs w:val="28"/>
              </w:rPr>
              <w:t>特定对象调研</w:t>
            </w:r>
            <w:r>
              <w:rPr>
                <w:rFonts w:ascii="宋体" w:eastAsia="宋体" w:hAnsi="宋体"/>
                <w:sz w:val="24"/>
                <w:szCs w:val="28"/>
              </w:rPr>
              <w:t xml:space="preserve"> </w:t>
            </w:r>
            <w:r>
              <w:rPr>
                <w:rFonts w:ascii="宋体" w:eastAsia="宋体" w:hAnsi="宋体"/>
                <w:sz w:val="24"/>
                <w:szCs w:val="28"/>
              </w:rPr>
              <w:sym w:font="Wingdings 2" w:char="0052"/>
            </w:r>
            <w:r>
              <w:rPr>
                <w:rFonts w:ascii="宋体" w:eastAsia="宋体" w:hAnsi="宋体"/>
                <w:sz w:val="24"/>
                <w:szCs w:val="28"/>
              </w:rPr>
              <w:t>分析师会议</w:t>
            </w:r>
            <w:r>
              <w:rPr>
                <w:rFonts w:ascii="宋体" w:eastAsia="宋体" w:hAnsi="宋体" w:hint="eastAsia"/>
                <w:sz w:val="24"/>
                <w:szCs w:val="28"/>
              </w:rPr>
              <w:t xml:space="preserve"> </w:t>
            </w:r>
            <w:r>
              <w:rPr>
                <w:rFonts w:ascii="宋体" w:eastAsia="宋体" w:hAnsi="宋体"/>
                <w:sz w:val="24"/>
                <w:szCs w:val="28"/>
              </w:rPr>
              <w:t>□</w:t>
            </w:r>
            <w:r>
              <w:rPr>
                <w:rFonts w:ascii="宋体" w:eastAsia="宋体" w:hAnsi="宋体"/>
                <w:sz w:val="24"/>
                <w:szCs w:val="28"/>
              </w:rPr>
              <w:t>媒体采访</w:t>
            </w:r>
            <w:r>
              <w:rPr>
                <w:rFonts w:ascii="宋体" w:eastAsia="宋体" w:hAnsi="宋体"/>
                <w:sz w:val="24"/>
                <w:szCs w:val="28"/>
              </w:rPr>
              <w:t xml:space="preserve"> </w:t>
            </w:r>
            <w:r>
              <w:rPr>
                <w:rFonts w:ascii="宋体" w:eastAsia="宋体" w:hAnsi="宋体"/>
                <w:sz w:val="24"/>
                <w:szCs w:val="28"/>
              </w:rPr>
              <w:sym w:font="Wingdings 2" w:char="00A3"/>
            </w:r>
            <w:r>
              <w:rPr>
                <w:rFonts w:ascii="宋体" w:eastAsia="宋体" w:hAnsi="宋体"/>
                <w:sz w:val="24"/>
                <w:szCs w:val="28"/>
              </w:rPr>
              <w:t>业绩说明会</w:t>
            </w:r>
            <w:r>
              <w:rPr>
                <w:rFonts w:ascii="宋体" w:eastAsia="宋体" w:hAnsi="宋体" w:hint="eastAsia"/>
                <w:sz w:val="24"/>
                <w:szCs w:val="28"/>
              </w:rPr>
              <w:t xml:space="preserve"> </w:t>
            </w:r>
            <w:r>
              <w:rPr>
                <w:rFonts w:ascii="宋体" w:eastAsia="宋体" w:hAnsi="宋体"/>
                <w:sz w:val="24"/>
                <w:szCs w:val="28"/>
              </w:rPr>
              <w:t>□</w:t>
            </w:r>
            <w:r>
              <w:rPr>
                <w:rFonts w:ascii="宋体" w:eastAsia="宋体" w:hAnsi="宋体"/>
                <w:sz w:val="24"/>
                <w:szCs w:val="28"/>
              </w:rPr>
              <w:t>新闻发布会</w:t>
            </w:r>
            <w:r>
              <w:rPr>
                <w:rFonts w:ascii="宋体" w:eastAsia="宋体" w:hAnsi="宋体"/>
                <w:sz w:val="24"/>
                <w:szCs w:val="28"/>
              </w:rPr>
              <w:t xml:space="preserve"> □</w:t>
            </w:r>
            <w:r>
              <w:rPr>
                <w:rFonts w:ascii="宋体" w:eastAsia="宋体" w:hAnsi="宋体"/>
                <w:sz w:val="24"/>
                <w:szCs w:val="28"/>
              </w:rPr>
              <w:t>路演活动</w:t>
            </w:r>
            <w:r>
              <w:rPr>
                <w:rFonts w:ascii="宋体" w:eastAsia="宋体" w:hAnsi="宋体" w:hint="eastAsia"/>
                <w:sz w:val="24"/>
                <w:szCs w:val="28"/>
              </w:rPr>
              <w:t xml:space="preserve"> </w:t>
            </w:r>
            <w:r>
              <w:rPr>
                <w:rFonts w:ascii="宋体" w:eastAsia="宋体" w:hAnsi="宋体"/>
                <w:sz w:val="24"/>
                <w:szCs w:val="28"/>
              </w:rPr>
              <w:sym w:font="Wingdings 2" w:char="00A3"/>
            </w:r>
            <w:r>
              <w:rPr>
                <w:rFonts w:ascii="宋体" w:eastAsia="宋体" w:hAnsi="宋体"/>
                <w:sz w:val="24"/>
                <w:szCs w:val="28"/>
              </w:rPr>
              <w:t>现场参观</w:t>
            </w:r>
            <w:r>
              <w:rPr>
                <w:rFonts w:ascii="宋体" w:eastAsia="宋体" w:hAnsi="宋体" w:hint="eastAsia"/>
                <w:sz w:val="24"/>
                <w:szCs w:val="28"/>
              </w:rPr>
              <w:t>☑</w:t>
            </w:r>
            <w:r>
              <w:rPr>
                <w:rFonts w:ascii="宋体" w:eastAsia="宋体" w:hAnsi="宋体"/>
                <w:sz w:val="24"/>
                <w:szCs w:val="28"/>
              </w:rPr>
              <w:t>其他（</w:t>
            </w:r>
            <w:r>
              <w:rPr>
                <w:rFonts w:ascii="宋体" w:eastAsia="宋体" w:hAnsi="宋体" w:hint="eastAsia"/>
                <w:sz w:val="24"/>
                <w:szCs w:val="28"/>
              </w:rPr>
              <w:t>线上交流</w:t>
            </w:r>
            <w:r>
              <w:rPr>
                <w:rFonts w:ascii="宋体" w:eastAsia="宋体" w:hAnsi="宋体"/>
                <w:sz w:val="24"/>
                <w:szCs w:val="28"/>
              </w:rPr>
              <w:t>）</w:t>
            </w:r>
          </w:p>
        </w:tc>
      </w:tr>
      <w:tr w:rsidR="00C701AF" w14:paraId="78E4F85A" w14:textId="77777777">
        <w:trPr>
          <w:trHeight w:val="739"/>
        </w:trPr>
        <w:tc>
          <w:tcPr>
            <w:tcW w:w="2679" w:type="dxa"/>
            <w:vAlign w:val="center"/>
          </w:tcPr>
          <w:p w14:paraId="37A2C6F7" w14:textId="77777777" w:rsidR="00C701AF" w:rsidRDefault="00A762A3">
            <w:pPr>
              <w:rPr>
                <w:rFonts w:ascii="宋体" w:eastAsia="宋体" w:hAnsi="宋体"/>
                <w:sz w:val="24"/>
                <w:szCs w:val="28"/>
              </w:rPr>
            </w:pPr>
            <w:r>
              <w:rPr>
                <w:rFonts w:ascii="宋体" w:eastAsia="宋体" w:hAnsi="宋体"/>
                <w:sz w:val="24"/>
                <w:szCs w:val="28"/>
              </w:rPr>
              <w:t>参与单位名称及人员姓名</w:t>
            </w:r>
          </w:p>
        </w:tc>
        <w:tc>
          <w:tcPr>
            <w:tcW w:w="5617" w:type="dxa"/>
            <w:vAlign w:val="center"/>
          </w:tcPr>
          <w:p w14:paraId="507D19C1" w14:textId="77777777" w:rsidR="00C701AF" w:rsidRDefault="00A762A3">
            <w:pPr>
              <w:rPr>
                <w:rFonts w:ascii="宋体" w:eastAsia="宋体" w:hAnsi="宋体"/>
                <w:sz w:val="24"/>
                <w:szCs w:val="28"/>
              </w:rPr>
            </w:pPr>
            <w:r>
              <w:rPr>
                <w:rFonts w:ascii="宋体" w:eastAsia="宋体" w:hAnsi="宋体" w:hint="eastAsia"/>
                <w:sz w:val="24"/>
                <w:szCs w:val="28"/>
              </w:rPr>
              <w:t>工银瑞信基金、长盛基金、招商基金、中信资管、人保养老、中庚基金、华宝基金、华安基金、金信基金、德邦基金、天冶基金、中加基金、鹏扬基金、兴银基金、华夏未来资产、长盛基金、国寿安保基金、泰信基金、上银基金、博远基金、浙商基金、鹏华基金、国联基金、东方资管、正圆投资、玄元投资、上海人保、无锡汇蠡投资管理中心（有限合伙）、中融汇信投资有限公司、广州玄甲私募基金管理有限公司、上海慎知资产管理合伙企业（有限合伙）、华尚股权投资有限责任公司、观富资产、肇万资产、中银证券资管、世真投资、信达资产、中泰证券自营、华泰证券自营</w:t>
            </w:r>
            <w:r>
              <w:rPr>
                <w:rFonts w:ascii="宋体" w:eastAsia="宋体" w:hAnsi="宋体" w:hint="eastAsia"/>
                <w:sz w:val="24"/>
                <w:szCs w:val="28"/>
              </w:rPr>
              <w:t>、上海水璞、浙江永禧投资管理有限公司、深圳亘泰投资管理有限公司、青岛星元投资管理有限公司、杭州优益增投资管理有限公司、</w:t>
            </w:r>
            <w:r>
              <w:rPr>
                <w:rFonts w:ascii="宋体" w:eastAsia="宋体" w:hAnsi="宋体" w:hint="eastAsia"/>
                <w:sz w:val="24"/>
                <w:szCs w:val="28"/>
              </w:rPr>
              <w:t>Point72</w:t>
            </w:r>
            <w:r>
              <w:rPr>
                <w:rFonts w:ascii="宋体" w:eastAsia="宋体" w:hAnsi="宋体" w:hint="eastAsia"/>
                <w:sz w:val="24"/>
                <w:szCs w:val="28"/>
              </w:rPr>
              <w:t>、循远资产、鹤禧投资、世真投资、真脉资本、西藏合众易晟投资管理有限责任公司、德同资本管理有限公司、浙江米仓资产管理有限公司、景熙资产、申万宏源证券、天风证券、恒泰证券、国泰君安证券、兴业证券、国盛证券、华安证券、财通证券、中信证券、东吴证券、开源证券、华源证券、国元证券、平安证券、民生证券、广发证券。</w:t>
            </w:r>
          </w:p>
        </w:tc>
      </w:tr>
      <w:tr w:rsidR="00C701AF" w14:paraId="6A4634E5" w14:textId="77777777">
        <w:trPr>
          <w:trHeight w:val="497"/>
        </w:trPr>
        <w:tc>
          <w:tcPr>
            <w:tcW w:w="2679" w:type="dxa"/>
            <w:vAlign w:val="center"/>
          </w:tcPr>
          <w:p w14:paraId="5489D9AD" w14:textId="77777777" w:rsidR="00C701AF" w:rsidRDefault="00A762A3">
            <w:pPr>
              <w:rPr>
                <w:rFonts w:ascii="宋体" w:eastAsia="宋体" w:hAnsi="宋体"/>
                <w:sz w:val="24"/>
                <w:szCs w:val="28"/>
              </w:rPr>
            </w:pPr>
            <w:r>
              <w:rPr>
                <w:rFonts w:ascii="宋体" w:eastAsia="宋体" w:hAnsi="宋体" w:hint="eastAsia"/>
                <w:sz w:val="24"/>
                <w:szCs w:val="28"/>
              </w:rPr>
              <w:t>时间</w:t>
            </w:r>
          </w:p>
        </w:tc>
        <w:tc>
          <w:tcPr>
            <w:tcW w:w="5617" w:type="dxa"/>
            <w:vAlign w:val="center"/>
          </w:tcPr>
          <w:p w14:paraId="0AD9E905" w14:textId="77777777" w:rsidR="00C701AF" w:rsidRDefault="00A762A3">
            <w:pPr>
              <w:rPr>
                <w:rFonts w:ascii="宋体" w:eastAsia="宋体" w:hAnsi="宋体"/>
                <w:sz w:val="24"/>
                <w:szCs w:val="28"/>
              </w:rPr>
            </w:pPr>
            <w:r>
              <w:rPr>
                <w:rFonts w:ascii="宋体" w:eastAsia="宋体" w:hAnsi="宋体" w:hint="eastAsia"/>
                <w:sz w:val="24"/>
                <w:szCs w:val="28"/>
              </w:rPr>
              <w:t>2024</w:t>
            </w:r>
            <w:r>
              <w:rPr>
                <w:rFonts w:ascii="宋体" w:eastAsia="宋体" w:hAnsi="宋体" w:hint="eastAsia"/>
                <w:sz w:val="24"/>
                <w:szCs w:val="28"/>
              </w:rPr>
              <w:t>年</w:t>
            </w:r>
            <w:r>
              <w:rPr>
                <w:rFonts w:ascii="宋体" w:eastAsia="宋体" w:hAnsi="宋体" w:hint="eastAsia"/>
                <w:sz w:val="24"/>
                <w:szCs w:val="28"/>
              </w:rPr>
              <w:t>8</w:t>
            </w:r>
            <w:r>
              <w:rPr>
                <w:rFonts w:ascii="宋体" w:eastAsia="宋体" w:hAnsi="宋体" w:hint="eastAsia"/>
                <w:sz w:val="24"/>
                <w:szCs w:val="28"/>
              </w:rPr>
              <w:t>月</w:t>
            </w:r>
            <w:r>
              <w:rPr>
                <w:rFonts w:ascii="宋体" w:eastAsia="宋体" w:hAnsi="宋体" w:hint="eastAsia"/>
                <w:sz w:val="24"/>
                <w:szCs w:val="28"/>
              </w:rPr>
              <w:t>19</w:t>
            </w:r>
            <w:r>
              <w:rPr>
                <w:rFonts w:ascii="宋体" w:eastAsia="宋体" w:hAnsi="宋体" w:hint="eastAsia"/>
                <w:sz w:val="24"/>
                <w:szCs w:val="28"/>
              </w:rPr>
              <w:t>日</w:t>
            </w:r>
            <w:r>
              <w:rPr>
                <w:rFonts w:ascii="宋体" w:eastAsia="宋体" w:hAnsi="宋体" w:hint="eastAsia"/>
                <w:sz w:val="24"/>
                <w:szCs w:val="28"/>
              </w:rPr>
              <w:t xml:space="preserve"> </w:t>
            </w:r>
            <w:r>
              <w:rPr>
                <w:rFonts w:ascii="宋体" w:eastAsia="宋体" w:hAnsi="宋体" w:hint="eastAsia"/>
                <w:sz w:val="24"/>
                <w:szCs w:val="28"/>
              </w:rPr>
              <w:t>20</w:t>
            </w:r>
            <w:r>
              <w:rPr>
                <w:rFonts w:ascii="宋体" w:eastAsia="宋体" w:hAnsi="宋体" w:hint="eastAsia"/>
                <w:sz w:val="24"/>
                <w:szCs w:val="28"/>
              </w:rPr>
              <w:t>：</w:t>
            </w:r>
            <w:r>
              <w:rPr>
                <w:rFonts w:ascii="宋体" w:eastAsia="宋体" w:hAnsi="宋体" w:hint="eastAsia"/>
                <w:sz w:val="24"/>
                <w:szCs w:val="28"/>
              </w:rPr>
              <w:t>00-</w:t>
            </w:r>
            <w:r>
              <w:rPr>
                <w:rFonts w:ascii="宋体" w:eastAsia="宋体" w:hAnsi="宋体" w:hint="eastAsia"/>
                <w:sz w:val="24"/>
                <w:szCs w:val="28"/>
              </w:rPr>
              <w:t>21</w:t>
            </w:r>
            <w:r>
              <w:rPr>
                <w:rFonts w:ascii="宋体" w:eastAsia="宋体" w:hAnsi="宋体" w:hint="eastAsia"/>
                <w:sz w:val="24"/>
                <w:szCs w:val="28"/>
              </w:rPr>
              <w:t>：</w:t>
            </w:r>
            <w:r>
              <w:rPr>
                <w:rFonts w:ascii="宋体" w:eastAsia="宋体" w:hAnsi="宋体" w:hint="eastAsia"/>
                <w:sz w:val="24"/>
                <w:szCs w:val="28"/>
              </w:rPr>
              <w:t>00</w:t>
            </w:r>
            <w:r>
              <w:rPr>
                <w:rFonts w:ascii="宋体" w:eastAsia="宋体" w:hAnsi="宋体" w:hint="eastAsia"/>
                <w:sz w:val="24"/>
                <w:szCs w:val="28"/>
              </w:rPr>
              <w:t>（</w:t>
            </w:r>
            <w:r>
              <w:rPr>
                <w:rFonts w:ascii="宋体" w:eastAsia="宋体" w:hAnsi="宋体" w:hint="eastAsia"/>
                <w:sz w:val="24"/>
                <w:szCs w:val="28"/>
              </w:rPr>
              <w:t>线上业绩交流会</w:t>
            </w:r>
            <w:r>
              <w:rPr>
                <w:rFonts w:ascii="宋体" w:eastAsia="宋体" w:hAnsi="宋体" w:hint="eastAsia"/>
                <w:sz w:val="24"/>
                <w:szCs w:val="28"/>
              </w:rPr>
              <w:t>）</w:t>
            </w:r>
          </w:p>
          <w:p w14:paraId="236E2D5D" w14:textId="77777777" w:rsidR="00C701AF" w:rsidRDefault="00A762A3">
            <w:pPr>
              <w:rPr>
                <w:rFonts w:ascii="宋体" w:eastAsia="宋体" w:hAnsi="宋体"/>
                <w:sz w:val="24"/>
                <w:szCs w:val="28"/>
              </w:rPr>
            </w:pPr>
            <w:r>
              <w:rPr>
                <w:rFonts w:ascii="宋体" w:eastAsia="宋体" w:hAnsi="宋体" w:hint="eastAsia"/>
                <w:sz w:val="24"/>
                <w:szCs w:val="28"/>
              </w:rPr>
              <w:t>20</w:t>
            </w:r>
            <w:r>
              <w:rPr>
                <w:rFonts w:ascii="宋体" w:eastAsia="宋体" w:hAnsi="宋体" w:hint="eastAsia"/>
                <w:sz w:val="24"/>
                <w:szCs w:val="28"/>
              </w:rPr>
              <w:t>24</w:t>
            </w:r>
            <w:r>
              <w:rPr>
                <w:rFonts w:ascii="宋体" w:eastAsia="宋体" w:hAnsi="宋体" w:hint="eastAsia"/>
                <w:sz w:val="24"/>
                <w:szCs w:val="28"/>
              </w:rPr>
              <w:t>年</w:t>
            </w:r>
            <w:r>
              <w:rPr>
                <w:rFonts w:ascii="宋体" w:eastAsia="宋体" w:hAnsi="宋体" w:hint="eastAsia"/>
                <w:sz w:val="24"/>
                <w:szCs w:val="28"/>
              </w:rPr>
              <w:t>8</w:t>
            </w:r>
            <w:r>
              <w:rPr>
                <w:rFonts w:ascii="宋体" w:eastAsia="宋体" w:hAnsi="宋体" w:hint="eastAsia"/>
                <w:sz w:val="24"/>
                <w:szCs w:val="28"/>
              </w:rPr>
              <w:t>月</w:t>
            </w:r>
            <w:r>
              <w:rPr>
                <w:rFonts w:ascii="宋体" w:eastAsia="宋体" w:hAnsi="宋体" w:hint="eastAsia"/>
                <w:sz w:val="24"/>
                <w:szCs w:val="28"/>
              </w:rPr>
              <w:t>20</w:t>
            </w:r>
            <w:r>
              <w:rPr>
                <w:rFonts w:ascii="宋体" w:eastAsia="宋体" w:hAnsi="宋体" w:hint="eastAsia"/>
                <w:sz w:val="24"/>
                <w:szCs w:val="28"/>
              </w:rPr>
              <w:t>日</w:t>
            </w:r>
            <w:r>
              <w:rPr>
                <w:rFonts w:ascii="宋体" w:eastAsia="宋体" w:hAnsi="宋体" w:hint="eastAsia"/>
                <w:sz w:val="24"/>
                <w:szCs w:val="28"/>
              </w:rPr>
              <w:t xml:space="preserve"> </w:t>
            </w:r>
            <w:r>
              <w:rPr>
                <w:rFonts w:ascii="宋体" w:eastAsia="宋体" w:hAnsi="宋体" w:hint="eastAsia"/>
                <w:sz w:val="24"/>
                <w:szCs w:val="28"/>
              </w:rPr>
              <w:t>13</w:t>
            </w:r>
            <w:r>
              <w:rPr>
                <w:rFonts w:ascii="宋体" w:eastAsia="宋体" w:hAnsi="宋体" w:hint="eastAsia"/>
                <w:sz w:val="24"/>
                <w:szCs w:val="28"/>
              </w:rPr>
              <w:t>：</w:t>
            </w:r>
            <w:r>
              <w:rPr>
                <w:rFonts w:ascii="宋体" w:eastAsia="宋体" w:hAnsi="宋体" w:hint="eastAsia"/>
                <w:sz w:val="24"/>
                <w:szCs w:val="28"/>
              </w:rPr>
              <w:t>3</w:t>
            </w:r>
            <w:r>
              <w:rPr>
                <w:rFonts w:ascii="宋体" w:eastAsia="宋体" w:hAnsi="宋体" w:hint="eastAsia"/>
                <w:sz w:val="24"/>
                <w:szCs w:val="28"/>
              </w:rPr>
              <w:t>0-1</w:t>
            </w:r>
            <w:r>
              <w:rPr>
                <w:rFonts w:ascii="宋体" w:eastAsia="宋体" w:hAnsi="宋体" w:hint="eastAsia"/>
                <w:sz w:val="24"/>
                <w:szCs w:val="28"/>
              </w:rPr>
              <w:t>5</w:t>
            </w:r>
            <w:r>
              <w:rPr>
                <w:rFonts w:ascii="宋体" w:eastAsia="宋体" w:hAnsi="宋体" w:hint="eastAsia"/>
                <w:sz w:val="24"/>
                <w:szCs w:val="28"/>
              </w:rPr>
              <w:t>：</w:t>
            </w:r>
            <w:r>
              <w:rPr>
                <w:rFonts w:ascii="宋体" w:eastAsia="宋体" w:hAnsi="宋体" w:hint="eastAsia"/>
                <w:sz w:val="24"/>
                <w:szCs w:val="28"/>
              </w:rPr>
              <w:t>00</w:t>
            </w:r>
            <w:r>
              <w:rPr>
                <w:rFonts w:ascii="宋体" w:eastAsia="宋体" w:hAnsi="宋体" w:hint="eastAsia"/>
                <w:sz w:val="24"/>
                <w:szCs w:val="28"/>
              </w:rPr>
              <w:t>（线上交流）</w:t>
            </w:r>
          </w:p>
          <w:p w14:paraId="637F14A9" w14:textId="77777777" w:rsidR="00C701AF" w:rsidRDefault="00A762A3">
            <w:pPr>
              <w:rPr>
                <w:rFonts w:ascii="宋体" w:eastAsia="宋体" w:hAnsi="宋体"/>
                <w:sz w:val="24"/>
                <w:szCs w:val="28"/>
              </w:rPr>
            </w:pPr>
            <w:r>
              <w:rPr>
                <w:rFonts w:ascii="宋体" w:eastAsia="宋体" w:hAnsi="宋体" w:hint="eastAsia"/>
                <w:sz w:val="24"/>
                <w:szCs w:val="28"/>
              </w:rPr>
              <w:t>2024</w:t>
            </w:r>
            <w:r>
              <w:rPr>
                <w:rFonts w:ascii="宋体" w:eastAsia="宋体" w:hAnsi="宋体" w:hint="eastAsia"/>
                <w:sz w:val="24"/>
                <w:szCs w:val="28"/>
              </w:rPr>
              <w:t>年</w:t>
            </w:r>
            <w:r>
              <w:rPr>
                <w:rFonts w:ascii="宋体" w:eastAsia="宋体" w:hAnsi="宋体" w:hint="eastAsia"/>
                <w:sz w:val="24"/>
                <w:szCs w:val="28"/>
              </w:rPr>
              <w:t>8</w:t>
            </w:r>
            <w:r>
              <w:rPr>
                <w:rFonts w:ascii="宋体" w:eastAsia="宋体" w:hAnsi="宋体" w:hint="eastAsia"/>
                <w:sz w:val="24"/>
                <w:szCs w:val="28"/>
              </w:rPr>
              <w:t>月</w:t>
            </w:r>
            <w:r>
              <w:rPr>
                <w:rFonts w:ascii="宋体" w:eastAsia="宋体" w:hAnsi="宋体" w:hint="eastAsia"/>
                <w:sz w:val="24"/>
                <w:szCs w:val="28"/>
              </w:rPr>
              <w:t>21</w:t>
            </w:r>
            <w:r>
              <w:rPr>
                <w:rFonts w:ascii="宋体" w:eastAsia="宋体" w:hAnsi="宋体" w:hint="eastAsia"/>
                <w:sz w:val="24"/>
                <w:szCs w:val="28"/>
              </w:rPr>
              <w:t>日</w:t>
            </w:r>
            <w:r>
              <w:rPr>
                <w:rFonts w:ascii="宋体" w:eastAsia="宋体" w:hAnsi="宋体" w:hint="eastAsia"/>
                <w:sz w:val="24"/>
                <w:szCs w:val="28"/>
              </w:rPr>
              <w:t xml:space="preserve"> </w:t>
            </w:r>
            <w:r>
              <w:rPr>
                <w:rFonts w:ascii="宋体" w:eastAsia="宋体" w:hAnsi="宋体" w:hint="eastAsia"/>
                <w:sz w:val="24"/>
                <w:szCs w:val="28"/>
              </w:rPr>
              <w:t>13</w:t>
            </w:r>
            <w:r>
              <w:rPr>
                <w:rFonts w:ascii="宋体" w:eastAsia="宋体" w:hAnsi="宋体" w:hint="eastAsia"/>
                <w:sz w:val="24"/>
                <w:szCs w:val="28"/>
              </w:rPr>
              <w:t>：</w:t>
            </w:r>
            <w:r>
              <w:rPr>
                <w:rFonts w:ascii="宋体" w:eastAsia="宋体" w:hAnsi="宋体" w:hint="eastAsia"/>
                <w:sz w:val="24"/>
                <w:szCs w:val="28"/>
              </w:rPr>
              <w:t>3</w:t>
            </w:r>
            <w:r>
              <w:rPr>
                <w:rFonts w:ascii="宋体" w:eastAsia="宋体" w:hAnsi="宋体" w:hint="eastAsia"/>
                <w:sz w:val="24"/>
                <w:szCs w:val="28"/>
              </w:rPr>
              <w:t>0-</w:t>
            </w:r>
            <w:r>
              <w:rPr>
                <w:rFonts w:ascii="宋体" w:eastAsia="宋体" w:hAnsi="宋体" w:hint="eastAsia"/>
                <w:sz w:val="24"/>
                <w:szCs w:val="28"/>
              </w:rPr>
              <w:t>14</w:t>
            </w:r>
            <w:r>
              <w:rPr>
                <w:rFonts w:ascii="宋体" w:eastAsia="宋体" w:hAnsi="宋体" w:hint="eastAsia"/>
                <w:sz w:val="24"/>
                <w:szCs w:val="28"/>
              </w:rPr>
              <w:t>：</w:t>
            </w:r>
            <w:r>
              <w:rPr>
                <w:rFonts w:ascii="宋体" w:eastAsia="宋体" w:hAnsi="宋体" w:hint="eastAsia"/>
                <w:sz w:val="24"/>
                <w:szCs w:val="28"/>
              </w:rPr>
              <w:t>3</w:t>
            </w:r>
            <w:r>
              <w:rPr>
                <w:rFonts w:ascii="宋体" w:eastAsia="宋体" w:hAnsi="宋体" w:hint="eastAsia"/>
                <w:sz w:val="24"/>
                <w:szCs w:val="28"/>
              </w:rPr>
              <w:t>0</w:t>
            </w:r>
            <w:r>
              <w:rPr>
                <w:rFonts w:ascii="宋体" w:eastAsia="宋体" w:hAnsi="宋体" w:hint="eastAsia"/>
                <w:sz w:val="24"/>
                <w:szCs w:val="28"/>
              </w:rPr>
              <w:t>（</w:t>
            </w:r>
            <w:r>
              <w:rPr>
                <w:rFonts w:ascii="宋体" w:eastAsia="宋体" w:hAnsi="宋体" w:hint="eastAsia"/>
                <w:sz w:val="24"/>
                <w:szCs w:val="28"/>
              </w:rPr>
              <w:t>线上交流</w:t>
            </w:r>
            <w:r>
              <w:rPr>
                <w:rFonts w:ascii="宋体" w:eastAsia="宋体" w:hAnsi="宋体" w:hint="eastAsia"/>
                <w:sz w:val="24"/>
                <w:szCs w:val="28"/>
              </w:rPr>
              <w:t>）</w:t>
            </w:r>
          </w:p>
          <w:p w14:paraId="79D3B2A6" w14:textId="77777777" w:rsidR="00C701AF" w:rsidRDefault="00A762A3">
            <w:pPr>
              <w:rPr>
                <w:rFonts w:ascii="宋体" w:eastAsia="宋体" w:hAnsi="宋体"/>
                <w:sz w:val="24"/>
                <w:szCs w:val="28"/>
              </w:rPr>
            </w:pPr>
            <w:r>
              <w:rPr>
                <w:rFonts w:ascii="宋体" w:eastAsia="宋体" w:hAnsi="宋体" w:hint="eastAsia"/>
                <w:sz w:val="24"/>
                <w:szCs w:val="28"/>
              </w:rPr>
              <w:t>2024</w:t>
            </w:r>
            <w:r>
              <w:rPr>
                <w:rFonts w:ascii="宋体" w:eastAsia="宋体" w:hAnsi="宋体" w:hint="eastAsia"/>
                <w:sz w:val="24"/>
                <w:szCs w:val="28"/>
              </w:rPr>
              <w:t>年</w:t>
            </w:r>
            <w:r>
              <w:rPr>
                <w:rFonts w:ascii="宋体" w:eastAsia="宋体" w:hAnsi="宋体" w:hint="eastAsia"/>
                <w:sz w:val="24"/>
                <w:szCs w:val="28"/>
              </w:rPr>
              <w:t>8</w:t>
            </w:r>
            <w:r>
              <w:rPr>
                <w:rFonts w:ascii="宋体" w:eastAsia="宋体" w:hAnsi="宋体" w:hint="eastAsia"/>
                <w:sz w:val="24"/>
                <w:szCs w:val="28"/>
              </w:rPr>
              <w:t>月</w:t>
            </w:r>
            <w:r>
              <w:rPr>
                <w:rFonts w:ascii="宋体" w:eastAsia="宋体" w:hAnsi="宋体" w:hint="eastAsia"/>
                <w:sz w:val="24"/>
                <w:szCs w:val="28"/>
              </w:rPr>
              <w:t>22</w:t>
            </w:r>
            <w:r>
              <w:rPr>
                <w:rFonts w:ascii="宋体" w:eastAsia="宋体" w:hAnsi="宋体" w:hint="eastAsia"/>
                <w:sz w:val="24"/>
                <w:szCs w:val="28"/>
              </w:rPr>
              <w:t>日</w:t>
            </w:r>
            <w:r>
              <w:rPr>
                <w:rFonts w:ascii="宋体" w:eastAsia="宋体" w:hAnsi="宋体" w:hint="eastAsia"/>
                <w:sz w:val="24"/>
                <w:szCs w:val="28"/>
              </w:rPr>
              <w:t xml:space="preserve"> 10</w:t>
            </w:r>
            <w:r>
              <w:rPr>
                <w:rFonts w:ascii="宋体" w:eastAsia="宋体" w:hAnsi="宋体" w:hint="eastAsia"/>
                <w:sz w:val="24"/>
                <w:szCs w:val="28"/>
              </w:rPr>
              <w:t>：</w:t>
            </w:r>
            <w:r>
              <w:rPr>
                <w:rFonts w:ascii="宋体" w:eastAsia="宋体" w:hAnsi="宋体" w:hint="eastAsia"/>
                <w:sz w:val="24"/>
                <w:szCs w:val="28"/>
              </w:rPr>
              <w:t>00-11</w:t>
            </w:r>
            <w:r>
              <w:rPr>
                <w:rFonts w:ascii="宋体" w:eastAsia="宋体" w:hAnsi="宋体" w:hint="eastAsia"/>
                <w:sz w:val="24"/>
                <w:szCs w:val="28"/>
              </w:rPr>
              <w:t>：</w:t>
            </w:r>
            <w:r>
              <w:rPr>
                <w:rFonts w:ascii="宋体" w:eastAsia="宋体" w:hAnsi="宋体" w:hint="eastAsia"/>
                <w:sz w:val="24"/>
                <w:szCs w:val="28"/>
              </w:rPr>
              <w:t>00</w:t>
            </w:r>
            <w:r>
              <w:rPr>
                <w:rFonts w:ascii="宋体" w:eastAsia="宋体" w:hAnsi="宋体" w:hint="eastAsia"/>
                <w:sz w:val="24"/>
                <w:szCs w:val="28"/>
              </w:rPr>
              <w:t>（线上交流）</w:t>
            </w:r>
          </w:p>
        </w:tc>
      </w:tr>
      <w:tr w:rsidR="00C701AF" w14:paraId="4A8BF497" w14:textId="77777777">
        <w:trPr>
          <w:trHeight w:val="532"/>
        </w:trPr>
        <w:tc>
          <w:tcPr>
            <w:tcW w:w="2679" w:type="dxa"/>
            <w:vAlign w:val="center"/>
          </w:tcPr>
          <w:p w14:paraId="0E5E233B" w14:textId="77777777" w:rsidR="00C701AF" w:rsidRDefault="00A762A3">
            <w:pPr>
              <w:rPr>
                <w:rFonts w:ascii="宋体" w:eastAsia="宋体" w:hAnsi="宋体"/>
                <w:sz w:val="24"/>
                <w:szCs w:val="28"/>
              </w:rPr>
            </w:pPr>
            <w:r>
              <w:rPr>
                <w:rFonts w:ascii="宋体" w:eastAsia="宋体" w:hAnsi="宋体" w:hint="eastAsia"/>
                <w:sz w:val="24"/>
                <w:szCs w:val="28"/>
              </w:rPr>
              <w:t>地点</w:t>
            </w:r>
          </w:p>
        </w:tc>
        <w:tc>
          <w:tcPr>
            <w:tcW w:w="5617" w:type="dxa"/>
            <w:vAlign w:val="center"/>
          </w:tcPr>
          <w:p w14:paraId="474C56DF" w14:textId="77777777" w:rsidR="00C701AF" w:rsidRDefault="00A762A3">
            <w:pPr>
              <w:rPr>
                <w:rFonts w:ascii="宋体" w:eastAsia="宋体" w:hAnsi="宋体"/>
                <w:sz w:val="24"/>
                <w:szCs w:val="28"/>
              </w:rPr>
            </w:pPr>
            <w:r>
              <w:rPr>
                <w:rFonts w:ascii="宋体" w:eastAsia="宋体" w:hAnsi="宋体" w:hint="eastAsia"/>
                <w:sz w:val="24"/>
                <w:szCs w:val="28"/>
              </w:rPr>
              <w:t>1</w:t>
            </w:r>
            <w:r>
              <w:rPr>
                <w:rFonts w:ascii="宋体" w:eastAsia="宋体" w:hAnsi="宋体" w:hint="eastAsia"/>
                <w:sz w:val="24"/>
                <w:szCs w:val="28"/>
              </w:rPr>
              <w:t>、</w:t>
            </w:r>
            <w:r>
              <w:rPr>
                <w:rFonts w:ascii="宋体" w:eastAsia="宋体" w:hAnsi="宋体" w:hint="eastAsia"/>
                <w:sz w:val="24"/>
                <w:szCs w:val="28"/>
              </w:rPr>
              <w:t>进门财经</w:t>
            </w:r>
          </w:p>
          <w:p w14:paraId="38AB4F3C" w14:textId="77777777" w:rsidR="00C701AF" w:rsidRDefault="00A762A3">
            <w:pPr>
              <w:rPr>
                <w:rFonts w:ascii="宋体" w:eastAsia="宋体" w:hAnsi="宋体"/>
                <w:sz w:val="24"/>
                <w:szCs w:val="28"/>
              </w:rPr>
            </w:pPr>
            <w:r>
              <w:rPr>
                <w:rFonts w:ascii="宋体" w:eastAsia="宋体" w:hAnsi="宋体" w:hint="eastAsia"/>
                <w:sz w:val="24"/>
                <w:szCs w:val="28"/>
              </w:rPr>
              <w:t>2</w:t>
            </w:r>
            <w:r>
              <w:rPr>
                <w:rFonts w:ascii="宋体" w:eastAsia="宋体" w:hAnsi="宋体" w:hint="eastAsia"/>
                <w:sz w:val="24"/>
                <w:szCs w:val="28"/>
              </w:rPr>
              <w:t>、</w:t>
            </w:r>
            <w:r>
              <w:rPr>
                <w:rFonts w:ascii="宋体" w:eastAsia="宋体" w:hAnsi="宋体" w:hint="eastAsia"/>
                <w:sz w:val="24"/>
                <w:szCs w:val="28"/>
              </w:rPr>
              <w:t>腾讯会议</w:t>
            </w:r>
          </w:p>
        </w:tc>
      </w:tr>
      <w:tr w:rsidR="00C701AF" w14:paraId="2BF5E4CA" w14:textId="77777777">
        <w:tc>
          <w:tcPr>
            <w:tcW w:w="2679" w:type="dxa"/>
            <w:vAlign w:val="center"/>
          </w:tcPr>
          <w:p w14:paraId="244F335A" w14:textId="77777777" w:rsidR="00C701AF" w:rsidRDefault="00A762A3">
            <w:pPr>
              <w:rPr>
                <w:rFonts w:ascii="宋体" w:eastAsia="宋体" w:hAnsi="宋体"/>
                <w:sz w:val="24"/>
                <w:szCs w:val="28"/>
              </w:rPr>
            </w:pPr>
            <w:r>
              <w:rPr>
                <w:rFonts w:ascii="宋体" w:eastAsia="宋体" w:hAnsi="宋体" w:hint="eastAsia"/>
                <w:sz w:val="24"/>
                <w:szCs w:val="28"/>
              </w:rPr>
              <w:t>上市公司接待人员姓名</w:t>
            </w:r>
          </w:p>
        </w:tc>
        <w:tc>
          <w:tcPr>
            <w:tcW w:w="5617" w:type="dxa"/>
          </w:tcPr>
          <w:p w14:paraId="154451E9" w14:textId="77777777" w:rsidR="00C701AF" w:rsidRDefault="00A762A3">
            <w:pPr>
              <w:rPr>
                <w:rFonts w:ascii="宋体" w:eastAsia="宋体" w:hAnsi="宋体"/>
                <w:sz w:val="24"/>
                <w:szCs w:val="28"/>
              </w:rPr>
            </w:pPr>
            <w:r>
              <w:rPr>
                <w:rFonts w:ascii="宋体" w:eastAsia="宋体" w:hAnsi="宋体" w:hint="eastAsia"/>
                <w:sz w:val="24"/>
                <w:szCs w:val="28"/>
              </w:rPr>
              <w:t>1</w:t>
            </w:r>
            <w:r>
              <w:rPr>
                <w:rFonts w:ascii="宋体" w:eastAsia="宋体" w:hAnsi="宋体" w:hint="eastAsia"/>
                <w:sz w:val="24"/>
                <w:szCs w:val="28"/>
              </w:rPr>
              <w:t>、</w:t>
            </w:r>
            <w:r>
              <w:rPr>
                <w:rFonts w:ascii="宋体" w:eastAsia="宋体" w:hAnsi="宋体" w:hint="eastAsia"/>
                <w:sz w:val="24"/>
                <w:szCs w:val="28"/>
              </w:rPr>
              <w:t>董事、总经理</w:t>
            </w:r>
            <w:r>
              <w:rPr>
                <w:rFonts w:ascii="宋体" w:eastAsia="宋体" w:hAnsi="宋体" w:hint="eastAsia"/>
                <w:sz w:val="24"/>
                <w:szCs w:val="28"/>
              </w:rPr>
              <w:t xml:space="preserve">          </w:t>
            </w:r>
            <w:r>
              <w:rPr>
                <w:rFonts w:ascii="宋体" w:eastAsia="宋体" w:hAnsi="宋体" w:hint="eastAsia"/>
                <w:sz w:val="24"/>
                <w:szCs w:val="28"/>
              </w:rPr>
              <w:t>赵彦轻</w:t>
            </w:r>
          </w:p>
          <w:p w14:paraId="585ACC91" w14:textId="77777777" w:rsidR="00C701AF" w:rsidRDefault="00A762A3">
            <w:pPr>
              <w:rPr>
                <w:rFonts w:ascii="宋体" w:eastAsia="宋体" w:hAnsi="宋体"/>
                <w:sz w:val="24"/>
                <w:szCs w:val="28"/>
              </w:rPr>
            </w:pPr>
            <w:r>
              <w:rPr>
                <w:rFonts w:ascii="宋体" w:eastAsia="宋体" w:hAnsi="宋体" w:hint="eastAsia"/>
                <w:sz w:val="24"/>
                <w:szCs w:val="28"/>
              </w:rPr>
              <w:t>2</w:t>
            </w:r>
            <w:r>
              <w:rPr>
                <w:rFonts w:ascii="宋体" w:eastAsia="宋体" w:hAnsi="宋体" w:hint="eastAsia"/>
                <w:sz w:val="24"/>
                <w:szCs w:val="28"/>
              </w:rPr>
              <w:t>、董事、</w:t>
            </w:r>
            <w:r>
              <w:rPr>
                <w:rFonts w:ascii="宋体" w:eastAsia="宋体" w:hAnsi="宋体" w:hint="eastAsia"/>
                <w:sz w:val="24"/>
                <w:szCs w:val="28"/>
              </w:rPr>
              <w:t>董秘兼财务总监</w:t>
            </w:r>
            <w:r>
              <w:rPr>
                <w:rFonts w:ascii="宋体" w:eastAsia="宋体" w:hAnsi="宋体" w:hint="eastAsia"/>
                <w:sz w:val="24"/>
                <w:szCs w:val="28"/>
              </w:rPr>
              <w:t xml:space="preserve">  </w:t>
            </w:r>
            <w:r>
              <w:rPr>
                <w:rFonts w:ascii="宋体" w:eastAsia="宋体" w:hAnsi="宋体" w:hint="eastAsia"/>
                <w:sz w:val="24"/>
                <w:szCs w:val="28"/>
              </w:rPr>
              <w:t>王小琴</w:t>
            </w:r>
          </w:p>
          <w:p w14:paraId="6178F64C" w14:textId="77777777" w:rsidR="00C701AF" w:rsidRDefault="00A762A3">
            <w:pPr>
              <w:rPr>
                <w:rFonts w:ascii="宋体" w:eastAsia="宋体" w:hAnsi="宋体"/>
                <w:sz w:val="24"/>
                <w:szCs w:val="28"/>
              </w:rPr>
            </w:pPr>
            <w:r>
              <w:rPr>
                <w:rFonts w:ascii="宋体" w:eastAsia="宋体" w:hAnsi="宋体" w:hint="eastAsia"/>
                <w:sz w:val="24"/>
                <w:szCs w:val="28"/>
              </w:rPr>
              <w:t>3</w:t>
            </w:r>
            <w:r>
              <w:rPr>
                <w:rFonts w:ascii="宋体" w:eastAsia="宋体" w:hAnsi="宋体" w:hint="eastAsia"/>
                <w:sz w:val="24"/>
                <w:szCs w:val="28"/>
              </w:rPr>
              <w:t>、</w:t>
            </w:r>
            <w:r>
              <w:rPr>
                <w:rFonts w:ascii="宋体" w:eastAsia="宋体" w:hAnsi="宋体" w:hint="eastAsia"/>
                <w:sz w:val="24"/>
                <w:szCs w:val="28"/>
              </w:rPr>
              <w:t xml:space="preserve">IRD                   </w:t>
            </w:r>
            <w:r>
              <w:rPr>
                <w:rFonts w:ascii="宋体" w:eastAsia="宋体" w:hAnsi="宋体" w:hint="eastAsia"/>
                <w:sz w:val="24"/>
                <w:szCs w:val="28"/>
              </w:rPr>
              <w:t>段小霞</w:t>
            </w:r>
          </w:p>
        </w:tc>
      </w:tr>
      <w:tr w:rsidR="00C701AF" w14:paraId="7CC2A787" w14:textId="77777777">
        <w:tc>
          <w:tcPr>
            <w:tcW w:w="8296" w:type="dxa"/>
            <w:gridSpan w:val="2"/>
          </w:tcPr>
          <w:p w14:paraId="46C6685E" w14:textId="77777777" w:rsidR="00C701AF" w:rsidRDefault="00A762A3">
            <w:pPr>
              <w:widowControl/>
              <w:spacing w:line="360" w:lineRule="auto"/>
              <w:ind w:firstLineChars="200" w:firstLine="482"/>
              <w:rPr>
                <w:rFonts w:ascii="宋体" w:eastAsia="宋体" w:hAnsi="宋体"/>
                <w:b/>
                <w:bCs/>
                <w:sz w:val="24"/>
                <w:szCs w:val="28"/>
              </w:rPr>
            </w:pPr>
            <w:r>
              <w:rPr>
                <w:rFonts w:ascii="宋体" w:eastAsia="宋体" w:hAnsi="宋体" w:hint="eastAsia"/>
                <w:b/>
                <w:bCs/>
                <w:sz w:val="24"/>
                <w:szCs w:val="28"/>
              </w:rPr>
              <w:t>一、</w:t>
            </w:r>
            <w:r>
              <w:rPr>
                <w:rFonts w:ascii="宋体" w:eastAsia="宋体" w:hAnsi="宋体" w:hint="eastAsia"/>
                <w:b/>
                <w:bCs/>
                <w:sz w:val="24"/>
                <w:szCs w:val="28"/>
              </w:rPr>
              <w:t>公司</w:t>
            </w:r>
            <w:r>
              <w:rPr>
                <w:rFonts w:ascii="宋体" w:eastAsia="宋体" w:hAnsi="宋体" w:hint="eastAsia"/>
                <w:b/>
                <w:bCs/>
                <w:sz w:val="24"/>
                <w:szCs w:val="28"/>
              </w:rPr>
              <w:t>2024</w:t>
            </w:r>
            <w:r>
              <w:rPr>
                <w:rFonts w:ascii="宋体" w:eastAsia="宋体" w:hAnsi="宋体" w:hint="eastAsia"/>
                <w:b/>
                <w:bCs/>
                <w:sz w:val="24"/>
                <w:szCs w:val="28"/>
              </w:rPr>
              <w:t>年上半年经营情况介绍</w:t>
            </w:r>
          </w:p>
          <w:p w14:paraId="54047F52"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w:t>
            </w:r>
            <w:r>
              <w:rPr>
                <w:rFonts w:ascii="宋体" w:eastAsia="宋体" w:hAnsi="宋体" w:cs="宋体" w:hint="eastAsia"/>
                <w:b/>
                <w:bCs/>
                <w:sz w:val="24"/>
                <w:szCs w:val="24"/>
              </w:rPr>
              <w:t>（一）</w:t>
            </w:r>
            <w:r>
              <w:rPr>
                <w:rFonts w:ascii="宋体" w:eastAsia="宋体" w:hAnsi="宋体" w:cs="宋体" w:hint="eastAsia"/>
                <w:b/>
                <w:bCs/>
                <w:sz w:val="24"/>
                <w:szCs w:val="24"/>
              </w:rPr>
              <w:t>2024</w:t>
            </w:r>
            <w:r>
              <w:rPr>
                <w:rFonts w:ascii="宋体" w:eastAsia="宋体" w:hAnsi="宋体" w:cs="宋体" w:hint="eastAsia"/>
                <w:b/>
                <w:bCs/>
                <w:sz w:val="24"/>
                <w:szCs w:val="24"/>
              </w:rPr>
              <w:t>年上半年经营数据</w:t>
            </w:r>
          </w:p>
          <w:p w14:paraId="49EF3699" w14:textId="4F9B2F28"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2024</w:t>
            </w:r>
            <w:r>
              <w:rPr>
                <w:rFonts w:ascii="宋体" w:eastAsia="宋体" w:hAnsi="宋体" w:cs="宋体" w:hint="eastAsia"/>
                <w:sz w:val="24"/>
                <w:szCs w:val="24"/>
              </w:rPr>
              <w:t>上半年，公司实现营业收入</w:t>
            </w:r>
            <w:r>
              <w:rPr>
                <w:rFonts w:ascii="宋体" w:eastAsia="宋体" w:hAnsi="宋体" w:cs="宋体" w:hint="eastAsia"/>
                <w:sz w:val="24"/>
                <w:szCs w:val="24"/>
              </w:rPr>
              <w:t>7.6</w:t>
            </w:r>
            <w:r>
              <w:rPr>
                <w:rFonts w:ascii="宋体" w:eastAsia="宋体" w:hAnsi="宋体" w:cs="宋体" w:hint="eastAsia"/>
                <w:sz w:val="24"/>
                <w:szCs w:val="24"/>
              </w:rPr>
              <w:t>亿元，同比增长</w:t>
            </w:r>
            <w:r>
              <w:rPr>
                <w:rFonts w:ascii="宋体" w:eastAsia="宋体" w:hAnsi="宋体" w:cs="宋体" w:hint="eastAsia"/>
                <w:sz w:val="24"/>
                <w:szCs w:val="24"/>
              </w:rPr>
              <w:t>17.09%</w:t>
            </w:r>
            <w:r>
              <w:rPr>
                <w:rFonts w:ascii="宋体" w:eastAsia="宋体" w:hAnsi="宋体" w:cs="宋体" w:hint="eastAsia"/>
                <w:sz w:val="24"/>
                <w:szCs w:val="24"/>
              </w:rPr>
              <w:t>，</w:t>
            </w:r>
            <w:r>
              <w:rPr>
                <w:rFonts w:ascii="宋体" w:eastAsia="宋体" w:hAnsi="宋体" w:cs="宋体" w:hint="eastAsia"/>
                <w:sz w:val="24"/>
                <w:szCs w:val="24"/>
              </w:rPr>
              <w:t>2024Q2</w:t>
            </w:r>
            <w:r>
              <w:rPr>
                <w:rFonts w:ascii="宋体" w:eastAsia="宋体" w:hAnsi="宋体" w:cs="宋体" w:hint="eastAsia"/>
                <w:sz w:val="24"/>
                <w:szCs w:val="24"/>
              </w:rPr>
              <w:t>实现营业收入</w:t>
            </w:r>
            <w:r>
              <w:rPr>
                <w:rFonts w:ascii="宋体" w:eastAsia="宋体" w:hAnsi="宋体" w:cs="宋体" w:hint="eastAsia"/>
                <w:sz w:val="24"/>
                <w:szCs w:val="24"/>
              </w:rPr>
              <w:t>3.99</w:t>
            </w:r>
            <w:r>
              <w:rPr>
                <w:rFonts w:ascii="宋体" w:eastAsia="宋体" w:hAnsi="宋体" w:cs="宋体" w:hint="eastAsia"/>
                <w:sz w:val="24"/>
                <w:szCs w:val="24"/>
              </w:rPr>
              <w:t>亿元，同比增长</w:t>
            </w:r>
            <w:r>
              <w:rPr>
                <w:rFonts w:ascii="宋体" w:eastAsia="宋体" w:hAnsi="宋体" w:cs="宋体" w:hint="eastAsia"/>
                <w:sz w:val="24"/>
                <w:szCs w:val="24"/>
              </w:rPr>
              <w:t>22.34%</w:t>
            </w:r>
            <w:r>
              <w:rPr>
                <w:rFonts w:ascii="宋体" w:eastAsia="宋体" w:hAnsi="宋体" w:cs="宋体" w:hint="eastAsia"/>
                <w:sz w:val="24"/>
                <w:szCs w:val="24"/>
              </w:rPr>
              <w:t>，国内收入持续增长得益于核心产品依普定、赛若金、白特喜销量实现较大幅度增长。海外销售实现收入</w:t>
            </w:r>
            <w:r>
              <w:rPr>
                <w:rFonts w:ascii="宋体" w:eastAsia="宋体" w:hAnsi="宋体" w:cs="宋体" w:hint="eastAsia"/>
                <w:sz w:val="24"/>
                <w:szCs w:val="24"/>
              </w:rPr>
              <w:t>9,009</w:t>
            </w:r>
            <w:r w:rsidR="00620070">
              <w:rPr>
                <w:rFonts w:ascii="宋体" w:eastAsia="宋体" w:hAnsi="宋体" w:cs="宋体"/>
                <w:sz w:val="24"/>
                <w:szCs w:val="24"/>
              </w:rPr>
              <w:t>.5</w:t>
            </w:r>
            <w:r>
              <w:rPr>
                <w:rFonts w:ascii="宋体" w:eastAsia="宋体" w:hAnsi="宋体" w:cs="宋体" w:hint="eastAsia"/>
                <w:sz w:val="24"/>
                <w:szCs w:val="24"/>
              </w:rPr>
              <w:t>万</w:t>
            </w:r>
            <w:r w:rsidR="00620070">
              <w:rPr>
                <w:rFonts w:ascii="宋体" w:eastAsia="宋体" w:hAnsi="宋体" w:cs="宋体" w:hint="eastAsia"/>
                <w:sz w:val="24"/>
                <w:szCs w:val="24"/>
              </w:rPr>
              <w:t>元</w:t>
            </w:r>
            <w:r>
              <w:rPr>
                <w:rFonts w:ascii="宋体" w:eastAsia="宋体" w:hAnsi="宋体" w:cs="宋体" w:hint="eastAsia"/>
                <w:sz w:val="24"/>
                <w:szCs w:val="24"/>
              </w:rPr>
              <w:t>，同比增长</w:t>
            </w:r>
            <w:r>
              <w:rPr>
                <w:rFonts w:ascii="宋体" w:eastAsia="宋体" w:hAnsi="宋体" w:cs="宋体" w:hint="eastAsia"/>
                <w:sz w:val="24"/>
                <w:szCs w:val="24"/>
              </w:rPr>
              <w:t>3</w:t>
            </w:r>
            <w:r w:rsidR="00B549F4">
              <w:rPr>
                <w:rFonts w:ascii="宋体" w:eastAsia="宋体" w:hAnsi="宋体" w:cs="宋体"/>
                <w:sz w:val="24"/>
                <w:szCs w:val="24"/>
              </w:rPr>
              <w:t>2.97</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t>2024H1</w:t>
            </w:r>
            <w:r>
              <w:rPr>
                <w:rFonts w:ascii="宋体" w:eastAsia="宋体" w:hAnsi="宋体" w:cs="宋体" w:hint="eastAsia"/>
                <w:sz w:val="24"/>
                <w:szCs w:val="24"/>
              </w:rPr>
              <w:t>实现营业利润</w:t>
            </w:r>
            <w:r>
              <w:rPr>
                <w:rFonts w:ascii="宋体" w:eastAsia="宋体" w:hAnsi="宋体" w:cs="宋体" w:hint="eastAsia"/>
                <w:sz w:val="24"/>
                <w:szCs w:val="24"/>
              </w:rPr>
              <w:t>4,776</w:t>
            </w:r>
            <w:r>
              <w:rPr>
                <w:rFonts w:ascii="宋体" w:eastAsia="宋体" w:hAnsi="宋体" w:cs="宋体" w:hint="eastAsia"/>
                <w:sz w:val="24"/>
                <w:szCs w:val="24"/>
              </w:rPr>
              <w:t>万元，扣非净利润为</w:t>
            </w:r>
            <w:r>
              <w:rPr>
                <w:rFonts w:ascii="宋体" w:eastAsia="宋体" w:hAnsi="宋体" w:cs="宋体" w:hint="eastAsia"/>
                <w:sz w:val="24"/>
                <w:szCs w:val="24"/>
              </w:rPr>
              <w:t>2,153</w:t>
            </w:r>
            <w:r>
              <w:rPr>
                <w:rFonts w:ascii="宋体" w:eastAsia="宋体" w:hAnsi="宋体" w:cs="宋体" w:hint="eastAsia"/>
                <w:sz w:val="24"/>
                <w:szCs w:val="24"/>
              </w:rPr>
              <w:t>万元，与上年同期相比，实现扭亏为盈，盈利能力大幅提升得益于公司收入的持续增长及公司深化全业务流程的精益管理，内部运营效率得以提升，销售费用</w:t>
            </w:r>
            <w:r>
              <w:rPr>
                <w:rFonts w:ascii="宋体" w:eastAsia="宋体" w:hAnsi="宋体" w:cs="宋体"/>
                <w:sz w:val="24"/>
                <w:szCs w:val="24"/>
              </w:rPr>
              <w:t>、研发费用</w:t>
            </w:r>
            <w:r>
              <w:rPr>
                <w:rFonts w:ascii="宋体" w:eastAsia="宋体" w:hAnsi="宋体" w:cs="宋体" w:hint="eastAsia"/>
                <w:sz w:val="24"/>
                <w:szCs w:val="24"/>
              </w:rPr>
              <w:t>及生产成本的下降。</w:t>
            </w:r>
          </w:p>
          <w:p w14:paraId="59E77AB3"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（二）研发投入及费用端情况</w:t>
            </w:r>
          </w:p>
          <w:p w14:paraId="64FCF968" w14:textId="5EFD304E"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公司持续聚焦抗病毒、肿瘤、免疫和退行性疾病等领域，不断完善、均衡公司管线布局，创新型研发管线占比逐渐提升。</w:t>
            </w:r>
            <w:r>
              <w:rPr>
                <w:rFonts w:ascii="宋体" w:eastAsia="宋体" w:hAnsi="宋体" w:cs="宋体" w:hint="eastAsia"/>
                <w:sz w:val="24"/>
                <w:szCs w:val="24"/>
              </w:rPr>
              <w:t>2024</w:t>
            </w:r>
            <w:r>
              <w:rPr>
                <w:rFonts w:ascii="宋体" w:eastAsia="宋体" w:hAnsi="宋体" w:cs="宋体" w:hint="eastAsia"/>
                <w:sz w:val="24"/>
                <w:szCs w:val="24"/>
              </w:rPr>
              <w:t>上半年，研发投入</w:t>
            </w:r>
            <w:r w:rsidR="00FB5666">
              <w:rPr>
                <w:rFonts w:ascii="宋体" w:eastAsia="宋体" w:hAnsi="宋体" w:cs="宋体" w:hint="eastAsia"/>
                <w:sz w:val="24"/>
                <w:szCs w:val="24"/>
              </w:rPr>
              <w:t>约</w:t>
            </w:r>
            <w:r>
              <w:rPr>
                <w:rFonts w:ascii="宋体" w:eastAsia="宋体" w:hAnsi="宋体" w:cs="宋体" w:hint="eastAsia"/>
                <w:sz w:val="24"/>
                <w:szCs w:val="24"/>
              </w:rPr>
              <w:t>8,750</w:t>
            </w:r>
            <w:r>
              <w:rPr>
                <w:rFonts w:ascii="宋体" w:eastAsia="宋体" w:hAnsi="宋体" w:cs="宋体" w:hint="eastAsia"/>
                <w:sz w:val="24"/>
                <w:szCs w:val="24"/>
              </w:rPr>
              <w:t>万</w:t>
            </w:r>
            <w:r w:rsidR="00A855E4">
              <w:rPr>
                <w:rFonts w:ascii="宋体" w:eastAsia="宋体" w:hAnsi="宋体" w:cs="宋体" w:hint="eastAsia"/>
                <w:sz w:val="24"/>
                <w:szCs w:val="24"/>
              </w:rPr>
              <w:t>元</w:t>
            </w:r>
            <w:r>
              <w:rPr>
                <w:rFonts w:ascii="宋体" w:eastAsia="宋体" w:hAnsi="宋体" w:cs="宋体" w:hint="eastAsia"/>
                <w:sz w:val="24"/>
                <w:szCs w:val="24"/>
              </w:rPr>
              <w:t>，研发</w:t>
            </w:r>
            <w:r>
              <w:rPr>
                <w:rFonts w:ascii="宋体" w:eastAsia="宋体" w:hAnsi="宋体" w:cs="宋体"/>
                <w:sz w:val="24"/>
                <w:szCs w:val="24"/>
              </w:rPr>
              <w:t>投入占比</w:t>
            </w:r>
            <w:r>
              <w:rPr>
                <w:rFonts w:ascii="宋体" w:eastAsia="宋体" w:hAnsi="宋体" w:cs="宋体" w:hint="eastAsia"/>
                <w:sz w:val="24"/>
                <w:szCs w:val="24"/>
              </w:rPr>
              <w:t>为</w:t>
            </w:r>
            <w:r>
              <w:rPr>
                <w:rFonts w:ascii="宋体" w:eastAsia="宋体" w:hAnsi="宋体" w:cs="宋体" w:hint="eastAsia"/>
                <w:sz w:val="24"/>
                <w:szCs w:val="24"/>
              </w:rPr>
              <w:t>11.52%</w:t>
            </w:r>
            <w:r>
              <w:rPr>
                <w:rFonts w:ascii="宋体" w:eastAsia="宋体" w:hAnsi="宋体" w:cs="宋体" w:hint="eastAsia"/>
                <w:sz w:val="24"/>
                <w:szCs w:val="24"/>
              </w:rPr>
              <w:t>。</w:t>
            </w:r>
          </w:p>
          <w:p w14:paraId="2F64F056"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2024</w:t>
            </w:r>
            <w:r>
              <w:rPr>
                <w:rFonts w:ascii="宋体" w:eastAsia="宋体" w:hAnsi="宋体" w:cs="宋体" w:hint="eastAsia"/>
                <w:sz w:val="24"/>
                <w:szCs w:val="24"/>
              </w:rPr>
              <w:t>年上半年，公司积极拥抱高智能，深度推进精益管理，在数字化提升、降本增效等方面取得显著成果，销售费用及单位生产成本均下降</w:t>
            </w:r>
            <w:r>
              <w:rPr>
                <w:rFonts w:ascii="宋体" w:eastAsia="宋体" w:hAnsi="宋体" w:cs="宋体" w:hint="eastAsia"/>
                <w:sz w:val="24"/>
                <w:szCs w:val="24"/>
              </w:rPr>
              <w:t>,</w:t>
            </w:r>
            <w:r>
              <w:rPr>
                <w:rFonts w:ascii="宋体" w:eastAsia="宋体" w:hAnsi="宋体" w:cs="宋体" w:hint="eastAsia"/>
                <w:sz w:val="24"/>
                <w:szCs w:val="24"/>
              </w:rPr>
              <w:t>管理费用和财务费用保持稳定。</w:t>
            </w:r>
          </w:p>
          <w:p w14:paraId="15566D74" w14:textId="77777777" w:rsidR="00C701AF" w:rsidRDefault="00A762A3">
            <w:pPr>
              <w:widowControl/>
              <w:numPr>
                <w:ilvl w:val="0"/>
                <w:numId w:val="1"/>
              </w:num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海外商业化进展</w:t>
            </w:r>
          </w:p>
          <w:p w14:paraId="269DECBE"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截至</w:t>
            </w:r>
            <w:r>
              <w:rPr>
                <w:rFonts w:ascii="宋体" w:eastAsia="宋体" w:hAnsi="宋体" w:cs="宋体" w:hint="eastAsia"/>
                <w:sz w:val="24"/>
                <w:szCs w:val="24"/>
              </w:rPr>
              <w:t>2024</w:t>
            </w:r>
            <w:r>
              <w:rPr>
                <w:rFonts w:ascii="宋体" w:eastAsia="宋体" w:hAnsi="宋体" w:cs="宋体" w:hint="eastAsia"/>
                <w:sz w:val="24"/>
                <w:szCs w:val="24"/>
              </w:rPr>
              <w:t>年上半年，公司已累计引进</w:t>
            </w:r>
            <w:r>
              <w:rPr>
                <w:rFonts w:ascii="宋体" w:eastAsia="宋体" w:hAnsi="宋体" w:cs="宋体" w:hint="eastAsia"/>
                <w:sz w:val="24"/>
                <w:szCs w:val="24"/>
              </w:rPr>
              <w:t>13</w:t>
            </w:r>
            <w:r>
              <w:rPr>
                <w:rFonts w:ascii="宋体" w:eastAsia="宋体" w:hAnsi="宋体" w:cs="宋体" w:hint="eastAsia"/>
                <w:sz w:val="24"/>
                <w:szCs w:val="24"/>
              </w:rPr>
              <w:t>款产品，海外商业化平台的产品组合形成；新兴市场国家本地化体系建设不断深入，巴西、墨西哥、新加坡、埃及、越南等海外分子公司，深</w:t>
            </w:r>
            <w:r>
              <w:rPr>
                <w:rFonts w:ascii="宋体" w:eastAsia="宋体" w:hAnsi="宋体" w:cs="宋体" w:hint="eastAsia"/>
                <w:sz w:val="24"/>
                <w:szCs w:val="24"/>
              </w:rPr>
              <w:t>度辐射、覆盖中美、南美、东南亚、中东北非等区域的海外商业化营销矩阵，目前公司可覆盖的海外国家</w:t>
            </w:r>
            <w:r>
              <w:rPr>
                <w:rFonts w:ascii="宋体" w:eastAsia="宋体" w:hAnsi="宋体" w:cs="宋体" w:hint="eastAsia"/>
                <w:sz w:val="24"/>
                <w:szCs w:val="24"/>
              </w:rPr>
              <w:t>70</w:t>
            </w:r>
            <w:r>
              <w:rPr>
                <w:rFonts w:ascii="宋体" w:eastAsia="宋体" w:hAnsi="宋体" w:cs="宋体" w:hint="eastAsia"/>
                <w:sz w:val="24"/>
                <w:szCs w:val="24"/>
              </w:rPr>
              <w:t>余个。</w:t>
            </w:r>
          </w:p>
          <w:p w14:paraId="4D5B1202"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白蛋白紫杉醇欧盟</w:t>
            </w:r>
            <w:r>
              <w:rPr>
                <w:rFonts w:ascii="宋体" w:eastAsia="宋体" w:hAnsi="宋体" w:cs="宋体" w:hint="eastAsia"/>
                <w:sz w:val="24"/>
                <w:szCs w:val="24"/>
              </w:rPr>
              <w:t>7</w:t>
            </w:r>
            <w:r>
              <w:rPr>
                <w:rFonts w:ascii="宋体" w:eastAsia="宋体" w:hAnsi="宋体" w:cs="宋体" w:hint="eastAsia"/>
                <w:sz w:val="24"/>
                <w:szCs w:val="24"/>
              </w:rPr>
              <w:t>月获批上市，</w:t>
            </w:r>
            <w:r>
              <w:rPr>
                <w:rFonts w:ascii="宋体" w:eastAsia="宋体" w:hAnsi="宋体" w:cs="宋体" w:hint="eastAsia"/>
                <w:sz w:val="24"/>
                <w:szCs w:val="24"/>
              </w:rPr>
              <w:t>8</w:t>
            </w:r>
            <w:r>
              <w:rPr>
                <w:rFonts w:ascii="宋体" w:eastAsia="宋体" w:hAnsi="宋体" w:cs="宋体" w:hint="eastAsia"/>
                <w:sz w:val="24"/>
                <w:szCs w:val="24"/>
              </w:rPr>
              <w:t>月完成第一批发货，白紫进入海外商业化上市销售阶段；英夫利西单抗在秘鲁获批上市，并取得巴西、泰国、埃及的</w:t>
            </w:r>
            <w:r>
              <w:rPr>
                <w:rFonts w:ascii="宋体" w:eastAsia="宋体" w:hAnsi="宋体" w:cs="宋体" w:hint="eastAsia"/>
                <w:sz w:val="24"/>
                <w:szCs w:val="24"/>
              </w:rPr>
              <w:t>GMP</w:t>
            </w:r>
            <w:r>
              <w:rPr>
                <w:rFonts w:ascii="宋体" w:eastAsia="宋体" w:hAnsi="宋体" w:cs="宋体" w:hint="eastAsia"/>
                <w:sz w:val="24"/>
                <w:szCs w:val="24"/>
              </w:rPr>
              <w:t>认证；贝伐珠单抗取得印度尼西亚、埃及、哥伦比亚</w:t>
            </w:r>
            <w:r>
              <w:rPr>
                <w:rFonts w:ascii="宋体" w:eastAsia="宋体" w:hAnsi="宋体" w:cs="宋体" w:hint="eastAsia"/>
                <w:sz w:val="24"/>
                <w:szCs w:val="24"/>
              </w:rPr>
              <w:t>GMP</w:t>
            </w:r>
            <w:r>
              <w:rPr>
                <w:rFonts w:ascii="宋体" w:eastAsia="宋体" w:hAnsi="宋体" w:cs="宋体" w:hint="eastAsia"/>
                <w:sz w:val="24"/>
                <w:szCs w:val="24"/>
              </w:rPr>
              <w:t>认证。公司积极推进引进产品在发达市场及新兴市场共</w:t>
            </w:r>
            <w:r>
              <w:rPr>
                <w:rFonts w:ascii="宋体" w:eastAsia="宋体" w:hAnsi="宋体" w:cs="宋体" w:hint="eastAsia"/>
                <w:sz w:val="24"/>
                <w:szCs w:val="24"/>
              </w:rPr>
              <w:t>40</w:t>
            </w:r>
            <w:r>
              <w:rPr>
                <w:rFonts w:ascii="宋体" w:eastAsia="宋体" w:hAnsi="宋体" w:cs="宋体" w:hint="eastAsia"/>
                <w:sz w:val="24"/>
                <w:szCs w:val="24"/>
              </w:rPr>
              <w:t>余个国家</w:t>
            </w:r>
            <w:r>
              <w:rPr>
                <w:rFonts w:ascii="宋体" w:eastAsia="宋体" w:hAnsi="宋体" w:cs="宋体" w:hint="eastAsia"/>
                <w:sz w:val="24"/>
                <w:szCs w:val="24"/>
              </w:rPr>
              <w:t>110</w:t>
            </w:r>
            <w:r>
              <w:rPr>
                <w:rFonts w:ascii="宋体" w:eastAsia="宋体" w:hAnsi="宋体" w:cs="宋体" w:hint="eastAsia"/>
                <w:sz w:val="24"/>
                <w:szCs w:val="24"/>
              </w:rPr>
              <w:t>多项注册进程。</w:t>
            </w:r>
          </w:p>
          <w:p w14:paraId="14D5C72F"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（四）差异化研发进展</w:t>
            </w:r>
          </w:p>
          <w:p w14:paraId="5085EEB1"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公司持续推进重点在研项目，高效组织研发工作，公司首个自主研发的</w:t>
            </w:r>
            <w:r>
              <w:rPr>
                <w:rFonts w:ascii="宋体" w:eastAsia="宋体" w:hAnsi="宋体" w:cs="宋体" w:hint="eastAsia"/>
                <w:sz w:val="24"/>
                <w:szCs w:val="24"/>
              </w:rPr>
              <w:t>1</w:t>
            </w:r>
            <w:r>
              <w:rPr>
                <w:rFonts w:ascii="宋体" w:eastAsia="宋体" w:hAnsi="宋体" w:cs="宋体" w:hint="eastAsia"/>
                <w:sz w:val="24"/>
                <w:szCs w:val="24"/>
              </w:rPr>
              <w:t>类创新药</w:t>
            </w:r>
            <w:r>
              <w:rPr>
                <w:rFonts w:ascii="宋体" w:eastAsia="宋体" w:hAnsi="宋体" w:cs="宋体" w:hint="eastAsia"/>
                <w:sz w:val="24"/>
                <w:szCs w:val="24"/>
              </w:rPr>
              <w:t>Fc</w:t>
            </w:r>
            <w:r>
              <w:rPr>
                <w:rFonts w:ascii="宋体" w:eastAsia="宋体" w:hAnsi="宋体" w:cs="宋体" w:hint="eastAsia"/>
                <w:sz w:val="24"/>
                <w:szCs w:val="24"/>
              </w:rPr>
              <w:t>融合蛋白</w:t>
            </w:r>
            <w:r>
              <w:rPr>
                <w:rFonts w:ascii="宋体" w:eastAsia="宋体" w:hAnsi="宋体" w:cs="宋体" w:hint="eastAsia"/>
                <w:sz w:val="24"/>
                <w:szCs w:val="24"/>
              </w:rPr>
              <w:t>-</w:t>
            </w:r>
            <w:r>
              <w:rPr>
                <w:rFonts w:ascii="宋体" w:eastAsia="宋体" w:hAnsi="宋体" w:cs="宋体" w:hint="eastAsia"/>
                <w:sz w:val="24"/>
                <w:szCs w:val="24"/>
              </w:rPr>
              <w:t>长效生长激素</w:t>
            </w:r>
            <w:r>
              <w:rPr>
                <w:rFonts w:ascii="宋体" w:eastAsia="宋体" w:hAnsi="宋体" w:cs="宋体" w:hint="eastAsia"/>
                <w:sz w:val="24"/>
                <w:szCs w:val="24"/>
              </w:rPr>
              <w:t>I</w:t>
            </w:r>
            <w:r>
              <w:rPr>
                <w:rFonts w:ascii="宋体" w:eastAsia="宋体" w:hAnsi="宋体" w:cs="宋体" w:hint="eastAsia"/>
                <w:sz w:val="24"/>
                <w:szCs w:val="24"/>
              </w:rPr>
              <w:t>期临床试验、</w:t>
            </w:r>
            <w:r>
              <w:rPr>
                <w:rFonts w:ascii="宋体" w:eastAsia="宋体" w:hAnsi="宋体" w:cs="宋体" w:hint="eastAsia"/>
                <w:sz w:val="24"/>
                <w:szCs w:val="24"/>
              </w:rPr>
              <w:t>人干扰素α</w:t>
            </w:r>
            <w:r>
              <w:rPr>
                <w:rFonts w:ascii="宋体" w:eastAsia="宋体" w:hAnsi="宋体" w:cs="宋体" w:hint="eastAsia"/>
                <w:sz w:val="24"/>
                <w:szCs w:val="24"/>
              </w:rPr>
              <w:t>1b</w:t>
            </w:r>
            <w:r>
              <w:rPr>
                <w:rFonts w:ascii="宋体" w:eastAsia="宋体" w:hAnsi="宋体" w:cs="宋体" w:hint="eastAsia"/>
                <w:sz w:val="24"/>
                <w:szCs w:val="24"/>
              </w:rPr>
              <w:t>吸入溶液</w:t>
            </w:r>
            <w:r>
              <w:rPr>
                <w:rFonts w:ascii="宋体" w:eastAsia="宋体" w:hAnsi="宋体" w:cs="宋体" w:hint="eastAsia"/>
                <w:sz w:val="24"/>
                <w:szCs w:val="24"/>
              </w:rPr>
              <w:t>III</w:t>
            </w:r>
            <w:r>
              <w:rPr>
                <w:rFonts w:ascii="宋体" w:eastAsia="宋体" w:hAnsi="宋体" w:cs="宋体" w:hint="eastAsia"/>
                <w:sz w:val="24"/>
                <w:szCs w:val="24"/>
              </w:rPr>
              <w:t>期临床试验已开展受试者入组工作，临床研究顺利推进中；聚乙二醇化人粒细胞刺激因子注射液项目已确定</w:t>
            </w:r>
            <w:r>
              <w:rPr>
                <w:rFonts w:ascii="宋体" w:eastAsia="宋体" w:hAnsi="宋体" w:cs="宋体" w:hint="eastAsia"/>
                <w:sz w:val="24"/>
                <w:szCs w:val="24"/>
              </w:rPr>
              <w:t>III</w:t>
            </w:r>
            <w:r>
              <w:rPr>
                <w:rFonts w:ascii="宋体" w:eastAsia="宋体" w:hAnsi="宋体" w:cs="宋体" w:hint="eastAsia"/>
                <w:sz w:val="24"/>
                <w:szCs w:val="24"/>
              </w:rPr>
              <w:t>期临床的组长单位和</w:t>
            </w:r>
            <w:r>
              <w:rPr>
                <w:rFonts w:ascii="宋体" w:eastAsia="宋体" w:hAnsi="宋体" w:cs="宋体" w:hint="eastAsia"/>
                <w:sz w:val="24"/>
                <w:szCs w:val="24"/>
              </w:rPr>
              <w:t>PI</w:t>
            </w:r>
            <w:r>
              <w:rPr>
                <w:rFonts w:ascii="宋体" w:eastAsia="宋体" w:hAnsi="宋体" w:cs="宋体" w:hint="eastAsia"/>
                <w:sz w:val="24"/>
                <w:szCs w:val="24"/>
              </w:rPr>
              <w:t>，将尽快启动</w:t>
            </w:r>
            <w:r>
              <w:rPr>
                <w:rFonts w:ascii="宋体" w:eastAsia="宋体" w:hAnsi="宋体" w:cs="宋体" w:hint="eastAsia"/>
                <w:sz w:val="24"/>
                <w:szCs w:val="24"/>
              </w:rPr>
              <w:t>III</w:t>
            </w:r>
            <w:r>
              <w:rPr>
                <w:rFonts w:ascii="宋体" w:eastAsia="宋体" w:hAnsi="宋体" w:cs="宋体" w:hint="eastAsia"/>
                <w:sz w:val="24"/>
                <w:szCs w:val="24"/>
              </w:rPr>
              <w:t>期临床的受试者入组给药。</w:t>
            </w:r>
          </w:p>
          <w:p w14:paraId="76A6B086"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公司聚焦重点疾病领域，持续立项开发抗体类创新药物，推动在研产品管线的优化，实现公司研发管线向创新药的全面转变，公司充分利用</w:t>
            </w:r>
            <w:r>
              <w:rPr>
                <w:rFonts w:ascii="宋体" w:eastAsia="宋体" w:hAnsi="宋体" w:cs="宋体" w:hint="eastAsia"/>
                <w:sz w:val="24"/>
                <w:szCs w:val="24"/>
              </w:rPr>
              <w:t>AI</w:t>
            </w:r>
            <w:r>
              <w:rPr>
                <w:rFonts w:ascii="宋体" w:eastAsia="宋体" w:hAnsi="宋体" w:cs="宋体" w:hint="eastAsia"/>
                <w:sz w:val="24"/>
                <w:szCs w:val="24"/>
              </w:rPr>
              <w:t>、计算机辅助药物设计（</w:t>
            </w:r>
            <w:r>
              <w:rPr>
                <w:rFonts w:ascii="宋体" w:eastAsia="宋体" w:hAnsi="宋体" w:cs="宋体" w:hint="eastAsia"/>
                <w:sz w:val="24"/>
                <w:szCs w:val="24"/>
              </w:rPr>
              <w:t>CADD</w:t>
            </w:r>
            <w:r>
              <w:rPr>
                <w:rFonts w:ascii="宋体" w:eastAsia="宋体" w:hAnsi="宋体" w:cs="宋体" w:hint="eastAsia"/>
                <w:sz w:val="24"/>
                <w:szCs w:val="24"/>
              </w:rPr>
              <w:t>）等数字化手段，高效优化药物创新、分子发现路径，获得了体外活性优异、动物药效非劣于甚至优于国外竞品分子的</w:t>
            </w:r>
            <w:r>
              <w:rPr>
                <w:rFonts w:ascii="宋体" w:eastAsia="宋体" w:hAnsi="宋体" w:cs="宋体" w:hint="eastAsia"/>
                <w:sz w:val="24"/>
                <w:szCs w:val="24"/>
              </w:rPr>
              <w:t>PCC</w:t>
            </w:r>
            <w:r>
              <w:rPr>
                <w:rFonts w:ascii="宋体" w:eastAsia="宋体" w:hAnsi="宋体" w:cs="宋体" w:hint="eastAsia"/>
                <w:sz w:val="24"/>
                <w:szCs w:val="24"/>
              </w:rPr>
              <w:t>分子，整体成药性高、安全性高。目前，</w:t>
            </w:r>
            <w:r>
              <w:rPr>
                <w:rFonts w:ascii="宋体" w:eastAsia="宋体" w:hAnsi="宋体" w:cs="宋体" w:hint="eastAsia"/>
                <w:sz w:val="24"/>
                <w:szCs w:val="24"/>
              </w:rPr>
              <w:t>GB10</w:t>
            </w:r>
            <w:r>
              <w:rPr>
                <w:rFonts w:ascii="宋体" w:eastAsia="宋体" w:hAnsi="宋体" w:cs="宋体" w:hint="eastAsia"/>
                <w:sz w:val="24"/>
                <w:szCs w:val="24"/>
              </w:rPr>
              <w:t>、</w:t>
            </w:r>
            <w:r>
              <w:rPr>
                <w:rFonts w:ascii="宋体" w:eastAsia="宋体" w:hAnsi="宋体" w:cs="宋体" w:hint="eastAsia"/>
                <w:sz w:val="24"/>
                <w:szCs w:val="24"/>
              </w:rPr>
              <w:t>GB1</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GB13</w:t>
            </w:r>
            <w:r>
              <w:rPr>
                <w:rFonts w:ascii="宋体" w:eastAsia="宋体" w:hAnsi="宋体" w:cs="宋体" w:hint="eastAsia"/>
                <w:sz w:val="24"/>
                <w:szCs w:val="24"/>
              </w:rPr>
              <w:t>、</w:t>
            </w:r>
            <w:r>
              <w:rPr>
                <w:rFonts w:ascii="宋体" w:eastAsia="宋体" w:hAnsi="宋体" w:cs="宋体" w:hint="eastAsia"/>
                <w:sz w:val="24"/>
                <w:szCs w:val="24"/>
              </w:rPr>
              <w:t>GB14</w:t>
            </w:r>
            <w:r>
              <w:rPr>
                <w:rFonts w:ascii="宋体" w:eastAsia="宋体" w:hAnsi="宋体" w:cs="宋体" w:hint="eastAsia"/>
                <w:sz w:val="24"/>
                <w:szCs w:val="24"/>
              </w:rPr>
              <w:t>、</w:t>
            </w:r>
            <w:r>
              <w:rPr>
                <w:rFonts w:ascii="宋体" w:eastAsia="宋体" w:hAnsi="宋体" w:cs="宋体" w:hint="eastAsia"/>
                <w:sz w:val="24"/>
                <w:szCs w:val="24"/>
              </w:rPr>
              <w:t>GB18</w:t>
            </w:r>
            <w:r>
              <w:rPr>
                <w:rFonts w:ascii="宋体" w:eastAsia="宋体" w:hAnsi="宋体" w:cs="宋体" w:hint="eastAsia"/>
                <w:sz w:val="24"/>
                <w:szCs w:val="24"/>
              </w:rPr>
              <w:t>、</w:t>
            </w:r>
            <w:r>
              <w:rPr>
                <w:rFonts w:ascii="宋体" w:eastAsia="宋体" w:hAnsi="宋体" w:cs="宋体" w:hint="eastAsia"/>
                <w:sz w:val="24"/>
                <w:szCs w:val="24"/>
              </w:rPr>
              <w:t>GB19</w:t>
            </w:r>
            <w:r>
              <w:rPr>
                <w:rFonts w:ascii="宋体" w:eastAsia="宋体" w:hAnsi="宋体" w:cs="宋体" w:hint="eastAsia"/>
                <w:sz w:val="24"/>
                <w:szCs w:val="24"/>
              </w:rPr>
              <w:t>、</w:t>
            </w:r>
            <w:r>
              <w:rPr>
                <w:rFonts w:ascii="宋体" w:eastAsia="宋体" w:hAnsi="宋体" w:cs="宋体" w:hint="eastAsia"/>
                <w:sz w:val="24"/>
                <w:szCs w:val="24"/>
              </w:rPr>
              <w:t>GB20</w:t>
            </w:r>
            <w:r>
              <w:rPr>
                <w:rFonts w:ascii="宋体" w:eastAsia="宋体" w:hAnsi="宋体" w:cs="宋体" w:hint="eastAsia"/>
                <w:sz w:val="24"/>
                <w:szCs w:val="24"/>
              </w:rPr>
              <w:t>等多个创新项目均已完成</w:t>
            </w:r>
            <w:r>
              <w:rPr>
                <w:rFonts w:ascii="宋体" w:eastAsia="宋体" w:hAnsi="宋体" w:cs="宋体" w:hint="eastAsia"/>
                <w:sz w:val="24"/>
                <w:szCs w:val="24"/>
              </w:rPr>
              <w:t>PCC</w:t>
            </w:r>
            <w:r>
              <w:rPr>
                <w:rFonts w:ascii="宋体" w:eastAsia="宋体" w:hAnsi="宋体" w:cs="宋体" w:hint="eastAsia"/>
                <w:sz w:val="24"/>
                <w:szCs w:val="24"/>
              </w:rPr>
              <w:t>分子创制，陆续进入工艺开发阶段。</w:t>
            </w:r>
          </w:p>
          <w:p w14:paraId="7514F8F5" w14:textId="77777777" w:rsidR="00C701AF" w:rsidRDefault="00A762A3">
            <w:pPr>
              <w:widowControl/>
              <w:spacing w:line="360" w:lineRule="auto"/>
              <w:ind w:firstLineChars="200" w:firstLine="420"/>
              <w:rPr>
                <w:szCs w:val="21"/>
              </w:rPr>
            </w:pPr>
            <w:r>
              <w:rPr>
                <w:rFonts w:hint="eastAsia"/>
                <w:szCs w:val="21"/>
              </w:rPr>
              <w:t xml:space="preserve">    </w:t>
            </w:r>
          </w:p>
          <w:p w14:paraId="66E20B3C"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二、白紫目前的订单量以及发货节奏？</w:t>
            </w:r>
          </w:p>
          <w:p w14:paraId="17220282"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答：公司经过近</w:t>
            </w:r>
            <w:r>
              <w:rPr>
                <w:rFonts w:ascii="宋体" w:eastAsia="宋体" w:hAnsi="宋体" w:cs="宋体" w:hint="eastAsia"/>
                <w:sz w:val="24"/>
                <w:szCs w:val="24"/>
              </w:rPr>
              <w:t>3</w:t>
            </w:r>
            <w:r>
              <w:rPr>
                <w:rFonts w:ascii="宋体" w:eastAsia="宋体" w:hAnsi="宋体" w:cs="宋体" w:hint="eastAsia"/>
                <w:sz w:val="24"/>
                <w:szCs w:val="24"/>
              </w:rPr>
              <w:t>年的注册和准入准备，公司位于</w:t>
            </w:r>
            <w:r>
              <w:rPr>
                <w:rFonts w:ascii="宋体" w:eastAsia="宋体" w:hAnsi="宋体" w:cs="宋体"/>
                <w:sz w:val="24"/>
                <w:szCs w:val="24"/>
              </w:rPr>
              <w:t>济南</w:t>
            </w:r>
            <w:r>
              <w:rPr>
                <w:rFonts w:ascii="宋体" w:eastAsia="宋体" w:hAnsi="宋体" w:cs="宋体" w:hint="eastAsia"/>
                <w:sz w:val="24"/>
                <w:szCs w:val="24"/>
              </w:rPr>
              <w:t>的白蛋白紫杉醇生产线通过了欧盟</w:t>
            </w:r>
            <w:r>
              <w:rPr>
                <w:rFonts w:ascii="宋体" w:eastAsia="宋体" w:hAnsi="宋体" w:cs="宋体" w:hint="eastAsia"/>
                <w:sz w:val="24"/>
                <w:szCs w:val="24"/>
              </w:rPr>
              <w:t>GMP</w:t>
            </w:r>
            <w:r>
              <w:rPr>
                <w:rFonts w:ascii="宋体" w:eastAsia="宋体" w:hAnsi="宋体" w:cs="宋体" w:hint="eastAsia"/>
                <w:sz w:val="24"/>
                <w:szCs w:val="24"/>
              </w:rPr>
              <w:t>现场检查并取得证书</w:t>
            </w:r>
            <w:r>
              <w:rPr>
                <w:rFonts w:ascii="宋体" w:eastAsia="宋体" w:hAnsi="宋体" w:cs="宋体"/>
                <w:sz w:val="24"/>
                <w:szCs w:val="24"/>
              </w:rPr>
              <w:t>。</w:t>
            </w:r>
            <w:r>
              <w:rPr>
                <w:rFonts w:ascii="宋体" w:eastAsia="宋体" w:hAnsi="宋体" w:cs="宋体" w:hint="eastAsia"/>
                <w:sz w:val="24"/>
                <w:szCs w:val="24"/>
              </w:rPr>
              <w:t>7</w:t>
            </w:r>
            <w:r>
              <w:rPr>
                <w:rFonts w:ascii="宋体" w:eastAsia="宋体" w:hAnsi="宋体" w:cs="宋体" w:hint="eastAsia"/>
                <w:sz w:val="24"/>
                <w:szCs w:val="24"/>
              </w:rPr>
              <w:t>月</w:t>
            </w:r>
            <w:r>
              <w:rPr>
                <w:rFonts w:ascii="宋体" w:eastAsia="宋体" w:hAnsi="宋体" w:cs="宋体"/>
                <w:sz w:val="24"/>
                <w:szCs w:val="24"/>
              </w:rPr>
              <w:t>，</w:t>
            </w:r>
            <w:r>
              <w:rPr>
                <w:rFonts w:ascii="宋体" w:eastAsia="宋体" w:hAnsi="宋体" w:cs="宋体" w:hint="eastAsia"/>
                <w:sz w:val="24"/>
                <w:szCs w:val="24"/>
              </w:rPr>
              <w:t>欧盟委员会</w:t>
            </w:r>
            <w:r>
              <w:rPr>
                <w:rFonts w:ascii="宋体" w:eastAsia="宋体" w:hAnsi="宋体" w:cs="宋体"/>
                <w:sz w:val="24"/>
                <w:szCs w:val="24"/>
              </w:rPr>
              <w:t>颁发了</w:t>
            </w:r>
            <w:r>
              <w:rPr>
                <w:rFonts w:ascii="宋体" w:eastAsia="宋体" w:hAnsi="宋体" w:cs="宋体" w:hint="eastAsia"/>
                <w:sz w:val="24"/>
                <w:szCs w:val="24"/>
              </w:rPr>
              <w:t>白蛋白紫杉醇上市批准，</w:t>
            </w:r>
            <w:r>
              <w:rPr>
                <w:rFonts w:ascii="宋体" w:eastAsia="宋体" w:hAnsi="宋体" w:cs="宋体"/>
                <w:sz w:val="24"/>
                <w:szCs w:val="24"/>
              </w:rPr>
              <w:t>一次性准入</w:t>
            </w:r>
            <w:r>
              <w:rPr>
                <w:rFonts w:ascii="宋体" w:eastAsia="宋体" w:hAnsi="宋体" w:cs="宋体" w:hint="eastAsia"/>
                <w:sz w:val="24"/>
                <w:szCs w:val="24"/>
              </w:rPr>
              <w:t>欧盟所有国家。</w:t>
            </w:r>
            <w:r>
              <w:rPr>
                <w:rFonts w:ascii="宋体" w:eastAsia="宋体" w:hAnsi="宋体" w:cs="宋体"/>
                <w:sz w:val="24"/>
                <w:szCs w:val="24"/>
              </w:rPr>
              <w:t>8</w:t>
            </w:r>
            <w:r>
              <w:rPr>
                <w:rFonts w:ascii="宋体" w:eastAsia="宋体" w:hAnsi="宋体" w:cs="宋体"/>
                <w:sz w:val="24"/>
                <w:szCs w:val="24"/>
              </w:rPr>
              <w:t>月，完成</w:t>
            </w:r>
            <w:r>
              <w:rPr>
                <w:rFonts w:ascii="宋体" w:eastAsia="宋体" w:hAnsi="宋体" w:cs="宋体" w:hint="eastAsia"/>
                <w:sz w:val="24"/>
                <w:szCs w:val="24"/>
              </w:rPr>
              <w:t>了白紫的</w:t>
            </w:r>
            <w:r>
              <w:rPr>
                <w:rFonts w:ascii="宋体" w:eastAsia="宋体" w:hAnsi="宋体" w:cs="宋体"/>
                <w:sz w:val="24"/>
                <w:szCs w:val="24"/>
              </w:rPr>
              <w:t>首</w:t>
            </w:r>
            <w:r>
              <w:rPr>
                <w:rFonts w:ascii="宋体" w:eastAsia="宋体" w:hAnsi="宋体" w:cs="宋体" w:hint="eastAsia"/>
                <w:sz w:val="24"/>
                <w:szCs w:val="24"/>
              </w:rPr>
              <w:t>批</w:t>
            </w:r>
            <w:r>
              <w:rPr>
                <w:rFonts w:ascii="宋体" w:eastAsia="宋体" w:hAnsi="宋体" w:cs="宋体"/>
                <w:sz w:val="24"/>
                <w:szCs w:val="24"/>
              </w:rPr>
              <w:t>发</w:t>
            </w:r>
            <w:r>
              <w:rPr>
                <w:rFonts w:ascii="宋体" w:eastAsia="宋体" w:hAnsi="宋体" w:cs="宋体" w:hint="eastAsia"/>
                <w:sz w:val="24"/>
                <w:szCs w:val="24"/>
              </w:rPr>
              <w:t>货，截至目前，已收到</w:t>
            </w:r>
            <w:r>
              <w:rPr>
                <w:rFonts w:ascii="宋体" w:eastAsia="宋体" w:hAnsi="宋体" w:cs="宋体" w:hint="eastAsia"/>
                <w:sz w:val="24"/>
                <w:szCs w:val="24"/>
              </w:rPr>
              <w:t>15</w:t>
            </w:r>
            <w:r>
              <w:rPr>
                <w:rFonts w:ascii="宋体" w:eastAsia="宋体" w:hAnsi="宋体" w:cs="宋体" w:hint="eastAsia"/>
                <w:sz w:val="24"/>
                <w:szCs w:val="24"/>
              </w:rPr>
              <w:t>个欧盟国家的订单。</w:t>
            </w:r>
          </w:p>
          <w:p w14:paraId="36C3C1A6"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欧洲药品管理局（</w:t>
            </w:r>
            <w:r>
              <w:rPr>
                <w:rFonts w:ascii="宋体" w:eastAsia="宋体" w:hAnsi="宋体" w:cs="宋体" w:hint="eastAsia"/>
                <w:sz w:val="24"/>
                <w:szCs w:val="24"/>
              </w:rPr>
              <w:t>EMA</w:t>
            </w:r>
            <w:r>
              <w:rPr>
                <w:rFonts w:ascii="宋体" w:eastAsia="宋体" w:hAnsi="宋体" w:cs="宋体" w:hint="eastAsia"/>
                <w:sz w:val="24"/>
                <w:szCs w:val="24"/>
              </w:rPr>
              <w:t>）官方去年及今年上半年发出了白紫在欧盟的缺货通知，公司将抓住欧盟白紫缺货的机会积极推进白紫在欧盟的销售，也将借助白蛋白紫杉醇欧盟上市的契机，加速推动在德国设立子公司，进一步深挖欧洲市场机遇，提升品牌知名度和市场份额。</w:t>
            </w:r>
          </w:p>
          <w:p w14:paraId="6BB9FD6A"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14:paraId="63D59126" w14:textId="77777777" w:rsidR="00C701AF" w:rsidRDefault="00A762A3">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三、上半年公司老产品海外收入增速非常稳健，</w:t>
            </w:r>
            <w:r>
              <w:rPr>
                <w:rFonts w:ascii="宋体" w:eastAsia="宋体" w:hAnsi="宋体" w:cs="宋体" w:hint="eastAsia"/>
                <w:b/>
                <w:bCs/>
                <w:sz w:val="24"/>
                <w:szCs w:val="24"/>
              </w:rPr>
              <w:t>33%</w:t>
            </w:r>
            <w:r>
              <w:rPr>
                <w:rFonts w:ascii="宋体" w:eastAsia="宋体" w:hAnsi="宋体" w:cs="宋体" w:hint="eastAsia"/>
                <w:b/>
                <w:bCs/>
                <w:sz w:val="24"/>
                <w:szCs w:val="24"/>
              </w:rPr>
              <w:t>的增长，如何看老产品像英夫利昔、白特喜今年或者未来在海外放量的预期？公司今年股权激励</w:t>
            </w:r>
            <w:r>
              <w:rPr>
                <w:rFonts w:ascii="宋体" w:eastAsia="宋体" w:hAnsi="宋体" w:cs="宋体" w:hint="eastAsia"/>
                <w:b/>
                <w:bCs/>
                <w:sz w:val="24"/>
                <w:szCs w:val="24"/>
              </w:rPr>
              <w:t>50%</w:t>
            </w:r>
            <w:r>
              <w:rPr>
                <w:rFonts w:ascii="宋体" w:eastAsia="宋体" w:hAnsi="宋体" w:cs="宋体" w:hint="eastAsia"/>
                <w:b/>
                <w:bCs/>
                <w:sz w:val="24"/>
                <w:szCs w:val="24"/>
              </w:rPr>
              <w:t>到</w:t>
            </w:r>
            <w:r>
              <w:rPr>
                <w:rFonts w:ascii="宋体" w:eastAsia="宋体" w:hAnsi="宋体" w:cs="宋体" w:hint="eastAsia"/>
                <w:b/>
                <w:bCs/>
                <w:sz w:val="24"/>
                <w:szCs w:val="24"/>
              </w:rPr>
              <w:t>100%</w:t>
            </w:r>
            <w:r>
              <w:rPr>
                <w:rFonts w:ascii="宋体" w:eastAsia="宋体" w:hAnsi="宋体" w:cs="宋体" w:hint="eastAsia"/>
                <w:b/>
                <w:bCs/>
                <w:sz w:val="24"/>
                <w:szCs w:val="24"/>
              </w:rPr>
              <w:t>的增速，内部是否有拆分老产品、新产品海外今年各自的放量预期？</w:t>
            </w:r>
          </w:p>
          <w:p w14:paraId="69BA9734" w14:textId="4283A61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答：公司产品依普定和人粒细胞刺激因子出口顺利，上半年同比增长</w:t>
            </w:r>
            <w:r>
              <w:rPr>
                <w:rFonts w:ascii="宋体" w:eastAsia="宋体" w:hAnsi="宋体" w:cs="宋体" w:hint="eastAsia"/>
                <w:sz w:val="24"/>
                <w:szCs w:val="24"/>
              </w:rPr>
              <w:t>3</w:t>
            </w:r>
            <w:r w:rsidR="007F4C86">
              <w:rPr>
                <w:rFonts w:ascii="宋体" w:eastAsia="宋体" w:hAnsi="宋体" w:cs="宋体"/>
                <w:sz w:val="24"/>
                <w:szCs w:val="24"/>
              </w:rPr>
              <w:t>2.97</w:t>
            </w:r>
            <w:r>
              <w:rPr>
                <w:rFonts w:ascii="宋体" w:eastAsia="宋体" w:hAnsi="宋体" w:cs="宋体" w:hint="eastAsia"/>
                <w:sz w:val="24"/>
                <w:szCs w:val="24"/>
              </w:rPr>
              <w:t>%</w:t>
            </w:r>
            <w:r>
              <w:rPr>
                <w:rFonts w:ascii="宋体" w:eastAsia="宋体" w:hAnsi="宋体" w:cs="宋体" w:hint="eastAsia"/>
                <w:sz w:val="24"/>
                <w:szCs w:val="24"/>
              </w:rPr>
              <w:t>。依普定和人粒细胞刺激因子作为成熟的出口品种，出口保持稳步的增长，主要得益于南美、东南亚等核心市场的增长。</w:t>
            </w:r>
          </w:p>
          <w:p w14:paraId="03002BC5"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新兴市场国家人口基数大，有着庞大的医疗需求和未满足的临床需求，人均</w:t>
            </w:r>
            <w:r>
              <w:rPr>
                <w:rFonts w:ascii="宋体" w:eastAsia="宋体" w:hAnsi="宋体" w:cs="宋体" w:hint="eastAsia"/>
                <w:sz w:val="24"/>
                <w:szCs w:val="24"/>
              </w:rPr>
              <w:t>GDP</w:t>
            </w:r>
            <w:r>
              <w:rPr>
                <w:rFonts w:ascii="宋体" w:eastAsia="宋体" w:hAnsi="宋体" w:cs="宋体" w:hint="eastAsia"/>
                <w:sz w:val="24"/>
                <w:szCs w:val="24"/>
              </w:rPr>
              <w:t>持续增长，根据</w:t>
            </w:r>
            <w:r>
              <w:rPr>
                <w:rFonts w:ascii="宋体" w:eastAsia="宋体" w:hAnsi="宋体" w:cs="宋体" w:hint="eastAsia"/>
                <w:sz w:val="24"/>
                <w:szCs w:val="24"/>
              </w:rPr>
              <w:t>IQVIA</w:t>
            </w:r>
            <w:r>
              <w:rPr>
                <w:rFonts w:ascii="宋体" w:eastAsia="宋体" w:hAnsi="宋体" w:cs="宋体" w:hint="eastAsia"/>
                <w:sz w:val="24"/>
                <w:szCs w:val="24"/>
              </w:rPr>
              <w:t>数据预计</w:t>
            </w:r>
            <w:r>
              <w:rPr>
                <w:rFonts w:ascii="宋体" w:eastAsia="宋体" w:hAnsi="宋体" w:cs="宋体" w:hint="eastAsia"/>
                <w:sz w:val="24"/>
                <w:szCs w:val="24"/>
              </w:rPr>
              <w:t>2022-2026</w:t>
            </w:r>
            <w:r>
              <w:rPr>
                <w:rFonts w:ascii="宋体" w:eastAsia="宋体" w:hAnsi="宋体" w:cs="宋体" w:hint="eastAsia"/>
                <w:sz w:val="24"/>
                <w:szCs w:val="24"/>
              </w:rPr>
              <w:t>年新兴市场国家的医药支出平均增速为</w:t>
            </w:r>
            <w:r>
              <w:rPr>
                <w:rFonts w:ascii="宋体" w:eastAsia="宋体" w:hAnsi="宋体" w:cs="宋体" w:hint="eastAsia"/>
                <w:sz w:val="24"/>
                <w:szCs w:val="24"/>
              </w:rPr>
              <w:t>5%-8%</w:t>
            </w:r>
            <w:r>
              <w:rPr>
                <w:rFonts w:ascii="宋体" w:eastAsia="宋体" w:hAnsi="宋体" w:cs="宋体" w:hint="eastAsia"/>
                <w:sz w:val="24"/>
                <w:szCs w:val="24"/>
              </w:rPr>
              <w:t>，增速高于发达国家。针对公司原有出口产品依普定和人粒细胞刺激因子，在新兴国家还有较大市场深挖机会，公司将充分挖掘新兴市场透析、肿瘤升白市场潜力。</w:t>
            </w:r>
          </w:p>
          <w:p w14:paraId="1B78923E"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公司引入的</w:t>
            </w:r>
            <w:r>
              <w:rPr>
                <w:rFonts w:ascii="宋体" w:eastAsia="宋体" w:hAnsi="宋体" w:cs="宋体" w:hint="eastAsia"/>
                <w:sz w:val="24"/>
                <w:szCs w:val="24"/>
              </w:rPr>
              <w:t>13</w:t>
            </w:r>
            <w:r>
              <w:rPr>
                <w:rFonts w:ascii="宋体" w:eastAsia="宋体" w:hAnsi="宋体" w:cs="宋体" w:hint="eastAsia"/>
                <w:sz w:val="24"/>
                <w:szCs w:val="24"/>
              </w:rPr>
              <w:t>款产品，是</w:t>
            </w:r>
            <w:r>
              <w:rPr>
                <w:rFonts w:ascii="宋体" w:eastAsia="宋体" w:hAnsi="宋体" w:cs="宋体" w:hint="eastAsia"/>
                <w:sz w:val="24"/>
                <w:szCs w:val="24"/>
              </w:rPr>
              <w:t>公司近几年海外销售的主要增长点，公司正积极推进引进产品在发达市场及新兴市场共</w:t>
            </w:r>
            <w:r>
              <w:rPr>
                <w:rFonts w:ascii="宋体" w:eastAsia="宋体" w:hAnsi="宋体" w:cs="宋体" w:hint="eastAsia"/>
                <w:sz w:val="24"/>
                <w:szCs w:val="24"/>
              </w:rPr>
              <w:t>40</w:t>
            </w:r>
            <w:r>
              <w:rPr>
                <w:rFonts w:ascii="宋体" w:eastAsia="宋体" w:hAnsi="宋体" w:cs="宋体" w:hint="eastAsia"/>
                <w:sz w:val="24"/>
                <w:szCs w:val="24"/>
              </w:rPr>
              <w:t>余个国家</w:t>
            </w:r>
            <w:r>
              <w:rPr>
                <w:rFonts w:ascii="宋体" w:eastAsia="宋体" w:hAnsi="宋体" w:cs="宋体" w:hint="eastAsia"/>
                <w:sz w:val="24"/>
                <w:szCs w:val="24"/>
              </w:rPr>
              <w:t>110</w:t>
            </w:r>
            <w:r>
              <w:rPr>
                <w:rFonts w:ascii="宋体" w:eastAsia="宋体" w:hAnsi="宋体" w:cs="宋体" w:hint="eastAsia"/>
                <w:sz w:val="24"/>
                <w:szCs w:val="24"/>
              </w:rPr>
              <w:t>多项注册进程。今年</w:t>
            </w:r>
            <w:r>
              <w:rPr>
                <w:rFonts w:ascii="宋体" w:eastAsia="宋体" w:hAnsi="宋体" w:cs="宋体" w:hint="eastAsia"/>
                <w:sz w:val="24"/>
                <w:szCs w:val="24"/>
              </w:rPr>
              <w:t>Q3</w:t>
            </w:r>
            <w:r>
              <w:rPr>
                <w:rFonts w:ascii="宋体" w:eastAsia="宋体" w:hAnsi="宋体" w:cs="宋体" w:hint="eastAsia"/>
                <w:sz w:val="24"/>
                <w:szCs w:val="24"/>
              </w:rPr>
              <w:t>及</w:t>
            </w:r>
            <w:r>
              <w:rPr>
                <w:rFonts w:ascii="宋体" w:eastAsia="宋体" w:hAnsi="宋体" w:cs="宋体" w:hint="eastAsia"/>
                <w:sz w:val="24"/>
                <w:szCs w:val="24"/>
              </w:rPr>
              <w:t>Q4</w:t>
            </w:r>
            <w:r>
              <w:rPr>
                <w:rFonts w:ascii="宋体" w:eastAsia="宋体" w:hAnsi="宋体" w:cs="宋体" w:hint="eastAsia"/>
                <w:sz w:val="24"/>
                <w:szCs w:val="24"/>
              </w:rPr>
              <w:t>，贝伐珠单抗、英夫利西单抗、阿达木单抗及利拉鲁肽将开展巴西、菲律宾、哥伦比亚等国的</w:t>
            </w:r>
            <w:r>
              <w:rPr>
                <w:rFonts w:ascii="宋体" w:eastAsia="宋体" w:hAnsi="宋体" w:cs="宋体" w:hint="eastAsia"/>
                <w:sz w:val="24"/>
                <w:szCs w:val="24"/>
              </w:rPr>
              <w:t>GMP</w:t>
            </w:r>
            <w:r>
              <w:rPr>
                <w:rFonts w:ascii="宋体" w:eastAsia="宋体" w:hAnsi="宋体" w:cs="宋体" w:hint="eastAsia"/>
                <w:sz w:val="24"/>
                <w:szCs w:val="24"/>
              </w:rPr>
              <w:t>验厂，随着产品</w:t>
            </w:r>
            <w:r>
              <w:rPr>
                <w:rFonts w:ascii="宋体" w:eastAsia="宋体" w:hAnsi="宋体" w:cs="宋体" w:hint="eastAsia"/>
                <w:sz w:val="24"/>
                <w:szCs w:val="24"/>
              </w:rPr>
              <w:t>GMP</w:t>
            </w:r>
            <w:r>
              <w:rPr>
                <w:rFonts w:ascii="宋体" w:eastAsia="宋体" w:hAnsi="宋体" w:cs="宋体" w:hint="eastAsia"/>
                <w:sz w:val="24"/>
                <w:szCs w:val="24"/>
              </w:rPr>
              <w:t>通过，白蛋白紫杉醇、英夫利西单抗、贝伐珠单抗等将陆续迎来收获期。</w:t>
            </w:r>
          </w:p>
          <w:p w14:paraId="024E31F8" w14:textId="77777777" w:rsidR="00C701AF" w:rsidRDefault="00C701AF">
            <w:pPr>
              <w:ind w:left="525"/>
              <w:rPr>
                <w:szCs w:val="21"/>
              </w:rPr>
            </w:pPr>
          </w:p>
          <w:p w14:paraId="576AC64B"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四</w:t>
            </w:r>
            <w:r>
              <w:rPr>
                <w:rFonts w:ascii="宋体" w:eastAsia="宋体" w:hAnsi="宋体" w:cs="宋体" w:hint="eastAsia"/>
                <w:b/>
                <w:bCs/>
                <w:sz w:val="24"/>
                <w:szCs w:val="24"/>
              </w:rPr>
              <w:t>、</w:t>
            </w:r>
            <w:r>
              <w:rPr>
                <w:rFonts w:ascii="宋体" w:eastAsia="宋体" w:hAnsi="宋体" w:cs="宋体"/>
                <w:b/>
                <w:bCs/>
                <w:sz w:val="24"/>
                <w:szCs w:val="24"/>
              </w:rPr>
              <w:t>近期较新的以及下半年</w:t>
            </w:r>
            <w:r>
              <w:rPr>
                <w:rFonts w:ascii="宋体" w:eastAsia="宋体" w:hAnsi="宋体" w:cs="宋体" w:hint="eastAsia"/>
                <w:b/>
                <w:bCs/>
                <w:sz w:val="24"/>
                <w:szCs w:val="24"/>
              </w:rPr>
              <w:t>海外商业化产品引进</w:t>
            </w:r>
            <w:r>
              <w:rPr>
                <w:rFonts w:ascii="宋体" w:eastAsia="宋体" w:hAnsi="宋体" w:cs="宋体"/>
                <w:b/>
                <w:bCs/>
                <w:sz w:val="24"/>
                <w:szCs w:val="24"/>
              </w:rPr>
              <w:t>计划？未来</w:t>
            </w:r>
            <w:r>
              <w:rPr>
                <w:rFonts w:ascii="宋体" w:eastAsia="宋体" w:hAnsi="宋体" w:cs="宋体" w:hint="eastAsia"/>
                <w:b/>
                <w:bCs/>
                <w:sz w:val="24"/>
                <w:szCs w:val="24"/>
              </w:rPr>
              <w:t>引进</w:t>
            </w:r>
            <w:r>
              <w:rPr>
                <w:rFonts w:ascii="宋体" w:eastAsia="宋体" w:hAnsi="宋体" w:cs="宋体"/>
                <w:b/>
                <w:bCs/>
                <w:sz w:val="24"/>
                <w:szCs w:val="24"/>
              </w:rPr>
              <w:t>产品方向</w:t>
            </w:r>
            <w:r>
              <w:rPr>
                <w:rFonts w:ascii="宋体" w:eastAsia="宋体" w:hAnsi="宋体" w:cs="宋体" w:hint="eastAsia"/>
                <w:b/>
                <w:bCs/>
                <w:sz w:val="24"/>
                <w:szCs w:val="24"/>
              </w:rPr>
              <w:t>？</w:t>
            </w:r>
          </w:p>
          <w:p w14:paraId="49159DBB"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w:t>
            </w:r>
            <w:r>
              <w:rPr>
                <w:rFonts w:ascii="宋体" w:eastAsia="宋体" w:hAnsi="宋体" w:cs="宋体" w:hint="eastAsia"/>
                <w:sz w:val="24"/>
                <w:szCs w:val="24"/>
              </w:rPr>
              <w:t>公司海外战略目标是成为中国高品质药物最具价值的出海平台，平台的核心两方面，全球选品</w:t>
            </w:r>
            <w:r>
              <w:rPr>
                <w:rFonts w:ascii="宋体" w:eastAsia="宋体" w:hAnsi="宋体" w:cs="宋体" w:hint="eastAsia"/>
                <w:sz w:val="24"/>
                <w:szCs w:val="24"/>
              </w:rPr>
              <w:t>+</w:t>
            </w:r>
            <w:r>
              <w:rPr>
                <w:rFonts w:ascii="宋体" w:eastAsia="宋体" w:hAnsi="宋体" w:cs="宋体" w:hint="eastAsia"/>
                <w:sz w:val="24"/>
                <w:szCs w:val="24"/>
              </w:rPr>
              <w:t>全球覆盖。</w:t>
            </w:r>
            <w:r>
              <w:rPr>
                <w:rFonts w:ascii="宋体" w:eastAsia="宋体" w:hAnsi="宋体" w:cs="宋体" w:hint="eastAsia"/>
                <w:sz w:val="24"/>
                <w:szCs w:val="24"/>
              </w:rPr>
              <w:t>经过</w:t>
            </w:r>
            <w:r>
              <w:rPr>
                <w:rFonts w:ascii="宋体" w:eastAsia="宋体" w:hAnsi="宋体" w:cs="宋体" w:hint="eastAsia"/>
                <w:sz w:val="24"/>
                <w:szCs w:val="24"/>
              </w:rPr>
              <w:t>近</w:t>
            </w:r>
            <w:r>
              <w:rPr>
                <w:rFonts w:ascii="宋体" w:eastAsia="宋体" w:hAnsi="宋体" w:cs="宋体" w:hint="eastAsia"/>
                <w:sz w:val="24"/>
                <w:szCs w:val="24"/>
              </w:rPr>
              <w:t>3</w:t>
            </w:r>
            <w:r>
              <w:rPr>
                <w:rFonts w:ascii="宋体" w:eastAsia="宋体" w:hAnsi="宋体" w:cs="宋体" w:hint="eastAsia"/>
                <w:sz w:val="24"/>
                <w:szCs w:val="24"/>
              </w:rPr>
              <w:t>年</w:t>
            </w:r>
            <w:r>
              <w:rPr>
                <w:rFonts w:ascii="宋体" w:eastAsia="宋体" w:hAnsi="宋体" w:cs="宋体" w:hint="eastAsia"/>
                <w:sz w:val="24"/>
                <w:szCs w:val="24"/>
              </w:rPr>
              <w:t>海外商业化战略的持续深耕</w:t>
            </w:r>
            <w:r>
              <w:rPr>
                <w:rFonts w:ascii="宋体" w:eastAsia="宋体" w:hAnsi="宋体" w:cs="宋体" w:hint="eastAsia"/>
                <w:sz w:val="24"/>
                <w:szCs w:val="24"/>
              </w:rPr>
              <w:t>，</w:t>
            </w:r>
            <w:r>
              <w:rPr>
                <w:rFonts w:ascii="宋体" w:eastAsia="宋体" w:hAnsi="宋体" w:cs="宋体" w:hint="eastAsia"/>
                <w:sz w:val="24"/>
                <w:szCs w:val="24"/>
              </w:rPr>
              <w:t>公司</w:t>
            </w:r>
            <w:r>
              <w:rPr>
                <w:rFonts w:ascii="宋体" w:eastAsia="宋体" w:hAnsi="宋体" w:cs="宋体" w:hint="eastAsia"/>
                <w:sz w:val="24"/>
                <w:szCs w:val="24"/>
              </w:rPr>
              <w:t>聚焦高附</w:t>
            </w:r>
            <w:r>
              <w:rPr>
                <w:rFonts w:ascii="宋体" w:eastAsia="宋体" w:hAnsi="宋体" w:cs="宋体" w:hint="eastAsia"/>
                <w:sz w:val="24"/>
                <w:szCs w:val="24"/>
              </w:rPr>
              <w:t>加值生物药</w:t>
            </w:r>
            <w:r>
              <w:rPr>
                <w:rFonts w:ascii="宋体" w:eastAsia="宋体" w:hAnsi="宋体" w:cs="宋体" w:hint="eastAsia"/>
                <w:sz w:val="24"/>
                <w:szCs w:val="24"/>
              </w:rPr>
              <w:t>，</w:t>
            </w:r>
            <w:r>
              <w:rPr>
                <w:rFonts w:ascii="宋体" w:eastAsia="宋体" w:hAnsi="宋体" w:cs="宋体" w:hint="eastAsia"/>
                <w:sz w:val="24"/>
                <w:szCs w:val="24"/>
              </w:rPr>
              <w:t>按照</w:t>
            </w:r>
            <w:r>
              <w:rPr>
                <w:rFonts w:ascii="宋体" w:eastAsia="宋体" w:hAnsi="宋体" w:cs="宋体" w:hint="eastAsia"/>
                <w:sz w:val="24"/>
                <w:szCs w:val="24"/>
              </w:rPr>
              <w:t>每年</w:t>
            </w:r>
            <w:r>
              <w:rPr>
                <w:rFonts w:ascii="宋体" w:eastAsia="宋体" w:hAnsi="宋体" w:cs="宋体" w:hint="eastAsia"/>
                <w:sz w:val="24"/>
                <w:szCs w:val="24"/>
              </w:rPr>
              <w:t>引进</w:t>
            </w:r>
            <w:r>
              <w:rPr>
                <w:rFonts w:ascii="宋体" w:eastAsia="宋体" w:hAnsi="宋体" w:cs="宋体" w:hint="eastAsia"/>
                <w:sz w:val="24"/>
                <w:szCs w:val="24"/>
              </w:rPr>
              <w:t>5</w:t>
            </w:r>
            <w:r>
              <w:rPr>
                <w:rFonts w:ascii="宋体" w:eastAsia="宋体" w:hAnsi="宋体" w:cs="宋体" w:hint="eastAsia"/>
                <w:sz w:val="24"/>
                <w:szCs w:val="24"/>
              </w:rPr>
              <w:t>个</w:t>
            </w:r>
            <w:r>
              <w:rPr>
                <w:rFonts w:ascii="宋体" w:eastAsia="宋体" w:hAnsi="宋体" w:cs="宋体" w:hint="eastAsia"/>
                <w:sz w:val="24"/>
                <w:szCs w:val="24"/>
              </w:rPr>
              <w:t>产品的计划</w:t>
            </w:r>
            <w:r>
              <w:rPr>
                <w:rFonts w:ascii="宋体" w:eastAsia="宋体" w:hAnsi="宋体" w:cs="宋体" w:hint="eastAsia"/>
                <w:sz w:val="24"/>
                <w:szCs w:val="24"/>
              </w:rPr>
              <w:t>，</w:t>
            </w:r>
            <w:r>
              <w:rPr>
                <w:rFonts w:ascii="宋体" w:eastAsia="宋体" w:hAnsi="宋体" w:cs="宋体" w:hint="eastAsia"/>
                <w:sz w:val="24"/>
                <w:szCs w:val="24"/>
              </w:rPr>
              <w:t>累计已完成</w:t>
            </w:r>
            <w:r>
              <w:rPr>
                <w:rFonts w:ascii="宋体" w:eastAsia="宋体" w:hAnsi="宋体" w:cs="宋体" w:hint="eastAsia"/>
                <w:sz w:val="24"/>
                <w:szCs w:val="24"/>
              </w:rPr>
              <w:t>13</w:t>
            </w:r>
            <w:r>
              <w:rPr>
                <w:rFonts w:ascii="宋体" w:eastAsia="宋体" w:hAnsi="宋体" w:cs="宋体" w:hint="eastAsia"/>
                <w:sz w:val="24"/>
                <w:szCs w:val="24"/>
              </w:rPr>
              <w:t>款产品的引进</w:t>
            </w:r>
            <w:r>
              <w:rPr>
                <w:rFonts w:ascii="宋体" w:eastAsia="宋体" w:hAnsi="宋体" w:cs="宋体" w:hint="eastAsia"/>
                <w:sz w:val="24"/>
                <w:szCs w:val="24"/>
              </w:rPr>
              <w:t>。在乳腺癌治疗领域，有白蛋白紫杉醇、曲妥珠单抗、贝伐珠单抗、奈拉替尼、艾立布林、哌柏西利、奥拉帕利片等涵盖一线到后线、靶向</w:t>
            </w:r>
            <w:r>
              <w:rPr>
                <w:rFonts w:ascii="宋体" w:eastAsia="宋体" w:hAnsi="宋体" w:cs="宋体" w:hint="eastAsia"/>
                <w:sz w:val="24"/>
                <w:szCs w:val="24"/>
              </w:rPr>
              <w:t>+</w:t>
            </w:r>
            <w:r>
              <w:rPr>
                <w:rFonts w:ascii="宋体" w:eastAsia="宋体" w:hAnsi="宋体" w:cs="宋体" w:hint="eastAsia"/>
                <w:sz w:val="24"/>
                <w:szCs w:val="24"/>
              </w:rPr>
              <w:t>化疗及围手术期辅助治疗等不同分型、不同阶段的</w:t>
            </w:r>
            <w:r>
              <w:rPr>
                <w:rFonts w:ascii="宋体" w:eastAsia="宋体" w:hAnsi="宋体" w:cs="宋体" w:hint="eastAsia"/>
                <w:sz w:val="24"/>
                <w:szCs w:val="24"/>
              </w:rPr>
              <w:t>7</w:t>
            </w:r>
            <w:r>
              <w:rPr>
                <w:rFonts w:ascii="宋体" w:eastAsia="宋体" w:hAnsi="宋体" w:cs="宋体" w:hint="eastAsia"/>
                <w:sz w:val="24"/>
                <w:szCs w:val="24"/>
              </w:rPr>
              <w:t>款重磅产品，形成了在重点肿瘤领域的产品矩阵，</w:t>
            </w:r>
            <w:r>
              <w:rPr>
                <w:rFonts w:ascii="宋体" w:eastAsia="宋体" w:hAnsi="宋体" w:cs="宋体" w:hint="eastAsia"/>
                <w:sz w:val="24"/>
                <w:szCs w:val="24"/>
              </w:rPr>
              <w:t>在降糖领域引进了利拉鲁肽，在自身免疫领域引进了英夫利西单抗和阿达木单抗，</w:t>
            </w:r>
            <w:r>
              <w:rPr>
                <w:rFonts w:ascii="宋体" w:eastAsia="宋体" w:hAnsi="宋体" w:cs="宋体" w:hint="eastAsia"/>
                <w:sz w:val="24"/>
                <w:szCs w:val="24"/>
              </w:rPr>
              <w:t>全方位满足医患的用药需求。</w:t>
            </w:r>
          </w:p>
          <w:p w14:paraId="1B2AC7B9"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在产品引进方向上，公司将围绕</w:t>
            </w:r>
            <w:r>
              <w:rPr>
                <w:rFonts w:ascii="宋体" w:eastAsia="宋体" w:hAnsi="宋体" w:cs="宋体" w:hint="eastAsia"/>
                <w:sz w:val="24"/>
                <w:szCs w:val="24"/>
              </w:rPr>
              <w:t>降糖</w:t>
            </w:r>
            <w:r>
              <w:rPr>
                <w:rFonts w:ascii="宋体" w:eastAsia="宋体" w:hAnsi="宋体" w:cs="宋体" w:hint="eastAsia"/>
                <w:sz w:val="24"/>
                <w:szCs w:val="24"/>
              </w:rPr>
              <w:t>、</w:t>
            </w:r>
            <w:r>
              <w:rPr>
                <w:rFonts w:ascii="宋体" w:eastAsia="宋体" w:hAnsi="宋体" w:cs="宋体" w:hint="eastAsia"/>
                <w:sz w:val="24"/>
                <w:szCs w:val="24"/>
              </w:rPr>
              <w:t>减肥、</w:t>
            </w:r>
            <w:r>
              <w:rPr>
                <w:rFonts w:ascii="宋体" w:eastAsia="宋体" w:hAnsi="宋体" w:cs="宋体" w:hint="eastAsia"/>
                <w:sz w:val="24"/>
                <w:szCs w:val="24"/>
              </w:rPr>
              <w:t>代谢</w:t>
            </w:r>
            <w:r>
              <w:rPr>
                <w:rFonts w:ascii="宋体" w:eastAsia="宋体" w:hAnsi="宋体" w:cs="宋体" w:hint="eastAsia"/>
                <w:sz w:val="24"/>
                <w:szCs w:val="24"/>
              </w:rPr>
              <w:t>、</w:t>
            </w:r>
            <w:r>
              <w:rPr>
                <w:rFonts w:ascii="宋体" w:eastAsia="宋体" w:hAnsi="宋体" w:cs="宋体" w:hint="eastAsia"/>
                <w:sz w:val="24"/>
                <w:szCs w:val="24"/>
              </w:rPr>
              <w:t>肿瘤自免领域做系统布局</w:t>
            </w:r>
            <w:r>
              <w:rPr>
                <w:rFonts w:ascii="宋体" w:eastAsia="宋体" w:hAnsi="宋体" w:cs="宋体" w:hint="eastAsia"/>
                <w:sz w:val="24"/>
                <w:szCs w:val="24"/>
              </w:rPr>
              <w:t>，</w:t>
            </w:r>
            <w:r>
              <w:rPr>
                <w:rFonts w:ascii="宋体" w:eastAsia="宋体" w:hAnsi="宋体" w:cs="宋体" w:hint="eastAsia"/>
                <w:sz w:val="24"/>
                <w:szCs w:val="24"/>
              </w:rPr>
              <w:t>形成全生命周期治疗方案，为海外客户提供</w:t>
            </w:r>
            <w:r>
              <w:rPr>
                <w:rFonts w:ascii="宋体" w:eastAsia="宋体" w:hAnsi="宋体" w:cs="宋体" w:hint="eastAsia"/>
                <w:sz w:val="24"/>
                <w:szCs w:val="24"/>
              </w:rPr>
              <w:t>专业赋能，</w:t>
            </w:r>
            <w:r>
              <w:rPr>
                <w:rFonts w:ascii="宋体" w:eastAsia="宋体" w:hAnsi="宋体" w:cs="宋体" w:hint="eastAsia"/>
                <w:sz w:val="24"/>
                <w:szCs w:val="24"/>
              </w:rPr>
              <w:t>打造高品质生物药出海最佳的商业化平台</w:t>
            </w:r>
            <w:r>
              <w:rPr>
                <w:rFonts w:ascii="宋体" w:eastAsia="宋体" w:hAnsi="宋体" w:cs="宋体" w:hint="eastAsia"/>
                <w:sz w:val="24"/>
                <w:szCs w:val="24"/>
              </w:rPr>
              <w:t>。</w:t>
            </w:r>
          </w:p>
          <w:p w14:paraId="2EA42F82" w14:textId="77777777" w:rsidR="00C701AF" w:rsidRDefault="00C701AF">
            <w:pPr>
              <w:widowControl/>
              <w:spacing w:line="360" w:lineRule="auto"/>
              <w:ind w:firstLineChars="200" w:firstLine="480"/>
              <w:rPr>
                <w:rFonts w:ascii="宋体" w:eastAsia="宋体" w:hAnsi="宋体" w:cs="宋体"/>
                <w:sz w:val="24"/>
                <w:szCs w:val="24"/>
              </w:rPr>
            </w:pPr>
          </w:p>
          <w:p w14:paraId="37095588"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五</w:t>
            </w:r>
            <w:r>
              <w:rPr>
                <w:rFonts w:ascii="宋体" w:eastAsia="宋体" w:hAnsi="宋体" w:cs="宋体" w:hint="eastAsia"/>
                <w:b/>
                <w:bCs/>
                <w:sz w:val="24"/>
                <w:szCs w:val="24"/>
              </w:rPr>
              <w:t>、</w:t>
            </w:r>
            <w:r>
              <w:rPr>
                <w:rFonts w:ascii="宋体" w:eastAsia="宋体" w:hAnsi="宋体" w:cs="宋体" w:hint="eastAsia"/>
                <w:b/>
                <w:bCs/>
                <w:sz w:val="24"/>
                <w:szCs w:val="24"/>
              </w:rPr>
              <w:t>请介绍</w:t>
            </w:r>
            <w:r>
              <w:rPr>
                <w:rFonts w:ascii="宋体" w:eastAsia="宋体" w:hAnsi="宋体" w:cs="宋体" w:hint="eastAsia"/>
                <w:b/>
                <w:bCs/>
                <w:sz w:val="24"/>
                <w:szCs w:val="24"/>
              </w:rPr>
              <w:t>公司在海外的销售团队和销售体系</w:t>
            </w:r>
            <w:r>
              <w:rPr>
                <w:rFonts w:ascii="宋体" w:eastAsia="宋体" w:hAnsi="宋体" w:cs="宋体" w:hint="eastAsia"/>
                <w:b/>
                <w:bCs/>
                <w:sz w:val="24"/>
                <w:szCs w:val="24"/>
              </w:rPr>
              <w:t>。</w:t>
            </w:r>
          </w:p>
          <w:p w14:paraId="1327F794" w14:textId="77777777" w:rsidR="00C701AF" w:rsidRDefault="00A762A3">
            <w:pPr>
              <w:widowControl/>
              <w:spacing w:line="360" w:lineRule="auto"/>
              <w:ind w:firstLine="481"/>
              <w:rPr>
                <w:rFonts w:ascii="宋体" w:eastAsia="宋体" w:hAnsi="宋体" w:cs="宋体"/>
                <w:sz w:val="24"/>
                <w:szCs w:val="24"/>
              </w:rPr>
            </w:pPr>
            <w:r>
              <w:rPr>
                <w:rFonts w:ascii="宋体" w:eastAsia="宋体" w:hAnsi="宋体" w:cs="宋体" w:hint="eastAsia"/>
                <w:sz w:val="24"/>
                <w:szCs w:val="24"/>
              </w:rPr>
              <w:t>答：公司</w:t>
            </w:r>
            <w:r>
              <w:rPr>
                <w:rFonts w:ascii="宋体" w:eastAsia="宋体" w:hAnsi="宋体" w:cs="宋体"/>
                <w:sz w:val="24"/>
                <w:szCs w:val="24"/>
              </w:rPr>
              <w:t>海外营销事业部</w:t>
            </w:r>
            <w:r>
              <w:rPr>
                <w:rFonts w:ascii="宋体" w:eastAsia="宋体" w:hAnsi="宋体" w:cs="宋体" w:hint="eastAsia"/>
                <w:sz w:val="24"/>
                <w:szCs w:val="24"/>
              </w:rPr>
              <w:t>设立专门的</w:t>
            </w:r>
            <w:r>
              <w:rPr>
                <w:rFonts w:ascii="宋体" w:eastAsia="宋体" w:hAnsi="宋体" w:cs="宋体"/>
                <w:sz w:val="24"/>
                <w:szCs w:val="24"/>
              </w:rPr>
              <w:t>注册</w:t>
            </w:r>
            <w:r>
              <w:rPr>
                <w:rFonts w:ascii="宋体" w:eastAsia="宋体" w:hAnsi="宋体" w:cs="宋体"/>
                <w:sz w:val="24"/>
                <w:szCs w:val="24"/>
              </w:rPr>
              <w:t>中心、市场中心、医学中心、商务中心、销售管理中心等中后台服务部门，设立五大销售中心分别管理</w:t>
            </w:r>
            <w:r>
              <w:rPr>
                <w:rFonts w:ascii="宋体" w:eastAsia="宋体" w:hAnsi="宋体" w:cs="宋体" w:hint="eastAsia"/>
                <w:sz w:val="24"/>
                <w:szCs w:val="24"/>
              </w:rPr>
              <w:t>南美、东南亚、中东北非、欧洲</w:t>
            </w:r>
            <w:r>
              <w:rPr>
                <w:rFonts w:ascii="宋体" w:eastAsia="宋体" w:hAnsi="宋体" w:cs="宋体"/>
                <w:sz w:val="24"/>
                <w:szCs w:val="24"/>
              </w:rPr>
              <w:t>、中南美洲</w:t>
            </w:r>
            <w:r>
              <w:rPr>
                <w:rFonts w:ascii="宋体" w:eastAsia="宋体" w:hAnsi="宋体" w:cs="宋体" w:hint="eastAsia"/>
                <w:sz w:val="24"/>
                <w:szCs w:val="24"/>
              </w:rPr>
              <w:t>等</w:t>
            </w:r>
            <w:r>
              <w:rPr>
                <w:rFonts w:ascii="宋体" w:eastAsia="宋体" w:hAnsi="宋体" w:cs="宋体"/>
                <w:sz w:val="24"/>
                <w:szCs w:val="24"/>
              </w:rPr>
              <w:t>市场销售</w:t>
            </w:r>
            <w:r>
              <w:rPr>
                <w:rFonts w:ascii="宋体" w:eastAsia="宋体" w:hAnsi="宋体" w:cs="宋体" w:hint="eastAsia"/>
                <w:sz w:val="24"/>
                <w:szCs w:val="24"/>
              </w:rPr>
              <w:t>，</w:t>
            </w:r>
            <w:r>
              <w:rPr>
                <w:rFonts w:ascii="宋体" w:eastAsia="宋体" w:hAnsi="宋体" w:cs="宋体"/>
                <w:sz w:val="24"/>
                <w:szCs w:val="24"/>
              </w:rPr>
              <w:t>同时在上述五大区域的重点市场分别筹建或设立巴西、</w:t>
            </w:r>
            <w:r>
              <w:rPr>
                <w:rFonts w:ascii="宋体" w:eastAsia="宋体" w:hAnsi="宋体" w:cs="宋体"/>
                <w:sz w:val="24"/>
                <w:szCs w:val="24"/>
              </w:rPr>
              <w:t>新加坡、埃及、德国、墨西哥等子公司。</w:t>
            </w:r>
            <w:r>
              <w:rPr>
                <w:rFonts w:ascii="宋体" w:eastAsia="宋体" w:hAnsi="宋体" w:cs="宋体" w:hint="eastAsia"/>
                <w:sz w:val="24"/>
                <w:szCs w:val="24"/>
              </w:rPr>
              <w:t>随着产品陆续在海外上市，公司将陆续增加海外本地化销售人员</w:t>
            </w:r>
            <w:r>
              <w:rPr>
                <w:rFonts w:ascii="宋体" w:eastAsia="宋体" w:hAnsi="宋体" w:cs="宋体"/>
                <w:sz w:val="24"/>
                <w:szCs w:val="24"/>
              </w:rPr>
              <w:t>，</w:t>
            </w:r>
            <w:r>
              <w:rPr>
                <w:rFonts w:ascii="宋体" w:eastAsia="宋体" w:hAnsi="宋体" w:cs="宋体" w:hint="eastAsia"/>
                <w:sz w:val="24"/>
                <w:szCs w:val="24"/>
              </w:rPr>
              <w:t>逐步</w:t>
            </w:r>
            <w:r>
              <w:rPr>
                <w:rFonts w:ascii="宋体" w:eastAsia="宋体" w:hAnsi="宋体" w:cs="宋体"/>
                <w:sz w:val="24"/>
                <w:szCs w:val="24"/>
              </w:rPr>
              <w:t>提高海外销售本地化运营的占比。</w:t>
            </w:r>
            <w:r>
              <w:rPr>
                <w:rFonts w:ascii="宋体" w:eastAsia="宋体" w:hAnsi="宋体" w:cs="宋体" w:hint="eastAsia"/>
                <w:sz w:val="24"/>
                <w:szCs w:val="24"/>
              </w:rPr>
              <w:t xml:space="preserve"> </w:t>
            </w:r>
            <w:r>
              <w:rPr>
                <w:rFonts w:ascii="宋体" w:eastAsia="宋体" w:hAnsi="宋体" w:cs="宋体" w:hint="eastAsia"/>
                <w:sz w:val="24"/>
                <w:szCs w:val="24"/>
              </w:rPr>
              <w:t xml:space="preserve">       </w:t>
            </w:r>
          </w:p>
          <w:p w14:paraId="2F4B6A8F"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海外销售方面，公司根据海外不同国家对药品的需求和准入政策的不同，以自有品牌、标单市场和原液出口等进行立体化销售布局；另外，针对不同国家对药品不同准入要求，公司提供定制化产品，加速产品进入海外市场。</w:t>
            </w:r>
          </w:p>
          <w:p w14:paraId="754268C7" w14:textId="77777777" w:rsidR="00C701AF" w:rsidRDefault="00C701AF">
            <w:pPr>
              <w:widowControl/>
              <w:spacing w:line="360" w:lineRule="auto"/>
              <w:rPr>
                <w:rFonts w:ascii="宋体" w:eastAsia="宋体" w:hAnsi="宋体" w:cs="宋体"/>
                <w:sz w:val="24"/>
                <w:szCs w:val="24"/>
              </w:rPr>
            </w:pPr>
          </w:p>
          <w:p w14:paraId="1A5DA90E"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六、公司合作产品的权益分成模式及分成比例？</w:t>
            </w:r>
          </w:p>
          <w:p w14:paraId="32C76169"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答：公司引进产品的合作模式包括商业化许可、独家代理销售、技术转让、合作开发等，具体的</w:t>
            </w:r>
            <w:r>
              <w:rPr>
                <w:rFonts w:ascii="宋体" w:eastAsia="宋体" w:hAnsi="宋体" w:cs="宋体"/>
                <w:sz w:val="24"/>
                <w:szCs w:val="24"/>
              </w:rPr>
              <w:t>合作模式选择</w:t>
            </w:r>
            <w:r>
              <w:rPr>
                <w:rFonts w:ascii="宋体" w:eastAsia="宋体" w:hAnsi="宋体" w:cs="宋体" w:hint="eastAsia"/>
                <w:sz w:val="24"/>
                <w:szCs w:val="24"/>
              </w:rPr>
              <w:t>取决于产品价格、</w:t>
            </w:r>
            <w:r>
              <w:rPr>
                <w:rFonts w:ascii="宋体" w:eastAsia="宋体" w:hAnsi="宋体" w:cs="宋体"/>
                <w:sz w:val="24"/>
                <w:szCs w:val="24"/>
              </w:rPr>
              <w:t>竞争</w:t>
            </w:r>
            <w:r>
              <w:rPr>
                <w:rFonts w:ascii="宋体" w:eastAsia="宋体" w:hAnsi="宋体" w:cs="宋体" w:hint="eastAsia"/>
                <w:sz w:val="24"/>
                <w:szCs w:val="24"/>
              </w:rPr>
              <w:t>格局</w:t>
            </w:r>
            <w:r>
              <w:rPr>
                <w:rFonts w:ascii="宋体" w:eastAsia="宋体" w:hAnsi="宋体" w:cs="宋体"/>
                <w:sz w:val="24"/>
                <w:szCs w:val="24"/>
              </w:rPr>
              <w:t>、生命周期</w:t>
            </w:r>
            <w:r>
              <w:rPr>
                <w:rFonts w:ascii="宋体" w:eastAsia="宋体" w:hAnsi="宋体" w:cs="宋体" w:hint="eastAsia"/>
                <w:sz w:val="24"/>
                <w:szCs w:val="24"/>
              </w:rPr>
              <w:t>、净利率水平等</w:t>
            </w:r>
            <w:r>
              <w:rPr>
                <w:rFonts w:ascii="宋体" w:eastAsia="宋体" w:hAnsi="宋体" w:cs="宋体"/>
                <w:sz w:val="24"/>
                <w:szCs w:val="24"/>
              </w:rPr>
              <w:t>。</w:t>
            </w:r>
          </w:p>
          <w:p w14:paraId="4F2B92B3" w14:textId="77777777" w:rsidR="00C701AF" w:rsidRDefault="00C701AF">
            <w:pPr>
              <w:widowControl/>
              <w:spacing w:line="360" w:lineRule="auto"/>
              <w:rPr>
                <w:rFonts w:ascii="宋体" w:eastAsia="宋体" w:hAnsi="宋体" w:cs="宋体"/>
                <w:sz w:val="24"/>
                <w:szCs w:val="24"/>
              </w:rPr>
            </w:pPr>
          </w:p>
          <w:p w14:paraId="71751E93"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七</w:t>
            </w:r>
            <w:r>
              <w:rPr>
                <w:rFonts w:ascii="宋体" w:eastAsia="宋体" w:hAnsi="宋体" w:cs="宋体" w:hint="eastAsia"/>
                <w:b/>
                <w:bCs/>
                <w:sz w:val="24"/>
                <w:szCs w:val="24"/>
              </w:rPr>
              <w:t>、公司的股权激励</w:t>
            </w:r>
            <w:r>
              <w:rPr>
                <w:rFonts w:ascii="宋体" w:eastAsia="宋体" w:hAnsi="宋体" w:cs="宋体" w:hint="eastAsia"/>
                <w:b/>
                <w:bCs/>
                <w:sz w:val="24"/>
                <w:szCs w:val="24"/>
              </w:rPr>
              <w:t>25</w:t>
            </w:r>
            <w:r>
              <w:rPr>
                <w:rFonts w:ascii="宋体" w:eastAsia="宋体" w:hAnsi="宋体" w:cs="宋体" w:hint="eastAsia"/>
                <w:b/>
                <w:bCs/>
                <w:sz w:val="24"/>
                <w:szCs w:val="24"/>
              </w:rPr>
              <w:t>年主要靠哪些品种实现增长？怎么看这些品种在海外的竞争格局？</w:t>
            </w:r>
          </w:p>
          <w:p w14:paraId="73589E8C"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w:t>
            </w:r>
            <w:r>
              <w:rPr>
                <w:rFonts w:ascii="宋体" w:eastAsia="宋体" w:hAnsi="宋体" w:cs="宋体" w:hint="eastAsia"/>
                <w:sz w:val="24"/>
                <w:szCs w:val="24"/>
              </w:rPr>
              <w:t>根据公司</w:t>
            </w:r>
            <w:r>
              <w:rPr>
                <w:rFonts w:ascii="宋体" w:eastAsia="宋体" w:hAnsi="宋体" w:cs="宋体" w:hint="eastAsia"/>
                <w:sz w:val="24"/>
                <w:szCs w:val="24"/>
              </w:rPr>
              <w:t>2024</w:t>
            </w:r>
            <w:r>
              <w:rPr>
                <w:rFonts w:ascii="宋体" w:eastAsia="宋体" w:hAnsi="宋体" w:cs="宋体" w:hint="eastAsia"/>
                <w:sz w:val="24"/>
                <w:szCs w:val="24"/>
              </w:rPr>
              <w:t>年推出的股权激励，</w:t>
            </w:r>
            <w:r>
              <w:rPr>
                <w:rFonts w:ascii="宋体" w:eastAsia="宋体" w:hAnsi="宋体" w:cs="宋体" w:hint="eastAsia"/>
                <w:sz w:val="24"/>
                <w:szCs w:val="24"/>
              </w:rPr>
              <w:t>25</w:t>
            </w:r>
            <w:r>
              <w:rPr>
                <w:rFonts w:ascii="宋体" w:eastAsia="宋体" w:hAnsi="宋体" w:cs="宋体" w:hint="eastAsia"/>
                <w:sz w:val="24"/>
                <w:szCs w:val="24"/>
              </w:rPr>
              <w:t>年</w:t>
            </w:r>
            <w:r>
              <w:rPr>
                <w:rFonts w:ascii="宋体" w:eastAsia="宋体" w:hAnsi="宋体" w:cs="宋体" w:hint="eastAsia"/>
                <w:sz w:val="24"/>
                <w:szCs w:val="24"/>
              </w:rPr>
              <w:t>外销收入增速目标为相比</w:t>
            </w:r>
            <w:r>
              <w:rPr>
                <w:rFonts w:ascii="宋体" w:eastAsia="宋体" w:hAnsi="宋体" w:cs="宋体" w:hint="eastAsia"/>
                <w:sz w:val="24"/>
                <w:szCs w:val="24"/>
              </w:rPr>
              <w:t>23</w:t>
            </w:r>
            <w:r>
              <w:rPr>
                <w:rFonts w:ascii="宋体" w:eastAsia="宋体" w:hAnsi="宋体" w:cs="宋体" w:hint="eastAsia"/>
                <w:sz w:val="24"/>
                <w:szCs w:val="24"/>
              </w:rPr>
              <w:t>年增长</w:t>
            </w:r>
            <w:r>
              <w:rPr>
                <w:rFonts w:ascii="宋体" w:eastAsia="宋体" w:hAnsi="宋体" w:cs="宋体" w:hint="eastAsia"/>
                <w:sz w:val="24"/>
                <w:szCs w:val="24"/>
              </w:rPr>
              <w:t>200</w:t>
            </w:r>
            <w:r>
              <w:rPr>
                <w:rFonts w:ascii="宋体" w:eastAsia="宋体" w:hAnsi="宋体" w:cs="宋体" w:hint="eastAsia"/>
                <w:sz w:val="24"/>
                <w:szCs w:val="24"/>
              </w:rPr>
              <w:t>%</w:t>
            </w:r>
            <w:r>
              <w:rPr>
                <w:rFonts w:ascii="宋体" w:eastAsia="宋体" w:hAnsi="宋体" w:cs="宋体" w:hint="eastAsia"/>
                <w:sz w:val="24"/>
                <w:szCs w:val="24"/>
              </w:rPr>
              <w:t>到</w:t>
            </w:r>
            <w:r>
              <w:rPr>
                <w:rFonts w:ascii="宋体" w:eastAsia="宋体" w:hAnsi="宋体" w:cs="宋体" w:hint="eastAsia"/>
                <w:sz w:val="24"/>
                <w:szCs w:val="24"/>
              </w:rPr>
              <w:t>400%</w:t>
            </w:r>
            <w:r>
              <w:rPr>
                <w:rFonts w:ascii="宋体" w:eastAsia="宋体" w:hAnsi="宋体" w:cs="宋体" w:hint="eastAsia"/>
                <w:sz w:val="24"/>
                <w:szCs w:val="24"/>
              </w:rPr>
              <w:t>。</w:t>
            </w:r>
          </w:p>
          <w:p w14:paraId="7E788E44"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公司引进的</w:t>
            </w:r>
            <w:r>
              <w:rPr>
                <w:rFonts w:ascii="宋体" w:eastAsia="宋体" w:hAnsi="宋体" w:cs="宋体" w:hint="eastAsia"/>
                <w:sz w:val="24"/>
                <w:szCs w:val="24"/>
              </w:rPr>
              <w:t>新产品</w:t>
            </w:r>
            <w:r>
              <w:rPr>
                <w:rFonts w:ascii="宋体" w:eastAsia="宋体" w:hAnsi="宋体" w:cs="宋体" w:hint="eastAsia"/>
                <w:sz w:val="24"/>
                <w:szCs w:val="24"/>
              </w:rPr>
              <w:t>从</w:t>
            </w:r>
            <w:r>
              <w:rPr>
                <w:rFonts w:ascii="宋体" w:eastAsia="宋体" w:hAnsi="宋体" w:cs="宋体" w:hint="eastAsia"/>
                <w:sz w:val="24"/>
                <w:szCs w:val="24"/>
              </w:rPr>
              <w:t>21</w:t>
            </w:r>
            <w:r>
              <w:rPr>
                <w:rFonts w:ascii="宋体" w:eastAsia="宋体" w:hAnsi="宋体" w:cs="宋体" w:hint="eastAsia"/>
                <w:sz w:val="24"/>
                <w:szCs w:val="24"/>
              </w:rPr>
              <w:t>年开始陆续在海外新兴市场开展产品注册工作，经过三年的注册推进，新产品海外注册在今年上半年取得较大突破，英夫利西单抗在秘鲁获批上市，并取得巴西、埃及、泰国的</w:t>
            </w:r>
            <w:r>
              <w:rPr>
                <w:rFonts w:ascii="宋体" w:eastAsia="宋体" w:hAnsi="宋体" w:cs="宋体" w:hint="eastAsia"/>
                <w:sz w:val="24"/>
                <w:szCs w:val="24"/>
              </w:rPr>
              <w:t>GMP</w:t>
            </w:r>
            <w:r>
              <w:rPr>
                <w:rFonts w:ascii="宋体" w:eastAsia="宋体" w:hAnsi="宋体" w:cs="宋体" w:hint="eastAsia"/>
                <w:sz w:val="24"/>
                <w:szCs w:val="24"/>
              </w:rPr>
              <w:t>认证；贝伐珠单抗取得印度尼西亚、埃及、哥伦比亚</w:t>
            </w:r>
            <w:r>
              <w:rPr>
                <w:rFonts w:ascii="宋体" w:eastAsia="宋体" w:hAnsi="宋体" w:cs="宋体" w:hint="eastAsia"/>
                <w:sz w:val="24"/>
                <w:szCs w:val="24"/>
              </w:rPr>
              <w:t>GMP</w:t>
            </w:r>
            <w:r>
              <w:rPr>
                <w:rFonts w:ascii="宋体" w:eastAsia="宋体" w:hAnsi="宋体" w:cs="宋体" w:hint="eastAsia"/>
                <w:sz w:val="24"/>
                <w:szCs w:val="24"/>
              </w:rPr>
              <w:t>认证。</w:t>
            </w:r>
            <w:r>
              <w:rPr>
                <w:rFonts w:ascii="宋体" w:eastAsia="宋体" w:hAnsi="宋体" w:cs="宋体" w:hint="eastAsia"/>
                <w:sz w:val="24"/>
                <w:szCs w:val="24"/>
              </w:rPr>
              <w:t>根据</w:t>
            </w:r>
            <w:r>
              <w:rPr>
                <w:rFonts w:ascii="宋体" w:eastAsia="宋体" w:hAnsi="宋体" w:cs="宋体" w:hint="eastAsia"/>
                <w:sz w:val="24"/>
                <w:szCs w:val="24"/>
              </w:rPr>
              <w:t>产品</w:t>
            </w:r>
            <w:r>
              <w:rPr>
                <w:rFonts w:ascii="宋体" w:eastAsia="宋体" w:hAnsi="宋体" w:cs="宋体" w:hint="eastAsia"/>
                <w:sz w:val="24"/>
                <w:szCs w:val="24"/>
              </w:rPr>
              <w:t>注册</w:t>
            </w:r>
            <w:r>
              <w:rPr>
                <w:rFonts w:ascii="宋体" w:eastAsia="宋体" w:hAnsi="宋体" w:cs="宋体" w:hint="eastAsia"/>
                <w:sz w:val="24"/>
                <w:szCs w:val="24"/>
              </w:rPr>
              <w:t>海外</w:t>
            </w:r>
            <w:r>
              <w:rPr>
                <w:rFonts w:ascii="宋体" w:eastAsia="宋体" w:hAnsi="宋体" w:cs="宋体" w:hint="eastAsia"/>
                <w:sz w:val="24"/>
                <w:szCs w:val="24"/>
              </w:rPr>
              <w:t>进度，</w:t>
            </w:r>
            <w:r>
              <w:rPr>
                <w:rFonts w:ascii="宋体" w:eastAsia="宋体" w:hAnsi="宋体" w:cs="宋体" w:hint="eastAsia"/>
                <w:sz w:val="24"/>
                <w:szCs w:val="24"/>
              </w:rPr>
              <w:t>24</w:t>
            </w:r>
            <w:r>
              <w:rPr>
                <w:rFonts w:ascii="宋体" w:eastAsia="宋体" w:hAnsi="宋体" w:cs="宋体" w:hint="eastAsia"/>
                <w:sz w:val="24"/>
                <w:szCs w:val="24"/>
              </w:rPr>
              <w:t>年预计</w:t>
            </w:r>
            <w:r>
              <w:rPr>
                <w:rFonts w:ascii="宋体" w:eastAsia="宋体" w:hAnsi="宋体" w:cs="宋体" w:hint="eastAsia"/>
                <w:sz w:val="24"/>
                <w:szCs w:val="24"/>
              </w:rPr>
              <w:t>4</w:t>
            </w:r>
            <w:r>
              <w:rPr>
                <w:rFonts w:ascii="宋体" w:eastAsia="宋体" w:hAnsi="宋体" w:cs="宋体" w:hint="eastAsia"/>
                <w:sz w:val="24"/>
                <w:szCs w:val="24"/>
              </w:rPr>
              <w:t>个左右新产品实现海外的销售，其中白紫已</w:t>
            </w:r>
            <w:r>
              <w:rPr>
                <w:rFonts w:ascii="宋体" w:eastAsia="宋体" w:hAnsi="宋体" w:cs="宋体"/>
                <w:sz w:val="24"/>
                <w:szCs w:val="24"/>
              </w:rPr>
              <w:t>开始销售</w:t>
            </w:r>
            <w:r>
              <w:rPr>
                <w:rFonts w:ascii="宋体" w:eastAsia="宋体" w:hAnsi="宋体" w:cs="宋体" w:hint="eastAsia"/>
                <w:sz w:val="24"/>
                <w:szCs w:val="24"/>
              </w:rPr>
              <w:t>，</w:t>
            </w:r>
            <w:r>
              <w:rPr>
                <w:rFonts w:ascii="宋体" w:eastAsia="宋体" w:hAnsi="宋体" w:cs="宋体" w:hint="eastAsia"/>
                <w:sz w:val="24"/>
                <w:szCs w:val="24"/>
              </w:rPr>
              <w:t>25</w:t>
            </w:r>
            <w:r>
              <w:rPr>
                <w:rFonts w:ascii="宋体" w:eastAsia="宋体" w:hAnsi="宋体" w:cs="宋体" w:hint="eastAsia"/>
                <w:sz w:val="24"/>
                <w:szCs w:val="24"/>
              </w:rPr>
              <w:t>年预计</w:t>
            </w:r>
            <w:r>
              <w:rPr>
                <w:rFonts w:ascii="宋体" w:eastAsia="宋体" w:hAnsi="宋体" w:cs="宋体" w:hint="eastAsia"/>
                <w:sz w:val="24"/>
                <w:szCs w:val="24"/>
              </w:rPr>
              <w:t>8</w:t>
            </w:r>
            <w:r>
              <w:rPr>
                <w:rFonts w:ascii="宋体" w:eastAsia="宋体" w:hAnsi="宋体" w:cs="宋体" w:hint="eastAsia"/>
                <w:sz w:val="24"/>
                <w:szCs w:val="24"/>
              </w:rPr>
              <w:t>个</w:t>
            </w:r>
            <w:r>
              <w:rPr>
                <w:rFonts w:ascii="宋体" w:eastAsia="宋体" w:hAnsi="宋体" w:cs="宋体" w:hint="eastAsia"/>
                <w:sz w:val="24"/>
                <w:szCs w:val="24"/>
              </w:rPr>
              <w:t>左右</w:t>
            </w:r>
            <w:r>
              <w:rPr>
                <w:rFonts w:ascii="宋体" w:eastAsia="宋体" w:hAnsi="宋体" w:cs="宋体" w:hint="eastAsia"/>
                <w:sz w:val="24"/>
                <w:szCs w:val="24"/>
              </w:rPr>
              <w:t>新</w:t>
            </w:r>
            <w:r>
              <w:rPr>
                <w:rFonts w:ascii="宋体" w:eastAsia="宋体" w:hAnsi="宋体" w:cs="宋体" w:hint="eastAsia"/>
                <w:sz w:val="24"/>
                <w:szCs w:val="24"/>
              </w:rPr>
              <w:t>产品实现海外的销售</w:t>
            </w:r>
            <w:r>
              <w:rPr>
                <w:rFonts w:ascii="宋体" w:eastAsia="宋体" w:hAnsi="宋体" w:cs="宋体" w:hint="eastAsia"/>
                <w:sz w:val="24"/>
                <w:szCs w:val="24"/>
              </w:rPr>
              <w:t>，</w:t>
            </w:r>
            <w:r>
              <w:rPr>
                <w:rFonts w:ascii="宋体" w:eastAsia="宋体" w:hAnsi="宋体" w:cs="宋体" w:hint="eastAsia"/>
                <w:sz w:val="24"/>
                <w:szCs w:val="24"/>
              </w:rPr>
              <w:t>其中收入贡献较大的产品包括白紫、英夫利西单抗、贝伐珠单抗</w:t>
            </w:r>
            <w:r>
              <w:rPr>
                <w:rFonts w:ascii="宋体" w:eastAsia="宋体" w:hAnsi="宋体" w:cs="宋体" w:hint="eastAsia"/>
                <w:sz w:val="24"/>
                <w:szCs w:val="24"/>
              </w:rPr>
              <w:t>、利拉鲁肽等产品。</w:t>
            </w:r>
          </w:p>
          <w:p w14:paraId="2A1B98A5" w14:textId="77777777" w:rsidR="00C701AF" w:rsidRDefault="00C701AF">
            <w:pPr>
              <w:widowControl/>
              <w:spacing w:line="360" w:lineRule="auto"/>
              <w:ind w:firstLineChars="200" w:firstLine="482"/>
              <w:rPr>
                <w:rFonts w:ascii="宋体" w:eastAsia="宋体" w:hAnsi="宋体" w:cs="宋体"/>
                <w:b/>
                <w:bCs/>
                <w:sz w:val="24"/>
                <w:szCs w:val="24"/>
              </w:rPr>
            </w:pPr>
          </w:p>
          <w:p w14:paraId="5DA3A9AF"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八、国内这边几个主要品种后续销售展望？干扰素集采执行下的增长点？</w:t>
            </w:r>
          </w:p>
          <w:p w14:paraId="6060928F"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w:t>
            </w:r>
            <w:r>
              <w:rPr>
                <w:rFonts w:ascii="宋体" w:eastAsia="宋体" w:hAnsi="宋体" w:cs="宋体" w:hint="eastAsia"/>
                <w:sz w:val="24"/>
                <w:szCs w:val="24"/>
              </w:rPr>
              <w:t>2024</w:t>
            </w:r>
            <w:r>
              <w:rPr>
                <w:rFonts w:ascii="宋体" w:eastAsia="宋体" w:hAnsi="宋体" w:cs="宋体" w:hint="eastAsia"/>
                <w:sz w:val="24"/>
                <w:szCs w:val="24"/>
              </w:rPr>
              <w:t>年上半年，公司实现国内自有药品及代理产品营业收入</w:t>
            </w:r>
            <w:r>
              <w:rPr>
                <w:rFonts w:ascii="宋体" w:eastAsia="宋体" w:hAnsi="宋体" w:cs="宋体" w:hint="eastAsia"/>
                <w:sz w:val="24"/>
                <w:szCs w:val="24"/>
              </w:rPr>
              <w:t>66,785.80</w:t>
            </w:r>
            <w:r>
              <w:rPr>
                <w:rFonts w:ascii="宋体" w:eastAsia="宋体" w:hAnsi="宋体" w:cs="宋体" w:hint="eastAsia"/>
                <w:sz w:val="24"/>
                <w:szCs w:val="24"/>
              </w:rPr>
              <w:t>万元，同比增长</w:t>
            </w:r>
            <w:r>
              <w:rPr>
                <w:rFonts w:ascii="宋体" w:eastAsia="宋体" w:hAnsi="宋体" w:cs="宋体" w:hint="eastAsia"/>
                <w:sz w:val="24"/>
                <w:szCs w:val="24"/>
              </w:rPr>
              <w:t>15.20%</w:t>
            </w:r>
            <w:r>
              <w:rPr>
                <w:rFonts w:ascii="宋体" w:eastAsia="宋体" w:hAnsi="宋体" w:cs="宋体" w:hint="eastAsia"/>
                <w:sz w:val="24"/>
                <w:szCs w:val="24"/>
              </w:rPr>
              <w:t>。核心产品干扰素、依普定、类停市场占有率保持第一和第二。公司将继续深化对区域市场和各类市场终端实施精细化管理和精准化覆盖，扩大销售规模。</w:t>
            </w:r>
            <w:r>
              <w:rPr>
                <w:rFonts w:ascii="宋体" w:eastAsia="宋体" w:hAnsi="宋体" w:cs="宋体" w:hint="eastAsia"/>
                <w:sz w:val="24"/>
                <w:szCs w:val="24"/>
              </w:rPr>
              <w:br/>
              <w:t xml:space="preserve">    2024</w:t>
            </w:r>
            <w:r>
              <w:rPr>
                <w:rFonts w:ascii="宋体" w:eastAsia="宋体" w:hAnsi="宋体" w:cs="宋体" w:hint="eastAsia"/>
                <w:sz w:val="24"/>
                <w:szCs w:val="24"/>
              </w:rPr>
              <w:t>年</w:t>
            </w:r>
            <w:r>
              <w:rPr>
                <w:rFonts w:ascii="宋体" w:eastAsia="宋体" w:hAnsi="宋体" w:cs="宋体" w:hint="eastAsia"/>
                <w:sz w:val="24"/>
                <w:szCs w:val="24"/>
              </w:rPr>
              <w:t>3</w:t>
            </w:r>
            <w:r>
              <w:rPr>
                <w:rFonts w:ascii="宋体" w:eastAsia="宋体" w:hAnsi="宋体" w:cs="宋体" w:hint="eastAsia"/>
                <w:sz w:val="24"/>
                <w:szCs w:val="24"/>
              </w:rPr>
              <w:t>月，公司产品赛若金正式在江西省医保局牵头的干扰素省际联盟集中带量采购中中标，标期</w:t>
            </w:r>
            <w:r>
              <w:rPr>
                <w:rFonts w:ascii="宋体" w:eastAsia="宋体" w:hAnsi="宋体" w:cs="宋体" w:hint="eastAsia"/>
                <w:sz w:val="24"/>
                <w:szCs w:val="24"/>
              </w:rPr>
              <w:t>4</w:t>
            </w:r>
            <w:r>
              <w:rPr>
                <w:rFonts w:ascii="宋体" w:eastAsia="宋体" w:hAnsi="宋体" w:cs="宋体" w:hint="eastAsia"/>
                <w:sz w:val="24"/>
                <w:szCs w:val="24"/>
              </w:rPr>
              <w:t>年，</w:t>
            </w:r>
            <w:r>
              <w:rPr>
                <w:rFonts w:ascii="宋体" w:eastAsia="宋体" w:hAnsi="宋体" w:cs="宋体" w:hint="eastAsia"/>
                <w:sz w:val="24"/>
                <w:szCs w:val="24"/>
              </w:rPr>
              <w:t>2024</w:t>
            </w:r>
            <w:r>
              <w:rPr>
                <w:rFonts w:ascii="宋体" w:eastAsia="宋体" w:hAnsi="宋体" w:cs="宋体" w:hint="eastAsia"/>
                <w:sz w:val="24"/>
                <w:szCs w:val="24"/>
              </w:rPr>
              <w:t>年</w:t>
            </w:r>
            <w:r>
              <w:rPr>
                <w:rFonts w:ascii="宋体" w:eastAsia="宋体" w:hAnsi="宋体" w:cs="宋体" w:hint="eastAsia"/>
                <w:sz w:val="24"/>
                <w:szCs w:val="24"/>
              </w:rPr>
              <w:t>5</w:t>
            </w:r>
            <w:r>
              <w:rPr>
                <w:rFonts w:ascii="宋体" w:eastAsia="宋体" w:hAnsi="宋体" w:cs="宋体" w:hint="eastAsia"/>
                <w:sz w:val="24"/>
                <w:szCs w:val="24"/>
              </w:rPr>
              <w:t>月至</w:t>
            </w:r>
            <w:r>
              <w:rPr>
                <w:rFonts w:ascii="宋体" w:eastAsia="宋体" w:hAnsi="宋体" w:cs="宋体" w:hint="eastAsia"/>
                <w:sz w:val="24"/>
                <w:szCs w:val="24"/>
              </w:rPr>
              <w:t>8</w:t>
            </w:r>
            <w:r>
              <w:rPr>
                <w:rFonts w:ascii="宋体" w:eastAsia="宋体" w:hAnsi="宋体" w:cs="宋体" w:hint="eastAsia"/>
                <w:sz w:val="24"/>
                <w:szCs w:val="24"/>
              </w:rPr>
              <w:t>月各省陆续开始执行，目前，约</w:t>
            </w:r>
            <w:r>
              <w:rPr>
                <w:rFonts w:ascii="宋体" w:eastAsia="宋体" w:hAnsi="宋体" w:cs="宋体" w:hint="eastAsia"/>
                <w:sz w:val="24"/>
                <w:szCs w:val="24"/>
              </w:rPr>
              <w:t>20</w:t>
            </w:r>
            <w:r>
              <w:rPr>
                <w:rFonts w:ascii="宋体" w:eastAsia="宋体" w:hAnsi="宋体" w:cs="宋体" w:hint="eastAsia"/>
                <w:sz w:val="24"/>
                <w:szCs w:val="24"/>
              </w:rPr>
              <w:t>个省已经陆续发布正式通知。</w:t>
            </w:r>
            <w:r>
              <w:rPr>
                <w:rFonts w:ascii="宋体" w:eastAsia="宋体" w:hAnsi="宋体" w:cs="宋体" w:hint="eastAsia"/>
                <w:sz w:val="24"/>
                <w:szCs w:val="24"/>
              </w:rPr>
              <w:t>长期来看，本次集采有利于赛若金向更多等级医院铺开，有利于提高干扰素在临床治疗中的可及性和使用率，有利于进一步扩大市场份额。</w:t>
            </w:r>
          </w:p>
          <w:p w14:paraId="7E7AEF97"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2023</w:t>
            </w:r>
            <w:r>
              <w:rPr>
                <w:rFonts w:ascii="宋体" w:eastAsia="宋体" w:hAnsi="宋体" w:cs="宋体" w:hint="eastAsia"/>
                <w:sz w:val="24"/>
                <w:szCs w:val="24"/>
              </w:rPr>
              <w:t>年</w:t>
            </w:r>
            <w:r>
              <w:rPr>
                <w:rFonts w:ascii="宋体" w:eastAsia="宋体" w:hAnsi="宋体" w:cs="宋体" w:hint="eastAsia"/>
                <w:sz w:val="24"/>
                <w:szCs w:val="24"/>
              </w:rPr>
              <w:t>12</w:t>
            </w:r>
            <w:r>
              <w:rPr>
                <w:rFonts w:ascii="宋体" w:eastAsia="宋体" w:hAnsi="宋体" w:cs="宋体" w:hint="eastAsia"/>
                <w:sz w:val="24"/>
                <w:szCs w:val="24"/>
              </w:rPr>
              <w:t>月</w:t>
            </w:r>
            <w:r>
              <w:rPr>
                <w:rFonts w:ascii="宋体" w:eastAsia="宋体" w:hAnsi="宋体" w:cs="宋体" w:hint="eastAsia"/>
                <w:sz w:val="24"/>
                <w:szCs w:val="24"/>
              </w:rPr>
              <w:t>13</w:t>
            </w:r>
            <w:r>
              <w:rPr>
                <w:rFonts w:ascii="宋体" w:eastAsia="宋体" w:hAnsi="宋体" w:cs="宋体" w:hint="eastAsia"/>
                <w:sz w:val="24"/>
                <w:szCs w:val="24"/>
              </w:rPr>
              <w:t>日，国家医保局、人力资源社会保障部发布了《国家基本医疗保险、工伤保险和生育保险药品目录（</w:t>
            </w:r>
            <w:r>
              <w:rPr>
                <w:rFonts w:ascii="宋体" w:eastAsia="宋体" w:hAnsi="宋体" w:cs="宋体" w:hint="eastAsia"/>
                <w:sz w:val="24"/>
                <w:szCs w:val="24"/>
              </w:rPr>
              <w:t>2023</w:t>
            </w:r>
            <w:r>
              <w:rPr>
                <w:rFonts w:ascii="宋体" w:eastAsia="宋体" w:hAnsi="宋体" w:cs="宋体" w:hint="eastAsia"/>
                <w:sz w:val="24"/>
                <w:szCs w:val="24"/>
              </w:rPr>
              <w:t>年）》，本次增补和调整后，公司产品人干扰α</w:t>
            </w:r>
            <w:r>
              <w:rPr>
                <w:rFonts w:ascii="宋体" w:eastAsia="宋体" w:hAnsi="宋体" w:cs="宋体" w:hint="eastAsia"/>
                <w:sz w:val="24"/>
                <w:szCs w:val="24"/>
              </w:rPr>
              <w:t>1b</w:t>
            </w:r>
            <w:r>
              <w:rPr>
                <w:rFonts w:ascii="宋体" w:eastAsia="宋体" w:hAnsi="宋体" w:cs="宋体" w:hint="eastAsia"/>
                <w:sz w:val="24"/>
                <w:szCs w:val="24"/>
              </w:rPr>
              <w:t>（注射剂）产品说明书中列明的所有适应症均被纳入可报销范畴，解除了过去仅限白血病、淋巴瘤、黑色素瘤、肾癌多发性骨髓瘤、丙肝、慢性活动性乙肝等病种可报销的限制</w:t>
            </w:r>
            <w:r>
              <w:rPr>
                <w:rFonts w:ascii="宋体" w:eastAsia="宋体" w:hAnsi="宋体" w:cs="宋体"/>
                <w:sz w:val="24"/>
                <w:szCs w:val="24"/>
              </w:rPr>
              <w:t>，</w:t>
            </w:r>
            <w:r>
              <w:rPr>
                <w:rFonts w:ascii="宋体" w:eastAsia="宋体" w:hAnsi="宋体" w:cs="宋体" w:hint="eastAsia"/>
                <w:sz w:val="24"/>
                <w:szCs w:val="24"/>
              </w:rPr>
              <w:t>儿童病毒性疾病被纳入医保报销范围，这将大大降低患者治疗成本，会有更多医</w:t>
            </w:r>
            <w:r>
              <w:rPr>
                <w:rFonts w:ascii="宋体" w:eastAsia="宋体" w:hAnsi="宋体" w:cs="宋体" w:hint="eastAsia"/>
                <w:sz w:val="24"/>
                <w:szCs w:val="24"/>
              </w:rPr>
              <w:t>生、患者选择使用该产品。该版目录已于</w:t>
            </w:r>
            <w:r>
              <w:rPr>
                <w:rFonts w:ascii="宋体" w:eastAsia="宋体" w:hAnsi="宋体" w:cs="宋体" w:hint="eastAsia"/>
                <w:sz w:val="24"/>
                <w:szCs w:val="24"/>
              </w:rPr>
              <w:t>2024</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日正式执行，这对于未来公司产品市场潜力的挖掘具有重要意义。</w:t>
            </w:r>
          </w:p>
          <w:p w14:paraId="12429AB0" w14:textId="77777777" w:rsidR="00C701AF" w:rsidRDefault="00C701AF">
            <w:pPr>
              <w:widowControl/>
              <w:spacing w:line="360" w:lineRule="auto"/>
              <w:ind w:firstLineChars="200" w:firstLine="482"/>
              <w:rPr>
                <w:rFonts w:ascii="宋体" w:eastAsia="宋体" w:hAnsi="宋体" w:cs="宋体"/>
                <w:b/>
                <w:bCs/>
                <w:sz w:val="24"/>
                <w:szCs w:val="24"/>
              </w:rPr>
            </w:pPr>
          </w:p>
          <w:p w14:paraId="20008F90"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九、上半年销售和研发费用率同比下降的原因？</w:t>
            </w:r>
          </w:p>
          <w:p w14:paraId="0029D8F2" w14:textId="77777777" w:rsidR="00C701AF" w:rsidRDefault="00A762A3">
            <w:pPr>
              <w:widowControl/>
              <w:spacing w:line="360" w:lineRule="auto"/>
              <w:ind w:firstLine="480"/>
              <w:rPr>
                <w:rFonts w:ascii="宋体" w:eastAsia="宋体" w:hAnsi="宋体" w:cs="宋体"/>
                <w:sz w:val="24"/>
                <w:szCs w:val="24"/>
              </w:rPr>
            </w:pPr>
            <w:r>
              <w:rPr>
                <w:rFonts w:ascii="宋体" w:eastAsia="宋体" w:hAnsi="宋体" w:cs="宋体" w:hint="eastAsia"/>
                <w:sz w:val="24"/>
                <w:szCs w:val="24"/>
              </w:rPr>
              <w:t>答：销售费用率下降的原因一方面得益于公司营业收入提高</w:t>
            </w:r>
            <w:r>
              <w:rPr>
                <w:rFonts w:ascii="宋体" w:eastAsia="宋体" w:hAnsi="宋体" w:cs="宋体" w:hint="eastAsia"/>
                <w:sz w:val="24"/>
                <w:szCs w:val="24"/>
              </w:rPr>
              <w:t>17.09%</w:t>
            </w:r>
            <w:r>
              <w:rPr>
                <w:rFonts w:ascii="宋体" w:eastAsia="宋体" w:hAnsi="宋体" w:cs="宋体" w:hint="eastAsia"/>
                <w:sz w:val="24"/>
                <w:szCs w:val="24"/>
              </w:rPr>
              <w:t>，另一方面是推广服务费减少，随着依普定和人力细胞刺激因子集采区域的执行，公司销售费用从</w:t>
            </w:r>
            <w:r>
              <w:rPr>
                <w:rFonts w:ascii="宋体" w:eastAsia="宋体" w:hAnsi="宋体" w:cs="宋体" w:hint="eastAsia"/>
                <w:sz w:val="24"/>
                <w:szCs w:val="24"/>
              </w:rPr>
              <w:t>2023</w:t>
            </w:r>
            <w:r>
              <w:rPr>
                <w:rFonts w:ascii="宋体" w:eastAsia="宋体" w:hAnsi="宋体" w:cs="宋体" w:hint="eastAsia"/>
                <w:sz w:val="24"/>
                <w:szCs w:val="24"/>
              </w:rPr>
              <w:t>年开始陆续下降。</w:t>
            </w:r>
          </w:p>
          <w:p w14:paraId="4912F255" w14:textId="77777777" w:rsidR="00C701AF" w:rsidRDefault="00A762A3">
            <w:pPr>
              <w:widowControl/>
              <w:spacing w:line="360" w:lineRule="auto"/>
              <w:ind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研发费用同比下降的原因主要系去年同期</w:t>
            </w:r>
            <w:r>
              <w:rPr>
                <w:rFonts w:ascii="宋体" w:eastAsia="宋体" w:hAnsi="宋体" w:cs="宋体"/>
                <w:sz w:val="24"/>
                <w:szCs w:val="24"/>
              </w:rPr>
              <w:t>含</w:t>
            </w:r>
            <w:r>
              <w:rPr>
                <w:rFonts w:ascii="宋体" w:eastAsia="宋体" w:hAnsi="宋体" w:cs="宋体" w:hint="eastAsia"/>
                <w:sz w:val="24"/>
                <w:szCs w:val="24"/>
              </w:rPr>
              <w:t>shen26</w:t>
            </w:r>
            <w:r>
              <w:rPr>
                <w:rFonts w:ascii="宋体" w:eastAsia="宋体" w:hAnsi="宋体" w:cs="宋体" w:hint="eastAsia"/>
                <w:sz w:val="24"/>
                <w:szCs w:val="24"/>
              </w:rPr>
              <w:t>项目的临床费用开支，剔除该项目影响，</w:t>
            </w:r>
            <w:r>
              <w:rPr>
                <w:rFonts w:ascii="宋体" w:eastAsia="宋体" w:hAnsi="宋体" w:cs="宋体" w:hint="eastAsia"/>
                <w:sz w:val="24"/>
                <w:szCs w:val="24"/>
              </w:rPr>
              <w:t>2024</w:t>
            </w:r>
            <w:r>
              <w:rPr>
                <w:rFonts w:ascii="宋体" w:eastAsia="宋体" w:hAnsi="宋体" w:cs="宋体" w:hint="eastAsia"/>
                <w:sz w:val="24"/>
                <w:szCs w:val="24"/>
              </w:rPr>
              <w:t>年上半年研发费用略微下降，公司其他研发项目按照进度如期开展。</w:t>
            </w:r>
          </w:p>
          <w:p w14:paraId="5D4D1920" w14:textId="77777777" w:rsidR="00C701AF" w:rsidRDefault="00C701AF">
            <w:pPr>
              <w:widowControl/>
              <w:spacing w:line="360" w:lineRule="auto"/>
              <w:rPr>
                <w:rFonts w:ascii="宋体" w:eastAsia="宋体" w:hAnsi="宋体" w:cs="宋体"/>
                <w:sz w:val="24"/>
                <w:szCs w:val="24"/>
              </w:rPr>
            </w:pPr>
          </w:p>
          <w:p w14:paraId="2E125B29"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十、公司临床阶段管线的研发进度及研发项目上市预期？</w:t>
            </w:r>
          </w:p>
          <w:p w14:paraId="12DCF3A4" w14:textId="77777777" w:rsidR="00C701AF" w:rsidRDefault="00A762A3">
            <w:pPr>
              <w:widowControl/>
              <w:spacing w:line="360" w:lineRule="auto"/>
              <w:ind w:firstLine="481"/>
              <w:rPr>
                <w:rFonts w:ascii="宋体" w:eastAsia="宋体" w:hAnsi="宋体" w:cs="宋体"/>
                <w:sz w:val="24"/>
                <w:szCs w:val="24"/>
              </w:rPr>
            </w:pPr>
            <w:r>
              <w:rPr>
                <w:rFonts w:ascii="宋体" w:eastAsia="宋体" w:hAnsi="宋体" w:cs="宋体" w:hint="eastAsia"/>
                <w:sz w:val="24"/>
                <w:szCs w:val="24"/>
              </w:rPr>
              <w:t>答：公司两条临床Ⅲ期的研发管线顺利推进，小儿</w:t>
            </w:r>
            <w:r>
              <w:rPr>
                <w:rFonts w:ascii="宋体" w:eastAsia="宋体" w:hAnsi="宋体" w:cs="宋体" w:hint="eastAsia"/>
                <w:sz w:val="24"/>
                <w:szCs w:val="24"/>
              </w:rPr>
              <w:t>RSV</w:t>
            </w:r>
            <w:r>
              <w:rPr>
                <w:rFonts w:ascii="宋体" w:eastAsia="宋体" w:hAnsi="宋体" w:cs="宋体" w:hint="eastAsia"/>
                <w:sz w:val="24"/>
                <w:szCs w:val="24"/>
              </w:rPr>
              <w:t>对症治疗的人干扰素α</w:t>
            </w:r>
            <w:r>
              <w:rPr>
                <w:rFonts w:ascii="宋体" w:eastAsia="宋体" w:hAnsi="宋体" w:cs="宋体" w:hint="eastAsia"/>
                <w:sz w:val="24"/>
                <w:szCs w:val="24"/>
              </w:rPr>
              <w:t>1b</w:t>
            </w:r>
            <w:r>
              <w:rPr>
                <w:rFonts w:ascii="宋体" w:eastAsia="宋体" w:hAnsi="宋体" w:cs="宋体" w:hint="eastAsia"/>
                <w:sz w:val="24"/>
                <w:szCs w:val="24"/>
              </w:rPr>
              <w:t>吸入溶液项目有序开展Ⅲ期临床入组，聚焦海外新兴市场的聚乙二醇化人粒细胞刺激因子注射液</w:t>
            </w:r>
            <w:r>
              <w:rPr>
                <w:rFonts w:ascii="宋体" w:eastAsia="宋体" w:hAnsi="宋体" w:cs="宋体" w:hint="eastAsia"/>
                <w:sz w:val="24"/>
                <w:szCs w:val="24"/>
              </w:rPr>
              <w:t>III</w:t>
            </w:r>
            <w:r>
              <w:rPr>
                <w:rFonts w:ascii="宋体" w:eastAsia="宋体" w:hAnsi="宋体" w:cs="宋体" w:hint="eastAsia"/>
                <w:sz w:val="24"/>
                <w:szCs w:val="24"/>
              </w:rPr>
              <w:t>期临床组长单位确定。</w:t>
            </w:r>
          </w:p>
          <w:p w14:paraId="1DFE737F" w14:textId="77777777" w:rsidR="00C701AF" w:rsidRPr="009E77EC" w:rsidRDefault="00A762A3">
            <w:pPr>
              <w:widowControl/>
              <w:spacing w:line="360" w:lineRule="auto"/>
              <w:ind w:firstLine="481"/>
              <w:rPr>
                <w:rFonts w:ascii="宋体" w:eastAsia="宋体" w:hAnsi="宋体" w:cs="宋体"/>
                <w:sz w:val="24"/>
                <w:szCs w:val="24"/>
              </w:rPr>
            </w:pPr>
            <w:r>
              <w:rPr>
                <w:rFonts w:ascii="宋体" w:eastAsia="宋体" w:hAnsi="宋体" w:cs="宋体"/>
                <w:sz w:val="24"/>
                <w:szCs w:val="24"/>
              </w:rPr>
              <w:t>与成人相比，以</w:t>
            </w:r>
            <w:r>
              <w:rPr>
                <w:rFonts w:ascii="宋体" w:eastAsia="宋体" w:hAnsi="宋体" w:cs="宋体"/>
                <w:sz w:val="24"/>
                <w:szCs w:val="24"/>
              </w:rPr>
              <w:t>RSV</w:t>
            </w:r>
            <w:r>
              <w:rPr>
                <w:rFonts w:ascii="宋体" w:eastAsia="宋体" w:hAnsi="宋体" w:cs="宋体"/>
                <w:sz w:val="24"/>
                <w:szCs w:val="24"/>
              </w:rPr>
              <w:t>肺炎为代表的儿童病毒感染性疾病的发病率更高，危害更大，但绝大多数病毒缺乏特异性的治疗药物，而适合儿童使用的药物和治疗方案较少</w:t>
            </w:r>
            <w:r>
              <w:rPr>
                <w:rFonts w:ascii="宋体" w:eastAsia="宋体" w:hAnsi="宋体" w:cs="宋体" w:hint="eastAsia"/>
                <w:sz w:val="24"/>
                <w:szCs w:val="24"/>
              </w:rPr>
              <w:t>，公司在研管线人干扰素α</w:t>
            </w:r>
            <w:r>
              <w:rPr>
                <w:rFonts w:ascii="宋体" w:eastAsia="宋体" w:hAnsi="宋体" w:cs="宋体" w:hint="eastAsia"/>
                <w:sz w:val="24"/>
                <w:szCs w:val="24"/>
              </w:rPr>
              <w:t>1b</w:t>
            </w:r>
            <w:r>
              <w:rPr>
                <w:rFonts w:ascii="宋体" w:eastAsia="宋体" w:hAnsi="宋体" w:cs="宋体" w:hint="eastAsia"/>
                <w:sz w:val="24"/>
                <w:szCs w:val="24"/>
              </w:rPr>
              <w:t>吸入溶液通过雾化给药，具有起效快、患者耐受性高、安全性高等优势</w:t>
            </w:r>
            <w:r w:rsidRPr="009E77EC">
              <w:rPr>
                <w:rFonts w:ascii="宋体" w:eastAsia="宋体" w:hAnsi="宋体" w:cs="宋体" w:hint="eastAsia"/>
                <w:sz w:val="24"/>
                <w:szCs w:val="24"/>
              </w:rPr>
              <w:t>，有望成为</w:t>
            </w:r>
            <w:r w:rsidRPr="009E77EC">
              <w:rPr>
                <w:rFonts w:ascii="宋体" w:eastAsia="宋体" w:hAnsi="宋体" w:cs="宋体" w:hint="eastAsia"/>
                <w:sz w:val="24"/>
                <w:szCs w:val="24"/>
              </w:rPr>
              <w:t>国产</w:t>
            </w:r>
            <w:r w:rsidRPr="009E77EC">
              <w:rPr>
                <w:rFonts w:ascii="宋体" w:eastAsia="宋体" w:hAnsi="宋体" w:cs="宋体" w:hint="eastAsia"/>
                <w:sz w:val="24"/>
                <w:szCs w:val="24"/>
              </w:rPr>
              <w:t>首批治疗儿童呼吸道合胞病毒</w:t>
            </w:r>
            <w:r w:rsidRPr="009E77EC">
              <w:rPr>
                <w:rFonts w:ascii="宋体" w:eastAsia="宋体" w:hAnsi="宋体" w:cs="宋体" w:hint="eastAsia"/>
                <w:sz w:val="24"/>
                <w:szCs w:val="24"/>
              </w:rPr>
              <w:t>(RSV)</w:t>
            </w:r>
            <w:r w:rsidRPr="009E77EC">
              <w:rPr>
                <w:rFonts w:ascii="宋体" w:eastAsia="宋体" w:hAnsi="宋体" w:cs="宋体" w:hint="eastAsia"/>
                <w:sz w:val="24"/>
                <w:szCs w:val="24"/>
              </w:rPr>
              <w:t>感染的对症药物。</w:t>
            </w:r>
          </w:p>
          <w:p w14:paraId="441045D4" w14:textId="77777777" w:rsidR="00C701AF" w:rsidRDefault="00A762A3">
            <w:pPr>
              <w:widowControl/>
              <w:spacing w:line="360" w:lineRule="auto"/>
              <w:ind w:firstLine="481"/>
              <w:rPr>
                <w:rFonts w:ascii="宋体" w:eastAsia="宋体" w:hAnsi="宋体" w:cs="宋体"/>
                <w:sz w:val="24"/>
                <w:szCs w:val="24"/>
              </w:rPr>
            </w:pPr>
            <w:r w:rsidRPr="009E77EC">
              <w:rPr>
                <w:rFonts w:ascii="宋体" w:eastAsia="宋体" w:hAnsi="宋体" w:cs="宋体"/>
                <w:sz w:val="24"/>
                <w:szCs w:val="24"/>
              </w:rPr>
              <w:t>聚焦海外新兴市场的聚乙二醇化人粒细胞刺激因子注射液是一款长效的升白药，具有高度的位点选择性、高修饰率、副产物少等优点。</w:t>
            </w:r>
            <w:r w:rsidRPr="009E77EC">
              <w:rPr>
                <w:rFonts w:ascii="宋体" w:eastAsia="宋体" w:hAnsi="宋体" w:cs="宋体" w:hint="eastAsia"/>
                <w:sz w:val="24"/>
                <w:szCs w:val="24"/>
              </w:rPr>
              <w:t>根据</w:t>
            </w:r>
            <w:proofErr w:type="spellStart"/>
            <w:r w:rsidRPr="009E77EC">
              <w:rPr>
                <w:rFonts w:ascii="宋体" w:eastAsia="宋体" w:hAnsi="宋体" w:cs="宋体" w:hint="eastAsia"/>
                <w:sz w:val="24"/>
                <w:szCs w:val="24"/>
              </w:rPr>
              <w:t>Frost&amp;Sullivan</w:t>
            </w:r>
            <w:proofErr w:type="spellEnd"/>
            <w:r w:rsidRPr="009E77EC">
              <w:rPr>
                <w:rFonts w:ascii="宋体" w:eastAsia="宋体" w:hAnsi="宋体" w:cs="宋体" w:hint="eastAsia"/>
                <w:sz w:val="24"/>
                <w:szCs w:val="24"/>
              </w:rPr>
              <w:t>统计，今年来全球</w:t>
            </w:r>
            <w:r w:rsidRPr="009E77EC">
              <w:rPr>
                <w:rFonts w:ascii="宋体" w:eastAsia="宋体" w:hAnsi="宋体" w:cs="宋体" w:hint="eastAsia"/>
                <w:sz w:val="24"/>
                <w:szCs w:val="24"/>
              </w:rPr>
              <w:t>G-CSF</w:t>
            </w:r>
            <w:r w:rsidRPr="009E77EC">
              <w:rPr>
                <w:rFonts w:ascii="宋体" w:eastAsia="宋体" w:hAnsi="宋体" w:cs="宋体" w:hint="eastAsia"/>
                <w:sz w:val="24"/>
                <w:szCs w:val="24"/>
              </w:rPr>
              <w:t>药物市场规模维持在</w:t>
            </w:r>
            <w:r w:rsidRPr="009E77EC">
              <w:rPr>
                <w:rFonts w:ascii="宋体" w:eastAsia="宋体" w:hAnsi="宋体" w:cs="宋体" w:hint="eastAsia"/>
                <w:sz w:val="24"/>
                <w:szCs w:val="24"/>
              </w:rPr>
              <w:t>60</w:t>
            </w:r>
            <w:r w:rsidRPr="009E77EC">
              <w:rPr>
                <w:rFonts w:ascii="宋体" w:eastAsia="宋体" w:hAnsi="宋体" w:cs="宋体" w:hint="eastAsia"/>
                <w:sz w:val="24"/>
                <w:szCs w:val="24"/>
              </w:rPr>
              <w:t>亿美元左</w:t>
            </w:r>
            <w:r w:rsidRPr="009E77EC">
              <w:rPr>
                <w:rFonts w:ascii="宋体" w:eastAsia="宋体" w:hAnsi="宋体" w:cs="宋体" w:hint="eastAsia"/>
                <w:sz w:val="24"/>
                <w:szCs w:val="24"/>
              </w:rPr>
              <w:lastRenderedPageBreak/>
              <w:t>右，根据</w:t>
            </w:r>
            <w:r w:rsidRPr="009E77EC">
              <w:rPr>
                <w:rFonts w:ascii="宋体" w:eastAsia="宋体" w:hAnsi="宋体" w:cs="宋体" w:hint="eastAsia"/>
                <w:sz w:val="24"/>
                <w:szCs w:val="24"/>
              </w:rPr>
              <w:t>IQVIA</w:t>
            </w:r>
            <w:r w:rsidRPr="009E77EC">
              <w:rPr>
                <w:rFonts w:ascii="宋体" w:eastAsia="宋体" w:hAnsi="宋体" w:cs="宋体" w:hint="eastAsia"/>
                <w:sz w:val="24"/>
                <w:szCs w:val="24"/>
              </w:rPr>
              <w:t>数据统计，非欧美市场，培非格司亭</w:t>
            </w:r>
            <w:r w:rsidRPr="009E77EC">
              <w:rPr>
                <w:rFonts w:ascii="宋体" w:eastAsia="宋体" w:hAnsi="宋体" w:cs="宋体" w:hint="eastAsia"/>
                <w:sz w:val="24"/>
                <w:szCs w:val="24"/>
              </w:rPr>
              <w:t>2019-2021</w:t>
            </w:r>
            <w:r w:rsidRPr="009E77EC">
              <w:rPr>
                <w:rFonts w:ascii="宋体" w:eastAsia="宋体" w:hAnsi="宋体" w:cs="宋体" w:hint="eastAsia"/>
                <w:sz w:val="24"/>
                <w:szCs w:val="24"/>
              </w:rPr>
              <w:t>年销售额复合增长率为</w:t>
            </w:r>
            <w:r w:rsidRPr="009E77EC">
              <w:rPr>
                <w:rFonts w:ascii="宋体" w:eastAsia="宋体" w:hAnsi="宋体" w:cs="宋体" w:hint="eastAsia"/>
                <w:sz w:val="24"/>
                <w:szCs w:val="24"/>
              </w:rPr>
              <w:t>4.8%</w:t>
            </w:r>
            <w:r w:rsidRPr="009E77EC">
              <w:rPr>
                <w:rFonts w:ascii="宋体" w:eastAsia="宋体" w:hAnsi="宋体" w:cs="宋体" w:hint="eastAsia"/>
                <w:sz w:val="24"/>
                <w:szCs w:val="24"/>
              </w:rPr>
              <w:t>，其中，拉丁美洲市场</w:t>
            </w:r>
            <w:r w:rsidRPr="009E77EC">
              <w:rPr>
                <w:rFonts w:ascii="宋体" w:eastAsia="宋体" w:hAnsi="宋体" w:cs="宋体" w:hint="eastAsia"/>
                <w:sz w:val="24"/>
                <w:szCs w:val="24"/>
              </w:rPr>
              <w:t>2020-2022</w:t>
            </w:r>
            <w:r w:rsidRPr="009E77EC">
              <w:rPr>
                <w:rFonts w:ascii="宋体" w:eastAsia="宋体" w:hAnsi="宋体" w:cs="宋体" w:hint="eastAsia"/>
                <w:sz w:val="24"/>
                <w:szCs w:val="24"/>
              </w:rPr>
              <w:t>年培非格司亭销售额复合增长率为</w:t>
            </w:r>
            <w:r w:rsidRPr="009E77EC">
              <w:rPr>
                <w:rFonts w:ascii="宋体" w:eastAsia="宋体" w:hAnsi="宋体" w:cs="宋体" w:hint="eastAsia"/>
                <w:sz w:val="24"/>
                <w:szCs w:val="24"/>
              </w:rPr>
              <w:t>23%</w:t>
            </w:r>
            <w:r w:rsidRPr="009E77EC">
              <w:rPr>
                <w:rFonts w:ascii="宋体" w:eastAsia="宋体" w:hAnsi="宋体" w:cs="宋体" w:hint="eastAsia"/>
                <w:sz w:val="24"/>
                <w:szCs w:val="24"/>
              </w:rPr>
              <w:t>。</w:t>
            </w:r>
          </w:p>
          <w:p w14:paraId="6A9DE0D9" w14:textId="77777777" w:rsidR="00C701AF" w:rsidRDefault="00A762A3">
            <w:pPr>
              <w:widowControl/>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十一、美国版医保谈判近期落地，未来在欧盟或其他新兴市场有无类似集采</w:t>
            </w:r>
            <w:r>
              <w:rPr>
                <w:rFonts w:ascii="宋体" w:eastAsia="宋体" w:hAnsi="宋体" w:cs="宋体" w:hint="eastAsia"/>
                <w:b/>
                <w:bCs/>
                <w:sz w:val="24"/>
                <w:szCs w:val="24"/>
              </w:rPr>
              <w:t>/</w:t>
            </w:r>
            <w:r>
              <w:rPr>
                <w:rFonts w:ascii="宋体" w:eastAsia="宋体" w:hAnsi="宋体" w:cs="宋体" w:hint="eastAsia"/>
                <w:b/>
                <w:bCs/>
                <w:sz w:val="24"/>
                <w:szCs w:val="24"/>
              </w:rPr>
              <w:t>医保降价的影响，公司定价体系中未来是</w:t>
            </w:r>
            <w:r>
              <w:rPr>
                <w:rFonts w:ascii="宋体" w:eastAsia="宋体" w:hAnsi="宋体" w:cs="宋体" w:hint="eastAsia"/>
                <w:b/>
                <w:bCs/>
                <w:sz w:val="24"/>
                <w:szCs w:val="24"/>
              </w:rPr>
              <w:t>否考虑到这种降价风险，公司有何应对方式？</w:t>
            </w:r>
          </w:p>
          <w:p w14:paraId="343A8052"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中国市场和海外市场这两个市场的特点不同，中国市场相对统一，各省区之间价格趋同，然而新兴市场国家之间存在差异性，不同国家的政策、定价水平都不同，单个国家内公立市场和私立市场价格系统也不同。</w:t>
            </w:r>
          </w:p>
          <w:p w14:paraId="394A4ABF" w14:textId="77777777" w:rsidR="00C701AF" w:rsidRDefault="00A762A3">
            <w:pPr>
              <w:widowControl/>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降价风险在公司战略考虑内，中国竞争很激烈，很难保证海外没有竞争，在这个过程中如何控制降价风险，如何运用两个市场不同的特点形成公司结构性收益空间是公司考虑重点。</w:t>
            </w:r>
          </w:p>
          <w:p w14:paraId="4E9FFB90" w14:textId="152825D2" w:rsidR="00C701AF" w:rsidRPr="00A762A3" w:rsidRDefault="00A762A3" w:rsidP="00A762A3">
            <w:pPr>
              <w:widowControl/>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在海外竞争中，公司将提高“内功”，在专业化推广、诊疗方案更新、客户市场拓展等方面的下功夫。</w:t>
            </w:r>
            <w:bookmarkStart w:id="1" w:name="_GoBack"/>
            <w:bookmarkEnd w:id="1"/>
          </w:p>
          <w:p w14:paraId="64A28DC0" w14:textId="77777777" w:rsidR="00C701AF" w:rsidRDefault="00C701AF">
            <w:pPr>
              <w:widowControl/>
              <w:spacing w:line="360" w:lineRule="auto"/>
              <w:ind w:firstLineChars="200" w:firstLine="480"/>
              <w:rPr>
                <w:rFonts w:ascii="宋体" w:eastAsia="宋体" w:hAnsi="宋体" w:cs="宋体"/>
                <w:color w:val="000000"/>
                <w:sz w:val="24"/>
                <w:szCs w:val="24"/>
              </w:rPr>
            </w:pPr>
          </w:p>
        </w:tc>
      </w:tr>
      <w:tr w:rsidR="00C701AF" w14:paraId="7C62B6E5" w14:textId="77777777">
        <w:tc>
          <w:tcPr>
            <w:tcW w:w="2679" w:type="dxa"/>
          </w:tcPr>
          <w:p w14:paraId="2EFF5D15" w14:textId="77777777" w:rsidR="00C701AF" w:rsidRDefault="00A762A3">
            <w:pPr>
              <w:rPr>
                <w:rFonts w:ascii="宋体" w:eastAsia="宋体" w:hAnsi="宋体"/>
                <w:sz w:val="24"/>
                <w:szCs w:val="28"/>
              </w:rPr>
            </w:pPr>
            <w:r>
              <w:rPr>
                <w:rFonts w:ascii="宋体" w:eastAsia="宋体" w:hAnsi="宋体" w:hint="eastAsia"/>
                <w:sz w:val="24"/>
                <w:szCs w:val="28"/>
              </w:rPr>
              <w:lastRenderedPageBreak/>
              <w:t>附件清单（如有）</w:t>
            </w:r>
          </w:p>
        </w:tc>
        <w:tc>
          <w:tcPr>
            <w:tcW w:w="5617" w:type="dxa"/>
          </w:tcPr>
          <w:p w14:paraId="5DB25764" w14:textId="77777777" w:rsidR="00C701AF" w:rsidRDefault="00A762A3">
            <w:pPr>
              <w:rPr>
                <w:rFonts w:ascii="宋体" w:eastAsia="宋体" w:hAnsi="宋体"/>
                <w:sz w:val="24"/>
                <w:szCs w:val="28"/>
              </w:rPr>
            </w:pPr>
            <w:r>
              <w:rPr>
                <w:rFonts w:ascii="宋体" w:eastAsia="宋体" w:hAnsi="宋体" w:hint="eastAsia"/>
                <w:sz w:val="24"/>
                <w:szCs w:val="28"/>
              </w:rPr>
              <w:t>无</w:t>
            </w:r>
          </w:p>
        </w:tc>
      </w:tr>
      <w:tr w:rsidR="00C701AF" w14:paraId="27D7045E" w14:textId="77777777">
        <w:tc>
          <w:tcPr>
            <w:tcW w:w="2679" w:type="dxa"/>
          </w:tcPr>
          <w:p w14:paraId="75104CC0" w14:textId="77777777" w:rsidR="00C701AF" w:rsidRDefault="00A762A3">
            <w:pPr>
              <w:rPr>
                <w:rFonts w:ascii="宋体" w:eastAsia="宋体" w:hAnsi="宋体"/>
                <w:sz w:val="24"/>
                <w:szCs w:val="28"/>
              </w:rPr>
            </w:pPr>
            <w:r>
              <w:rPr>
                <w:rFonts w:ascii="宋体" w:eastAsia="宋体" w:hAnsi="宋体" w:hint="eastAsia"/>
                <w:sz w:val="24"/>
                <w:szCs w:val="28"/>
              </w:rPr>
              <w:t>日期</w:t>
            </w:r>
          </w:p>
        </w:tc>
        <w:tc>
          <w:tcPr>
            <w:tcW w:w="5617" w:type="dxa"/>
          </w:tcPr>
          <w:p w14:paraId="107D5910" w14:textId="77777777" w:rsidR="00C701AF" w:rsidRDefault="00A762A3">
            <w:pPr>
              <w:rPr>
                <w:rFonts w:ascii="宋体" w:eastAsia="宋体" w:hAnsi="宋体"/>
                <w:sz w:val="24"/>
                <w:szCs w:val="28"/>
              </w:rPr>
            </w:pPr>
            <w:r>
              <w:rPr>
                <w:rFonts w:ascii="宋体" w:eastAsia="宋体" w:hAnsi="宋体" w:hint="eastAsia"/>
                <w:sz w:val="24"/>
                <w:szCs w:val="28"/>
              </w:rPr>
              <w:t>2024</w:t>
            </w:r>
            <w:r>
              <w:rPr>
                <w:rFonts w:ascii="宋体" w:eastAsia="宋体" w:hAnsi="宋体" w:hint="eastAsia"/>
                <w:sz w:val="24"/>
                <w:szCs w:val="28"/>
              </w:rPr>
              <w:t>年</w:t>
            </w:r>
            <w:r>
              <w:rPr>
                <w:rFonts w:ascii="宋体" w:eastAsia="宋体" w:hAnsi="宋体" w:hint="eastAsia"/>
                <w:sz w:val="24"/>
                <w:szCs w:val="28"/>
              </w:rPr>
              <w:t>8</w:t>
            </w:r>
            <w:r>
              <w:rPr>
                <w:rFonts w:ascii="宋体" w:eastAsia="宋体" w:hAnsi="宋体" w:hint="eastAsia"/>
                <w:sz w:val="24"/>
                <w:szCs w:val="28"/>
              </w:rPr>
              <w:t>月</w:t>
            </w:r>
            <w:r>
              <w:rPr>
                <w:rFonts w:ascii="宋体" w:eastAsia="宋体" w:hAnsi="宋体" w:hint="eastAsia"/>
                <w:sz w:val="24"/>
                <w:szCs w:val="28"/>
              </w:rPr>
              <w:t>22</w:t>
            </w:r>
            <w:r>
              <w:rPr>
                <w:rFonts w:ascii="宋体" w:eastAsia="宋体" w:hAnsi="宋体" w:hint="eastAsia"/>
                <w:sz w:val="24"/>
                <w:szCs w:val="28"/>
              </w:rPr>
              <w:t>日</w:t>
            </w:r>
          </w:p>
        </w:tc>
      </w:tr>
      <w:bookmarkEnd w:id="0"/>
    </w:tbl>
    <w:p w14:paraId="464C5EDB" w14:textId="77777777" w:rsidR="00C701AF" w:rsidRDefault="00C701AF">
      <w:pPr>
        <w:adjustRightInd w:val="0"/>
        <w:snapToGrid w:val="0"/>
        <w:spacing w:line="600" w:lineRule="exact"/>
        <w:rPr>
          <w:rFonts w:ascii="宋体" w:eastAsia="宋体" w:hAnsi="宋体" w:cs="Arial"/>
          <w:bCs/>
          <w:sz w:val="28"/>
          <w:szCs w:val="28"/>
        </w:rPr>
      </w:pPr>
    </w:p>
    <w:sectPr w:rsidR="00C701A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529306"/>
    <w:multiLevelType w:val="singleLevel"/>
    <w:tmpl w:val="FB529306"/>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mMzg2Y2U0NjMzNzhiNDNlNjkwZjQ1ZjE5YTIzMTEifQ=="/>
  </w:docVars>
  <w:rsids>
    <w:rsidRoot w:val="00D01F78"/>
    <w:rsid w:val="A7FB46CC"/>
    <w:rsid w:val="ADFE30C7"/>
    <w:rsid w:val="B3EF720F"/>
    <w:rsid w:val="BBFBBD9A"/>
    <w:rsid w:val="BBFF1E88"/>
    <w:rsid w:val="BBFFC7D7"/>
    <w:rsid w:val="BDFFB2CD"/>
    <w:rsid w:val="BEB7173E"/>
    <w:rsid w:val="BF9FAC95"/>
    <w:rsid w:val="BFAF82D5"/>
    <w:rsid w:val="BFFFEFE8"/>
    <w:rsid w:val="C76FCAFB"/>
    <w:rsid w:val="D6FB872C"/>
    <w:rsid w:val="D7BC1E64"/>
    <w:rsid w:val="DDFF236C"/>
    <w:rsid w:val="DFFCD7E4"/>
    <w:rsid w:val="DFFF700E"/>
    <w:rsid w:val="EBC5AD87"/>
    <w:rsid w:val="EF9D0B5E"/>
    <w:rsid w:val="F63FF461"/>
    <w:rsid w:val="F9DA9629"/>
    <w:rsid w:val="F9FD851F"/>
    <w:rsid w:val="FB3F6A81"/>
    <w:rsid w:val="FBBF658C"/>
    <w:rsid w:val="FBFB84BE"/>
    <w:rsid w:val="FDEF09A5"/>
    <w:rsid w:val="FDFC139B"/>
    <w:rsid w:val="FEFFD3DA"/>
    <w:rsid w:val="FFDF3D19"/>
    <w:rsid w:val="FFEFB528"/>
    <w:rsid w:val="00017BA8"/>
    <w:rsid w:val="00023F72"/>
    <w:rsid w:val="0002651D"/>
    <w:rsid w:val="000320FD"/>
    <w:rsid w:val="00063668"/>
    <w:rsid w:val="0006783E"/>
    <w:rsid w:val="0008206E"/>
    <w:rsid w:val="000835AF"/>
    <w:rsid w:val="000B5BFD"/>
    <w:rsid w:val="000E7B1F"/>
    <w:rsid w:val="000F6EDF"/>
    <w:rsid w:val="001234DD"/>
    <w:rsid w:val="00126577"/>
    <w:rsid w:val="001277C0"/>
    <w:rsid w:val="00150A31"/>
    <w:rsid w:val="00163DCA"/>
    <w:rsid w:val="001871C9"/>
    <w:rsid w:val="001909E5"/>
    <w:rsid w:val="00195C5C"/>
    <w:rsid w:val="001D3191"/>
    <w:rsid w:val="001D5233"/>
    <w:rsid w:val="00243936"/>
    <w:rsid w:val="002676EF"/>
    <w:rsid w:val="0027417D"/>
    <w:rsid w:val="00276E0F"/>
    <w:rsid w:val="00281AD0"/>
    <w:rsid w:val="00293113"/>
    <w:rsid w:val="00295218"/>
    <w:rsid w:val="002A4BF1"/>
    <w:rsid w:val="002C6F89"/>
    <w:rsid w:val="002F1919"/>
    <w:rsid w:val="002F5CA1"/>
    <w:rsid w:val="00301D0B"/>
    <w:rsid w:val="00361860"/>
    <w:rsid w:val="003705F8"/>
    <w:rsid w:val="003B4DFD"/>
    <w:rsid w:val="003E363B"/>
    <w:rsid w:val="003E6F30"/>
    <w:rsid w:val="00412429"/>
    <w:rsid w:val="0045773B"/>
    <w:rsid w:val="004A5175"/>
    <w:rsid w:val="004D06AE"/>
    <w:rsid w:val="004D165B"/>
    <w:rsid w:val="004E632F"/>
    <w:rsid w:val="004F0634"/>
    <w:rsid w:val="004F7BB5"/>
    <w:rsid w:val="005039D4"/>
    <w:rsid w:val="005549A9"/>
    <w:rsid w:val="0056177A"/>
    <w:rsid w:val="005713CD"/>
    <w:rsid w:val="00582124"/>
    <w:rsid w:val="00587097"/>
    <w:rsid w:val="00591CCE"/>
    <w:rsid w:val="005B79E0"/>
    <w:rsid w:val="005C6BA9"/>
    <w:rsid w:val="005D60DB"/>
    <w:rsid w:val="005E3768"/>
    <w:rsid w:val="005E3DEB"/>
    <w:rsid w:val="005E7168"/>
    <w:rsid w:val="00615B88"/>
    <w:rsid w:val="00617645"/>
    <w:rsid w:val="00620070"/>
    <w:rsid w:val="00623D6A"/>
    <w:rsid w:val="00625737"/>
    <w:rsid w:val="006527A9"/>
    <w:rsid w:val="00664533"/>
    <w:rsid w:val="006978C5"/>
    <w:rsid w:val="006A2159"/>
    <w:rsid w:val="006C46BF"/>
    <w:rsid w:val="006E022C"/>
    <w:rsid w:val="00702E1A"/>
    <w:rsid w:val="00707D35"/>
    <w:rsid w:val="00707EED"/>
    <w:rsid w:val="007426C3"/>
    <w:rsid w:val="0074398F"/>
    <w:rsid w:val="00751BFA"/>
    <w:rsid w:val="00757A0F"/>
    <w:rsid w:val="007651AA"/>
    <w:rsid w:val="00766702"/>
    <w:rsid w:val="00771B8C"/>
    <w:rsid w:val="007B05AF"/>
    <w:rsid w:val="007B4AE5"/>
    <w:rsid w:val="007D0DE0"/>
    <w:rsid w:val="007D22E2"/>
    <w:rsid w:val="007E072B"/>
    <w:rsid w:val="007E5F2A"/>
    <w:rsid w:val="007F4C86"/>
    <w:rsid w:val="007F5D09"/>
    <w:rsid w:val="00810379"/>
    <w:rsid w:val="00815E6B"/>
    <w:rsid w:val="00831F56"/>
    <w:rsid w:val="00843075"/>
    <w:rsid w:val="008A74CD"/>
    <w:rsid w:val="008B68A6"/>
    <w:rsid w:val="008D7299"/>
    <w:rsid w:val="008F2E43"/>
    <w:rsid w:val="008F43E1"/>
    <w:rsid w:val="0091482B"/>
    <w:rsid w:val="00922D94"/>
    <w:rsid w:val="009454C4"/>
    <w:rsid w:val="009D58DE"/>
    <w:rsid w:val="009E77EC"/>
    <w:rsid w:val="00A16FBE"/>
    <w:rsid w:val="00A2137D"/>
    <w:rsid w:val="00A63554"/>
    <w:rsid w:val="00A66F37"/>
    <w:rsid w:val="00A6752E"/>
    <w:rsid w:val="00A7239C"/>
    <w:rsid w:val="00A741EA"/>
    <w:rsid w:val="00A762A3"/>
    <w:rsid w:val="00A855E4"/>
    <w:rsid w:val="00A921AE"/>
    <w:rsid w:val="00AC0420"/>
    <w:rsid w:val="00AC0DEF"/>
    <w:rsid w:val="00AD176B"/>
    <w:rsid w:val="00AE79CE"/>
    <w:rsid w:val="00AF47D9"/>
    <w:rsid w:val="00B21809"/>
    <w:rsid w:val="00B549F4"/>
    <w:rsid w:val="00B663D4"/>
    <w:rsid w:val="00B71EA5"/>
    <w:rsid w:val="00B91907"/>
    <w:rsid w:val="00B91942"/>
    <w:rsid w:val="00BC384C"/>
    <w:rsid w:val="00BF3900"/>
    <w:rsid w:val="00C14362"/>
    <w:rsid w:val="00C159AE"/>
    <w:rsid w:val="00C44CE5"/>
    <w:rsid w:val="00C5038E"/>
    <w:rsid w:val="00C630BF"/>
    <w:rsid w:val="00C64024"/>
    <w:rsid w:val="00C701AF"/>
    <w:rsid w:val="00CA1F0B"/>
    <w:rsid w:val="00CA6D56"/>
    <w:rsid w:val="00CB6760"/>
    <w:rsid w:val="00CB7DA7"/>
    <w:rsid w:val="00CE3BED"/>
    <w:rsid w:val="00CF4359"/>
    <w:rsid w:val="00D01F78"/>
    <w:rsid w:val="00D05220"/>
    <w:rsid w:val="00D10138"/>
    <w:rsid w:val="00D10669"/>
    <w:rsid w:val="00D209E3"/>
    <w:rsid w:val="00D24252"/>
    <w:rsid w:val="00D41195"/>
    <w:rsid w:val="00D4207D"/>
    <w:rsid w:val="00D708AC"/>
    <w:rsid w:val="00DB41D1"/>
    <w:rsid w:val="00DC4B44"/>
    <w:rsid w:val="00DD6FE2"/>
    <w:rsid w:val="00DF1242"/>
    <w:rsid w:val="00E01B97"/>
    <w:rsid w:val="00E140E3"/>
    <w:rsid w:val="00E3506B"/>
    <w:rsid w:val="00E645CE"/>
    <w:rsid w:val="00E819ED"/>
    <w:rsid w:val="00E82DD5"/>
    <w:rsid w:val="00EB1223"/>
    <w:rsid w:val="00EB4654"/>
    <w:rsid w:val="00F27441"/>
    <w:rsid w:val="00F318AE"/>
    <w:rsid w:val="00F4323B"/>
    <w:rsid w:val="00F64E18"/>
    <w:rsid w:val="00F9005E"/>
    <w:rsid w:val="00FB5666"/>
    <w:rsid w:val="00FC4A7B"/>
    <w:rsid w:val="00FE05DE"/>
    <w:rsid w:val="00FE2680"/>
    <w:rsid w:val="00FF051C"/>
    <w:rsid w:val="00FF18F9"/>
    <w:rsid w:val="00FF3069"/>
    <w:rsid w:val="01470407"/>
    <w:rsid w:val="0159017F"/>
    <w:rsid w:val="018F2EE2"/>
    <w:rsid w:val="01A050EF"/>
    <w:rsid w:val="01C54B55"/>
    <w:rsid w:val="01CE7C0A"/>
    <w:rsid w:val="01DD2318"/>
    <w:rsid w:val="023618CA"/>
    <w:rsid w:val="028E2F98"/>
    <w:rsid w:val="02B82B4C"/>
    <w:rsid w:val="02CA7C7C"/>
    <w:rsid w:val="02DB0613"/>
    <w:rsid w:val="02F02042"/>
    <w:rsid w:val="033A4CF6"/>
    <w:rsid w:val="033D1DCF"/>
    <w:rsid w:val="037203C5"/>
    <w:rsid w:val="043930E0"/>
    <w:rsid w:val="049401F6"/>
    <w:rsid w:val="04B52C5F"/>
    <w:rsid w:val="058F173B"/>
    <w:rsid w:val="059370C8"/>
    <w:rsid w:val="06823015"/>
    <w:rsid w:val="06ED3ED5"/>
    <w:rsid w:val="071C433A"/>
    <w:rsid w:val="071E3DAE"/>
    <w:rsid w:val="0768280C"/>
    <w:rsid w:val="076938CE"/>
    <w:rsid w:val="076B3AA9"/>
    <w:rsid w:val="077352D8"/>
    <w:rsid w:val="07C2786C"/>
    <w:rsid w:val="08FE7EA5"/>
    <w:rsid w:val="092F1D3F"/>
    <w:rsid w:val="096B4234"/>
    <w:rsid w:val="0992531D"/>
    <w:rsid w:val="0A3F3F1C"/>
    <w:rsid w:val="0AE0615E"/>
    <w:rsid w:val="0B031AD7"/>
    <w:rsid w:val="0B10415B"/>
    <w:rsid w:val="0B2524D9"/>
    <w:rsid w:val="0BCC7C0F"/>
    <w:rsid w:val="0BCF2858"/>
    <w:rsid w:val="0C2F779B"/>
    <w:rsid w:val="0C3A1825"/>
    <w:rsid w:val="0C830F3B"/>
    <w:rsid w:val="0D115D9B"/>
    <w:rsid w:val="0D754339"/>
    <w:rsid w:val="0D754C02"/>
    <w:rsid w:val="0D814189"/>
    <w:rsid w:val="0D927D14"/>
    <w:rsid w:val="0DC45CC1"/>
    <w:rsid w:val="0DD25C19"/>
    <w:rsid w:val="0DDD4AC0"/>
    <w:rsid w:val="0E6810E9"/>
    <w:rsid w:val="0E947D89"/>
    <w:rsid w:val="0EA0672E"/>
    <w:rsid w:val="0F2E5AE8"/>
    <w:rsid w:val="0F4E29E4"/>
    <w:rsid w:val="0F5721C2"/>
    <w:rsid w:val="0FCD09AB"/>
    <w:rsid w:val="10003EDA"/>
    <w:rsid w:val="10202EA2"/>
    <w:rsid w:val="103B39EF"/>
    <w:rsid w:val="10947C2E"/>
    <w:rsid w:val="10EB5020"/>
    <w:rsid w:val="11283480"/>
    <w:rsid w:val="113D0264"/>
    <w:rsid w:val="113E5D8A"/>
    <w:rsid w:val="11953FDD"/>
    <w:rsid w:val="11F02AD1"/>
    <w:rsid w:val="12200B6D"/>
    <w:rsid w:val="12683281"/>
    <w:rsid w:val="126F6B43"/>
    <w:rsid w:val="12D17F56"/>
    <w:rsid w:val="12F325E0"/>
    <w:rsid w:val="139212B7"/>
    <w:rsid w:val="13DE1F8C"/>
    <w:rsid w:val="14697FC7"/>
    <w:rsid w:val="146D2C0E"/>
    <w:rsid w:val="14FA4E9A"/>
    <w:rsid w:val="150652B2"/>
    <w:rsid w:val="15802E15"/>
    <w:rsid w:val="15B13003"/>
    <w:rsid w:val="166B13D0"/>
    <w:rsid w:val="169B5EBF"/>
    <w:rsid w:val="17740758"/>
    <w:rsid w:val="178564C1"/>
    <w:rsid w:val="17B3460D"/>
    <w:rsid w:val="17BC366D"/>
    <w:rsid w:val="18292E76"/>
    <w:rsid w:val="186007B8"/>
    <w:rsid w:val="18C21ACA"/>
    <w:rsid w:val="18C57ED2"/>
    <w:rsid w:val="18DB34CA"/>
    <w:rsid w:val="18E85C8C"/>
    <w:rsid w:val="18E96456"/>
    <w:rsid w:val="190B50EC"/>
    <w:rsid w:val="19241AA1"/>
    <w:rsid w:val="19973C65"/>
    <w:rsid w:val="19EE7B83"/>
    <w:rsid w:val="1A333834"/>
    <w:rsid w:val="1A8D33D8"/>
    <w:rsid w:val="1ADE2D63"/>
    <w:rsid w:val="1ADF238C"/>
    <w:rsid w:val="1B404402"/>
    <w:rsid w:val="1B721452"/>
    <w:rsid w:val="1B9E18B2"/>
    <w:rsid w:val="1C3404B6"/>
    <w:rsid w:val="1C387FA6"/>
    <w:rsid w:val="1C3D736A"/>
    <w:rsid w:val="1C626A97"/>
    <w:rsid w:val="1CE15AF5"/>
    <w:rsid w:val="1D2D73DF"/>
    <w:rsid w:val="1D552DD9"/>
    <w:rsid w:val="1DA50771"/>
    <w:rsid w:val="1DAA169F"/>
    <w:rsid w:val="1DB573D4"/>
    <w:rsid w:val="1E4804A6"/>
    <w:rsid w:val="1E7A19C6"/>
    <w:rsid w:val="1EAA034F"/>
    <w:rsid w:val="1F613548"/>
    <w:rsid w:val="1F9A129F"/>
    <w:rsid w:val="1FA417E6"/>
    <w:rsid w:val="1FAB4F33"/>
    <w:rsid w:val="1FCF491A"/>
    <w:rsid w:val="20415581"/>
    <w:rsid w:val="20634C25"/>
    <w:rsid w:val="20AF45AF"/>
    <w:rsid w:val="20F6373E"/>
    <w:rsid w:val="21187E9A"/>
    <w:rsid w:val="213571AA"/>
    <w:rsid w:val="215B5006"/>
    <w:rsid w:val="215F5FD5"/>
    <w:rsid w:val="219C2D85"/>
    <w:rsid w:val="22827E15"/>
    <w:rsid w:val="22F470FB"/>
    <w:rsid w:val="232E5091"/>
    <w:rsid w:val="23303983"/>
    <w:rsid w:val="236D2C2B"/>
    <w:rsid w:val="237F2252"/>
    <w:rsid w:val="24227B5B"/>
    <w:rsid w:val="245E2574"/>
    <w:rsid w:val="24997A50"/>
    <w:rsid w:val="24F24727"/>
    <w:rsid w:val="256A520F"/>
    <w:rsid w:val="259D6FE8"/>
    <w:rsid w:val="25D64C34"/>
    <w:rsid w:val="26715206"/>
    <w:rsid w:val="26A50FFC"/>
    <w:rsid w:val="26B14BF8"/>
    <w:rsid w:val="26B50445"/>
    <w:rsid w:val="26FA1719"/>
    <w:rsid w:val="270E75B1"/>
    <w:rsid w:val="274A4623"/>
    <w:rsid w:val="277A5916"/>
    <w:rsid w:val="28345287"/>
    <w:rsid w:val="283B4EB7"/>
    <w:rsid w:val="28CB3F50"/>
    <w:rsid w:val="297E7214"/>
    <w:rsid w:val="298A0E22"/>
    <w:rsid w:val="2A4E4E38"/>
    <w:rsid w:val="2A8541B6"/>
    <w:rsid w:val="2B05744C"/>
    <w:rsid w:val="2BCC1714"/>
    <w:rsid w:val="2BD72A66"/>
    <w:rsid w:val="2C220FED"/>
    <w:rsid w:val="2CAE2072"/>
    <w:rsid w:val="2D555F32"/>
    <w:rsid w:val="2D7921CC"/>
    <w:rsid w:val="2DB31A09"/>
    <w:rsid w:val="2DBB4593"/>
    <w:rsid w:val="2DE1366E"/>
    <w:rsid w:val="2E2B136E"/>
    <w:rsid w:val="2E4A7906"/>
    <w:rsid w:val="2E6F95D5"/>
    <w:rsid w:val="2E7035CF"/>
    <w:rsid w:val="2E81758A"/>
    <w:rsid w:val="2E8C5F2F"/>
    <w:rsid w:val="2E9274D5"/>
    <w:rsid w:val="2EDC6EB7"/>
    <w:rsid w:val="2F805A94"/>
    <w:rsid w:val="2F9C48AA"/>
    <w:rsid w:val="2FBF7E2F"/>
    <w:rsid w:val="2FFE05C5"/>
    <w:rsid w:val="300B11CE"/>
    <w:rsid w:val="30695248"/>
    <w:rsid w:val="31A2487C"/>
    <w:rsid w:val="31BA6175"/>
    <w:rsid w:val="32AD0087"/>
    <w:rsid w:val="32AE05FD"/>
    <w:rsid w:val="32B829B4"/>
    <w:rsid w:val="32BF7CE3"/>
    <w:rsid w:val="33393B89"/>
    <w:rsid w:val="335F3EC7"/>
    <w:rsid w:val="336970F4"/>
    <w:rsid w:val="342F6F9B"/>
    <w:rsid w:val="344E43B3"/>
    <w:rsid w:val="34DC2D1A"/>
    <w:rsid w:val="35321EDC"/>
    <w:rsid w:val="355C48AD"/>
    <w:rsid w:val="36251143"/>
    <w:rsid w:val="36354C71"/>
    <w:rsid w:val="3687595A"/>
    <w:rsid w:val="369159FD"/>
    <w:rsid w:val="37024FE0"/>
    <w:rsid w:val="37355603"/>
    <w:rsid w:val="377C4D93"/>
    <w:rsid w:val="37A7BB08"/>
    <w:rsid w:val="37B96292"/>
    <w:rsid w:val="37D83BF4"/>
    <w:rsid w:val="37E560D4"/>
    <w:rsid w:val="37F65BD2"/>
    <w:rsid w:val="38A307A0"/>
    <w:rsid w:val="38E370CB"/>
    <w:rsid w:val="39290F4A"/>
    <w:rsid w:val="39BA7DF4"/>
    <w:rsid w:val="39DEC4CD"/>
    <w:rsid w:val="39E0610D"/>
    <w:rsid w:val="3A0816C3"/>
    <w:rsid w:val="3AE05B05"/>
    <w:rsid w:val="3B034704"/>
    <w:rsid w:val="3B7B4F44"/>
    <w:rsid w:val="3BA90120"/>
    <w:rsid w:val="3BE811F0"/>
    <w:rsid w:val="3BFD046C"/>
    <w:rsid w:val="3C073099"/>
    <w:rsid w:val="3C0D67D4"/>
    <w:rsid w:val="3C485B8B"/>
    <w:rsid w:val="3CB4598C"/>
    <w:rsid w:val="3CE16544"/>
    <w:rsid w:val="3D0B47E4"/>
    <w:rsid w:val="3D337DEB"/>
    <w:rsid w:val="3D654764"/>
    <w:rsid w:val="3DD33F80"/>
    <w:rsid w:val="3DF73674"/>
    <w:rsid w:val="3DFB6F7A"/>
    <w:rsid w:val="3E483C21"/>
    <w:rsid w:val="3EAD617A"/>
    <w:rsid w:val="3F210961"/>
    <w:rsid w:val="40225A46"/>
    <w:rsid w:val="40926CEA"/>
    <w:rsid w:val="40A0524F"/>
    <w:rsid w:val="42A73629"/>
    <w:rsid w:val="432904DA"/>
    <w:rsid w:val="43A33000"/>
    <w:rsid w:val="43AD2778"/>
    <w:rsid w:val="43CF06E2"/>
    <w:rsid w:val="43D321DE"/>
    <w:rsid w:val="440C3942"/>
    <w:rsid w:val="4415591B"/>
    <w:rsid w:val="441E30A5"/>
    <w:rsid w:val="44224C14"/>
    <w:rsid w:val="444F7F84"/>
    <w:rsid w:val="445A5831"/>
    <w:rsid w:val="452E1696"/>
    <w:rsid w:val="45C516E0"/>
    <w:rsid w:val="460B3709"/>
    <w:rsid w:val="46C978C9"/>
    <w:rsid w:val="471C20EE"/>
    <w:rsid w:val="47BA2898"/>
    <w:rsid w:val="4812704D"/>
    <w:rsid w:val="4875082B"/>
    <w:rsid w:val="48C10A8F"/>
    <w:rsid w:val="48CA2379"/>
    <w:rsid w:val="48E8191E"/>
    <w:rsid w:val="496960B9"/>
    <w:rsid w:val="497511EE"/>
    <w:rsid w:val="4A471230"/>
    <w:rsid w:val="4A7F4E6E"/>
    <w:rsid w:val="4B023650"/>
    <w:rsid w:val="4B0B161A"/>
    <w:rsid w:val="4B490F25"/>
    <w:rsid w:val="4BC77420"/>
    <w:rsid w:val="4C251A45"/>
    <w:rsid w:val="4C322340"/>
    <w:rsid w:val="4C46376A"/>
    <w:rsid w:val="4CFC3EC0"/>
    <w:rsid w:val="4DA86B6F"/>
    <w:rsid w:val="4DFA760C"/>
    <w:rsid w:val="4E440697"/>
    <w:rsid w:val="4E46094E"/>
    <w:rsid w:val="4E7F438E"/>
    <w:rsid w:val="4EE35F2B"/>
    <w:rsid w:val="4EE96D5A"/>
    <w:rsid w:val="4EEF11DC"/>
    <w:rsid w:val="4EF4153C"/>
    <w:rsid w:val="4F7D2F8F"/>
    <w:rsid w:val="4F824817"/>
    <w:rsid w:val="4F9949B0"/>
    <w:rsid w:val="4FAB04B3"/>
    <w:rsid w:val="4FC36B40"/>
    <w:rsid w:val="502879A6"/>
    <w:rsid w:val="51EE6435"/>
    <w:rsid w:val="52387763"/>
    <w:rsid w:val="52656D93"/>
    <w:rsid w:val="52A63D17"/>
    <w:rsid w:val="52AD4542"/>
    <w:rsid w:val="52E92FBC"/>
    <w:rsid w:val="52F16B0B"/>
    <w:rsid w:val="53755C4B"/>
    <w:rsid w:val="5443679D"/>
    <w:rsid w:val="550A7A2A"/>
    <w:rsid w:val="561A28CB"/>
    <w:rsid w:val="5627460C"/>
    <w:rsid w:val="56510FA5"/>
    <w:rsid w:val="566273F2"/>
    <w:rsid w:val="56C67981"/>
    <w:rsid w:val="56D55173"/>
    <w:rsid w:val="57CE32A0"/>
    <w:rsid w:val="57FDC65D"/>
    <w:rsid w:val="581666E6"/>
    <w:rsid w:val="58450D79"/>
    <w:rsid w:val="596E48EA"/>
    <w:rsid w:val="59701E26"/>
    <w:rsid w:val="5A201A9E"/>
    <w:rsid w:val="5A7616BE"/>
    <w:rsid w:val="5A957D96"/>
    <w:rsid w:val="5AC01661"/>
    <w:rsid w:val="5AFF4BED"/>
    <w:rsid w:val="5B4D764F"/>
    <w:rsid w:val="5BC43166"/>
    <w:rsid w:val="5BCE55CA"/>
    <w:rsid w:val="5BD40F83"/>
    <w:rsid w:val="5D4E2F89"/>
    <w:rsid w:val="5D6B1282"/>
    <w:rsid w:val="5D852DBC"/>
    <w:rsid w:val="5D9A4018"/>
    <w:rsid w:val="5E340776"/>
    <w:rsid w:val="5F3E6EDB"/>
    <w:rsid w:val="5FC15189"/>
    <w:rsid w:val="5FCB2B29"/>
    <w:rsid w:val="60641CA4"/>
    <w:rsid w:val="60690934"/>
    <w:rsid w:val="606A6F1C"/>
    <w:rsid w:val="60AC6547"/>
    <w:rsid w:val="60E05068"/>
    <w:rsid w:val="612937BD"/>
    <w:rsid w:val="61355E2F"/>
    <w:rsid w:val="616C090E"/>
    <w:rsid w:val="6205183D"/>
    <w:rsid w:val="620C4474"/>
    <w:rsid w:val="62910BEB"/>
    <w:rsid w:val="62AB4AE4"/>
    <w:rsid w:val="63675EDB"/>
    <w:rsid w:val="640F5C22"/>
    <w:rsid w:val="64726B60"/>
    <w:rsid w:val="6477050C"/>
    <w:rsid w:val="647E15DC"/>
    <w:rsid w:val="64875FB1"/>
    <w:rsid w:val="64A62BA0"/>
    <w:rsid w:val="64A75419"/>
    <w:rsid w:val="64C37BF6"/>
    <w:rsid w:val="64CF2713"/>
    <w:rsid w:val="65236E07"/>
    <w:rsid w:val="653528A1"/>
    <w:rsid w:val="65790817"/>
    <w:rsid w:val="65FF07B9"/>
    <w:rsid w:val="663618E6"/>
    <w:rsid w:val="66E16DAB"/>
    <w:rsid w:val="675A4125"/>
    <w:rsid w:val="676B6AE6"/>
    <w:rsid w:val="679B209C"/>
    <w:rsid w:val="67DFBB24"/>
    <w:rsid w:val="67E61C31"/>
    <w:rsid w:val="686B0388"/>
    <w:rsid w:val="688C0889"/>
    <w:rsid w:val="693B5FAC"/>
    <w:rsid w:val="69601EB7"/>
    <w:rsid w:val="699D0A15"/>
    <w:rsid w:val="69A27DD9"/>
    <w:rsid w:val="69B33F8A"/>
    <w:rsid w:val="69DA7573"/>
    <w:rsid w:val="69FA15DB"/>
    <w:rsid w:val="6A690982"/>
    <w:rsid w:val="6A971908"/>
    <w:rsid w:val="6AC43C07"/>
    <w:rsid w:val="6B4F5D3F"/>
    <w:rsid w:val="6BB2015F"/>
    <w:rsid w:val="6C3C2767"/>
    <w:rsid w:val="6CB31DC6"/>
    <w:rsid w:val="6D4160FA"/>
    <w:rsid w:val="6D5E3752"/>
    <w:rsid w:val="6DFDEBC9"/>
    <w:rsid w:val="6E292877"/>
    <w:rsid w:val="6E3556C0"/>
    <w:rsid w:val="6ED529FF"/>
    <w:rsid w:val="6EDA0F52"/>
    <w:rsid w:val="6F34261A"/>
    <w:rsid w:val="6F4006B4"/>
    <w:rsid w:val="6FF44DE9"/>
    <w:rsid w:val="6FFE2E24"/>
    <w:rsid w:val="700D4FB9"/>
    <w:rsid w:val="700D7A07"/>
    <w:rsid w:val="702D045C"/>
    <w:rsid w:val="7060454A"/>
    <w:rsid w:val="70F53EBA"/>
    <w:rsid w:val="715D17B1"/>
    <w:rsid w:val="716A6C31"/>
    <w:rsid w:val="718A7AD1"/>
    <w:rsid w:val="71A877BD"/>
    <w:rsid w:val="71E27C7B"/>
    <w:rsid w:val="724623DA"/>
    <w:rsid w:val="730409A8"/>
    <w:rsid w:val="73CA3A9A"/>
    <w:rsid w:val="73FF607A"/>
    <w:rsid w:val="74C70D53"/>
    <w:rsid w:val="74D379E1"/>
    <w:rsid w:val="7536663D"/>
    <w:rsid w:val="75401EA6"/>
    <w:rsid w:val="75613F66"/>
    <w:rsid w:val="757271FA"/>
    <w:rsid w:val="75C6103F"/>
    <w:rsid w:val="761936F0"/>
    <w:rsid w:val="76595CC4"/>
    <w:rsid w:val="767D7C04"/>
    <w:rsid w:val="76A63608"/>
    <w:rsid w:val="76AC16B2"/>
    <w:rsid w:val="76BA0E58"/>
    <w:rsid w:val="77172E01"/>
    <w:rsid w:val="774231D8"/>
    <w:rsid w:val="77DA5FB4"/>
    <w:rsid w:val="77FBF1CF"/>
    <w:rsid w:val="785421A6"/>
    <w:rsid w:val="79D036BA"/>
    <w:rsid w:val="79FB986A"/>
    <w:rsid w:val="7A3064CE"/>
    <w:rsid w:val="7A474981"/>
    <w:rsid w:val="7A480529"/>
    <w:rsid w:val="7A546ECE"/>
    <w:rsid w:val="7A666C01"/>
    <w:rsid w:val="7A735E15"/>
    <w:rsid w:val="7B0A0587"/>
    <w:rsid w:val="7B474C14"/>
    <w:rsid w:val="7B7B68AC"/>
    <w:rsid w:val="7BEE2505"/>
    <w:rsid w:val="7BFABD6A"/>
    <w:rsid w:val="7BFC781D"/>
    <w:rsid w:val="7BFF804E"/>
    <w:rsid w:val="7C0E5874"/>
    <w:rsid w:val="7CC16371"/>
    <w:rsid w:val="7CD05940"/>
    <w:rsid w:val="7DE40A57"/>
    <w:rsid w:val="7DE95B7F"/>
    <w:rsid w:val="7DF0035C"/>
    <w:rsid w:val="7DFE27A0"/>
    <w:rsid w:val="7E3A5031"/>
    <w:rsid w:val="7E413C0D"/>
    <w:rsid w:val="7E815D24"/>
    <w:rsid w:val="7EBF30DE"/>
    <w:rsid w:val="7ECFBA33"/>
    <w:rsid w:val="7F3528E3"/>
    <w:rsid w:val="7F6BEC79"/>
    <w:rsid w:val="7FB1EE55"/>
    <w:rsid w:val="7FE89F73"/>
    <w:rsid w:val="9D6F08B8"/>
    <w:rsid w:val="9E36C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17BDFF"/>
  <w15:docId w15:val="{46F33B6D-A381-43A1-8D38-49F0AD3F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rPr>
      <w:rFonts w:ascii="宋体" w:eastAsia="宋体" w:hAnsi="宋体" w:cs="宋体"/>
      <w:sz w:val="31"/>
      <w:szCs w:val="31"/>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spacing w:beforeAutospacing="1" w:afterAutospacing="1"/>
      <w:jc w:val="left"/>
    </w:pPr>
    <w:rPr>
      <w:kern w:val="0"/>
      <w:sz w:val="24"/>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rPr>
  </w:style>
  <w:style w:type="character" w:styleId="af1">
    <w:name w:val="Hyperlink"/>
    <w:basedOn w:val="a0"/>
    <w:uiPriority w:val="99"/>
    <w:unhideWhenUsed/>
    <w:qFormat/>
    <w:rPr>
      <w:color w:val="0000FF"/>
      <w:u w:val="single"/>
    </w:rPr>
  </w:style>
  <w:style w:type="character" w:styleId="af2">
    <w:name w:val="annotation reference"/>
    <w:basedOn w:val="a0"/>
    <w:uiPriority w:val="99"/>
    <w:unhideWhenUsed/>
    <w:qFormat/>
    <w:rPr>
      <w:sz w:val="21"/>
      <w:szCs w:val="21"/>
    </w:rPr>
  </w:style>
  <w:style w:type="character" w:customStyle="1" w:styleId="a4">
    <w:name w:val="批注文字 字符"/>
    <w:basedOn w:val="a0"/>
    <w:link w:val="a3"/>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9">
    <w:name w:val="页脚 字符"/>
    <w:basedOn w:val="a0"/>
    <w:link w:val="a8"/>
    <w:uiPriority w:val="99"/>
    <w:qFormat/>
    <w:rPr>
      <w:sz w:val="18"/>
      <w:szCs w:val="18"/>
    </w:rPr>
  </w:style>
  <w:style w:type="character" w:customStyle="1" w:styleId="ab">
    <w:name w:val="页眉 字符"/>
    <w:basedOn w:val="a0"/>
    <w:link w:val="aa"/>
    <w:uiPriority w:val="99"/>
    <w:qFormat/>
    <w:rPr>
      <w:sz w:val="18"/>
      <w:szCs w:val="18"/>
    </w:rPr>
  </w:style>
  <w:style w:type="character" w:customStyle="1" w:styleId="ae">
    <w:name w:val="批注主题 字符"/>
    <w:basedOn w:val="a4"/>
    <w:link w:val="ad"/>
    <w:uiPriority w:val="99"/>
    <w:semiHidden/>
    <w:qFormat/>
    <w:rPr>
      <w:b/>
      <w:bCs/>
    </w:rPr>
  </w:style>
  <w:style w:type="paragraph" w:styleId="a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玲玉</dc:creator>
  <cp:lastModifiedBy>daveqiu</cp:lastModifiedBy>
  <cp:revision>11</cp:revision>
  <dcterms:created xsi:type="dcterms:W3CDTF">2024-01-26T02:51:00Z</dcterms:created>
  <dcterms:modified xsi:type="dcterms:W3CDTF">2024-08-22T07:39:00Z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8E1313E1690F4A7385E959DDB76614B8_13</vt:lpwstr>
  </property>
  <property fmtid="{D5CDD505-2E9C-101B-9397-08002B2CF9AE}" pid="4" name="commondata">
    <vt:lpwstr>eyJoZGlkIjoiOTRmMzg2Y2U0NjMzNzhiNDNlNjkwZjQ1ZjE5YTIzMTEifQ==</vt:lpwstr>
  </property>
</Properties>
</file>