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E581F9">
      <w:pPr>
        <w:keepNext/>
        <w:keepLines/>
        <w:spacing w:before="260" w:after="260" w:line="360" w:lineRule="auto"/>
        <w:jc w:val="center"/>
        <w:outlineLvl w:val="1"/>
        <w:rPr>
          <w:rFonts w:ascii="Times New Roman" w:hAnsi="Times New Roman" w:cs="Times New Roman"/>
          <w:b/>
          <w:bCs/>
          <w:iCs/>
          <w:sz w:val="24"/>
        </w:rPr>
      </w:pPr>
      <w:r>
        <w:rPr>
          <w:rFonts w:hint="eastAsia" w:ascii="Times New Roman" w:hAnsi="Times New Roman" w:eastAsia="宋体" w:cs="Times New Roman"/>
          <w:b/>
          <w:bCs/>
          <w:iCs/>
          <w:sz w:val="24"/>
          <w:lang w:bidi="ar"/>
        </w:rPr>
        <w:t>证券简称：莱特光电</w:t>
      </w:r>
      <w:r>
        <w:rPr>
          <w:rFonts w:ascii="Times New Roman" w:hAnsi="Times New Roman" w:eastAsia="宋体" w:cs="Times New Roman"/>
          <w:b/>
          <w:bCs/>
          <w:iCs/>
          <w:sz w:val="24"/>
          <w:lang w:bidi="ar"/>
        </w:rPr>
        <w:t xml:space="preserve">                                      </w:t>
      </w:r>
      <w:r>
        <w:rPr>
          <w:rFonts w:hint="eastAsia" w:ascii="Times New Roman" w:hAnsi="Times New Roman" w:eastAsia="宋体" w:cs="Times New Roman"/>
          <w:b/>
          <w:bCs/>
          <w:iCs/>
          <w:sz w:val="24"/>
          <w:lang w:bidi="ar"/>
        </w:rPr>
        <w:t>证券代码：</w:t>
      </w:r>
      <w:r>
        <w:rPr>
          <w:rFonts w:ascii="Times New Roman" w:hAnsi="Times New Roman" w:eastAsia="宋体" w:cs="Times New Roman"/>
          <w:b/>
          <w:bCs/>
          <w:iCs/>
          <w:sz w:val="24"/>
          <w:lang w:bidi="ar"/>
        </w:rPr>
        <w:t>688150</w:t>
      </w:r>
    </w:p>
    <w:p w14:paraId="225F05D8">
      <w:pPr>
        <w:keepNext/>
        <w:keepLines/>
        <w:spacing w:before="156" w:beforeLines="50" w:after="156" w:afterLines="50" w:line="360" w:lineRule="auto"/>
        <w:jc w:val="center"/>
        <w:outlineLvl w:val="1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bCs/>
          <w:sz w:val="32"/>
          <w:szCs w:val="32"/>
          <w:lang w:bidi="ar"/>
        </w:rPr>
        <w:t>陕西莱特光电材料股份有限公司</w:t>
      </w:r>
    </w:p>
    <w:p w14:paraId="6B73120E">
      <w:pPr>
        <w:keepNext/>
        <w:keepLines/>
        <w:spacing w:before="156" w:beforeLines="50" w:after="156" w:afterLines="50" w:line="360" w:lineRule="auto"/>
        <w:jc w:val="center"/>
        <w:outlineLvl w:val="1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bCs/>
          <w:sz w:val="32"/>
          <w:szCs w:val="32"/>
          <w:lang w:bidi="ar"/>
        </w:rPr>
        <w:t>投资者关系活动记录表</w:t>
      </w:r>
    </w:p>
    <w:p w14:paraId="27843DEF">
      <w:pPr>
        <w:keepNext/>
        <w:keepLines/>
        <w:spacing w:before="260" w:after="260" w:line="360" w:lineRule="auto"/>
        <w:jc w:val="right"/>
        <w:outlineLvl w:val="1"/>
        <w:rPr>
          <w:rFonts w:ascii="Times New Roman" w:hAnsi="Times New Roman" w:eastAsia="宋体" w:cs="Times New Roman"/>
          <w:b/>
          <w:bCs/>
          <w:sz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  <w:lang w:bidi="ar"/>
        </w:rPr>
        <w:t>编号：</w:t>
      </w:r>
      <w:r>
        <w:rPr>
          <w:rFonts w:ascii="Times New Roman" w:hAnsi="Times New Roman" w:eastAsia="宋体" w:cs="Times New Roman"/>
          <w:b/>
          <w:bCs/>
          <w:sz w:val="24"/>
          <w:lang w:bidi="ar"/>
        </w:rPr>
        <w:t>2024-0</w:t>
      </w:r>
      <w:r>
        <w:rPr>
          <w:rFonts w:hint="eastAsia" w:ascii="Times New Roman" w:hAnsi="Times New Roman" w:eastAsia="宋体" w:cs="Times New Roman"/>
          <w:b/>
          <w:bCs/>
          <w:sz w:val="24"/>
          <w:lang w:bidi="ar"/>
        </w:rPr>
        <w:t>15</w:t>
      </w:r>
    </w:p>
    <w:tbl>
      <w:tblPr>
        <w:tblStyle w:val="3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8160"/>
      </w:tblGrid>
      <w:tr w14:paraId="3FFC2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5D821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Cs/>
                <w:sz w:val="24"/>
                <w:lang w:bidi="ar"/>
              </w:rPr>
              <w:t>投资者关系活动类别</w:t>
            </w:r>
          </w:p>
        </w:tc>
        <w:tc>
          <w:tcPr>
            <w:tcW w:w="8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330FD6E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Wingdings 2" w:hAnsi="Wingdings 2" w:eastAsia="Wingdings 2" w:cs="Times New Roman"/>
                <w:sz w:val="24"/>
                <w:szCs w:val="22"/>
                <w:lang w:bidi="ar"/>
              </w:rPr>
              <w:sym w:font="Wingdings 2" w:char="0052"/>
            </w:r>
            <w:r>
              <w:rPr>
                <w:rFonts w:hint="eastAsia" w:ascii="Wingdings 2" w:hAnsi="Wingdings 2" w:eastAsia="宋体" w:cs="Times New Roman"/>
                <w:sz w:val="24"/>
                <w:lang w:bidi="ar"/>
              </w:rPr>
              <w:t>特定</w:t>
            </w:r>
            <w:r>
              <w:rPr>
                <w:rFonts w:hint="eastAsia" w:ascii="Times New Roman" w:hAnsi="Times New Roman" w:eastAsia="宋体" w:cs="Times New Roman"/>
                <w:sz w:val="24"/>
                <w:lang w:bidi="ar"/>
              </w:rPr>
              <w:t>对象调研</w:t>
            </w:r>
            <w:r>
              <w:rPr>
                <w:rFonts w:ascii="Times New Roman" w:hAnsi="Times New Roman" w:eastAsia="宋体" w:cs="Times New Roman"/>
                <w:sz w:val="24"/>
                <w:lang w:bidi="ar"/>
              </w:rPr>
              <w:t xml:space="preserve">          </w:t>
            </w:r>
            <w:r>
              <w:rPr>
                <w:rFonts w:ascii="Segoe UI Symbol" w:hAnsi="Segoe UI Symbol" w:eastAsia="Segoe UI Symbol" w:cs="Segoe UI Symbol"/>
                <w:sz w:val="24"/>
                <w:szCs w:val="22"/>
                <w:lang w:bidi="ar"/>
              </w:rPr>
              <w:t>☐</w:t>
            </w:r>
            <w:r>
              <w:rPr>
                <w:rFonts w:hint="eastAsia" w:ascii="Times New Roman" w:hAnsi="Times New Roman" w:eastAsia="宋体" w:cs="Times New Roman"/>
                <w:sz w:val="24"/>
                <w:lang w:bidi="ar"/>
              </w:rPr>
              <w:t>分析师会议</w:t>
            </w:r>
            <w:r>
              <w:rPr>
                <w:rFonts w:ascii="Times New Roman" w:hAnsi="Times New Roman" w:eastAsia="宋体" w:cs="Times New Roman"/>
                <w:bCs/>
                <w:iCs/>
                <w:sz w:val="24"/>
                <w:lang w:bidi="ar"/>
              </w:rPr>
              <w:t xml:space="preserve">          </w:t>
            </w:r>
            <w:r>
              <w:rPr>
                <w:rFonts w:ascii="Segoe UI Symbol" w:hAnsi="Segoe UI Symbol" w:eastAsia="Segoe UI Symbol" w:cs="Segoe UI Symbol"/>
                <w:sz w:val="24"/>
                <w:szCs w:val="22"/>
                <w:lang w:bidi="ar"/>
              </w:rPr>
              <w:t>☐</w:t>
            </w:r>
            <w:r>
              <w:rPr>
                <w:rFonts w:hint="eastAsia" w:ascii="Times New Roman" w:hAnsi="Times New Roman" w:eastAsia="宋体" w:cs="Times New Roman"/>
                <w:sz w:val="24"/>
                <w:lang w:bidi="ar"/>
              </w:rPr>
              <w:t>媒体采访</w:t>
            </w:r>
            <w:r>
              <w:rPr>
                <w:rFonts w:ascii="Times New Roman" w:hAnsi="Times New Roman" w:eastAsia="宋体" w:cs="Times New Roman"/>
                <w:sz w:val="24"/>
                <w:lang w:bidi="ar"/>
              </w:rPr>
              <w:br w:type="textWrapping"/>
            </w:r>
            <w:r>
              <w:rPr>
                <w:rFonts w:ascii="Segoe UI Symbol" w:hAnsi="Segoe UI Symbol" w:eastAsia="Segoe UI Symbol" w:cs="Segoe UI Symbol"/>
                <w:sz w:val="24"/>
                <w:szCs w:val="22"/>
                <w:lang w:bidi="ar"/>
              </w:rPr>
              <w:t>☐</w:t>
            </w:r>
            <w:r>
              <w:rPr>
                <w:rFonts w:hint="eastAsia" w:ascii="Times New Roman" w:hAnsi="Times New Roman" w:eastAsia="宋体" w:cs="Times New Roman"/>
                <w:sz w:val="24"/>
                <w:lang w:bidi="ar"/>
              </w:rPr>
              <w:t>业绩说明会</w:t>
            </w:r>
            <w:r>
              <w:rPr>
                <w:rFonts w:ascii="Times New Roman" w:hAnsi="Times New Roman" w:eastAsia="宋体" w:cs="Times New Roman"/>
                <w:bCs/>
                <w:iCs/>
                <w:sz w:val="24"/>
                <w:lang w:bidi="ar"/>
              </w:rPr>
              <w:t xml:space="preserve">            </w:t>
            </w:r>
            <w:r>
              <w:rPr>
                <w:rFonts w:ascii="Segoe UI Symbol" w:hAnsi="Segoe UI Symbol" w:eastAsia="Segoe UI Symbol" w:cs="Segoe UI Symbol"/>
                <w:sz w:val="24"/>
                <w:szCs w:val="22"/>
                <w:lang w:bidi="ar"/>
              </w:rPr>
              <w:t>☐</w:t>
            </w:r>
            <w:r>
              <w:rPr>
                <w:rFonts w:hint="eastAsia" w:ascii="Times New Roman" w:hAnsi="Times New Roman" w:eastAsia="宋体" w:cs="Times New Roman"/>
                <w:sz w:val="24"/>
                <w:lang w:bidi="ar"/>
              </w:rPr>
              <w:t>新闻发布会</w:t>
            </w:r>
            <w:r>
              <w:rPr>
                <w:rFonts w:ascii="Times New Roman" w:hAnsi="Times New Roman" w:eastAsia="宋体" w:cs="Times New Roman"/>
                <w:sz w:val="24"/>
                <w:lang w:bidi="ar"/>
              </w:rPr>
              <w:t xml:space="preserve">          </w:t>
            </w:r>
            <w:r>
              <w:rPr>
                <w:rFonts w:ascii="Segoe UI Symbol" w:hAnsi="Segoe UI Symbol" w:eastAsia="Segoe UI Symbol" w:cs="Segoe UI Symbol"/>
                <w:sz w:val="24"/>
                <w:szCs w:val="22"/>
                <w:lang w:bidi="ar"/>
              </w:rPr>
              <w:t>☐</w:t>
            </w:r>
            <w:r>
              <w:rPr>
                <w:rFonts w:hint="eastAsia" w:ascii="Times New Roman" w:hAnsi="Times New Roman" w:eastAsia="宋体" w:cs="Times New Roman"/>
                <w:sz w:val="24"/>
                <w:lang w:bidi="ar"/>
              </w:rPr>
              <w:t>路演活动</w:t>
            </w:r>
          </w:p>
          <w:p w14:paraId="269AB30F">
            <w:pPr>
              <w:tabs>
                <w:tab w:val="left" w:pos="2690"/>
                <w:tab w:val="center" w:pos="3199"/>
              </w:tabs>
              <w:spacing w:line="360" w:lineRule="auto"/>
              <w:jc w:val="left"/>
              <w:rPr>
                <w:rFonts w:ascii="Times New Roman" w:hAnsi="Times New Roman" w:cs="Times New Roman"/>
                <w:bCs/>
                <w:iCs/>
                <w:sz w:val="24"/>
              </w:rPr>
            </w:pPr>
            <w:r>
              <w:rPr>
                <w:rFonts w:ascii="Wingdings 2" w:hAnsi="Wingdings 2" w:eastAsia="Wingdings 2" w:cs="Times New Roman"/>
                <w:sz w:val="24"/>
                <w:szCs w:val="22"/>
                <w:lang w:bidi="ar"/>
              </w:rPr>
              <w:sym w:font="Wingdings 2" w:char="0052"/>
            </w:r>
            <w:r>
              <w:rPr>
                <w:rFonts w:hint="eastAsia" w:ascii="Wingdings 2" w:hAnsi="Wingdings 2" w:eastAsia="宋体" w:cs="Times New Roman"/>
                <w:sz w:val="24"/>
                <w:lang w:bidi="ar"/>
              </w:rPr>
              <w:t>现</w:t>
            </w:r>
            <w:r>
              <w:rPr>
                <w:rFonts w:hint="eastAsia" w:ascii="Times New Roman" w:hAnsi="Times New Roman" w:eastAsia="宋体" w:cs="Times New Roman"/>
                <w:sz w:val="24"/>
                <w:lang w:bidi="ar"/>
              </w:rPr>
              <w:t>场参观</w:t>
            </w:r>
            <w:r>
              <w:rPr>
                <w:rFonts w:ascii="Times New Roman" w:hAnsi="Times New Roman" w:eastAsia="宋体" w:cs="Times New Roman"/>
                <w:sz w:val="24"/>
                <w:lang w:bidi="ar"/>
              </w:rPr>
              <w:t xml:space="preserve">              </w:t>
            </w:r>
            <w:r>
              <w:rPr>
                <w:rFonts w:ascii="Wingdings 2" w:hAnsi="Wingdings 2" w:eastAsia="Wingdings 2" w:cs="Times New Roman"/>
                <w:sz w:val="24"/>
                <w:szCs w:val="22"/>
                <w:lang w:bidi="ar"/>
              </w:rPr>
              <w:sym w:font="Wingdings 2" w:char="0052"/>
            </w:r>
            <w:r>
              <w:rPr>
                <w:rFonts w:hint="eastAsia" w:ascii="Wingdings 2" w:hAnsi="Wingdings 2" w:eastAsia="宋体" w:cs="Times New Roman"/>
                <w:sz w:val="24"/>
                <w:lang w:bidi="ar"/>
              </w:rPr>
              <w:t>电话会议</w:t>
            </w:r>
            <w:r>
              <w:rPr>
                <w:rFonts w:ascii="Times New Roman" w:hAnsi="Times New Roman" w:eastAsia="宋体" w:cs="Times New Roman"/>
                <w:bCs/>
                <w:iCs/>
                <w:sz w:val="24"/>
                <w:lang w:bidi="ar"/>
              </w:rPr>
              <w:t xml:space="preserve">         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lang w:bidi="ar"/>
              </w:rPr>
              <w:t xml:space="preserve"> </w:t>
            </w:r>
            <w:r>
              <w:rPr>
                <w:rFonts w:hint="eastAsia" w:ascii="Wingdings 2" w:hAnsi="Wingdings 2" w:eastAsia="Wingdings 2" w:cs="Wingdings 2"/>
                <w:bCs/>
                <w:iCs/>
                <w:sz w:val="24"/>
                <w:lang w:bidi="ar"/>
              </w:rPr>
              <w:t xml:space="preserve"> </w:t>
            </w:r>
            <w:r>
              <w:rPr>
                <w:rFonts w:ascii="Segoe UI Symbol" w:hAnsi="Segoe UI Symbol" w:eastAsia="Segoe UI Symbol" w:cs="Segoe UI Symbol"/>
                <w:sz w:val="24"/>
                <w:szCs w:val="22"/>
                <w:lang w:bidi="ar"/>
              </w:rPr>
              <w:t>☐</w:t>
            </w:r>
            <w:r>
              <w:rPr>
                <w:rFonts w:hint="eastAsia" w:ascii="Wingdings 2" w:hAnsi="Wingdings 2" w:eastAsia="宋体" w:cs="Wingdings 2"/>
                <w:sz w:val="24"/>
                <w:szCs w:val="22"/>
                <w:lang w:bidi="ar"/>
              </w:rPr>
              <w:t>其他</w:t>
            </w:r>
            <w:r>
              <w:rPr>
                <w:rFonts w:ascii="Wingdings 2" w:hAnsi="Wingdings 2" w:eastAsia="Wingdings 2" w:cs="Wingdings 2"/>
                <w:sz w:val="24"/>
                <w:szCs w:val="22"/>
                <w:u w:val="single"/>
                <w:lang w:bidi="ar"/>
              </w:rPr>
              <w:t xml:space="preserve">    </w:t>
            </w:r>
          </w:p>
        </w:tc>
      </w:tr>
      <w:tr w14:paraId="70763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9DD69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lang w:bidi="ar"/>
              </w:rPr>
              <w:t>参与单位名称及人员姓名</w:t>
            </w:r>
          </w:p>
        </w:tc>
        <w:tc>
          <w:tcPr>
            <w:tcW w:w="8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C120A">
            <w:pPr>
              <w:tabs>
                <w:tab w:val="center" w:pos="2798"/>
              </w:tabs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lang w:bidi="ar"/>
              </w:rPr>
              <w:t>详见附件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lang w:val="en-US" w:eastAsia="zh-CN" w:bidi="ar"/>
              </w:rPr>
              <w:t>参会名单</w:t>
            </w:r>
          </w:p>
        </w:tc>
      </w:tr>
      <w:tr w14:paraId="298AC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05CD1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lang w:bidi="ar"/>
              </w:rPr>
              <w:t>会议时间</w:t>
            </w:r>
          </w:p>
        </w:tc>
        <w:tc>
          <w:tcPr>
            <w:tcW w:w="8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D3A5CBD">
            <w:pPr>
              <w:spacing w:line="360" w:lineRule="auto"/>
              <w:rPr>
                <w:rFonts w:hint="eastAsia" w:ascii="Times New Roman" w:hAnsi="Times New Roman" w:cs="Times New Roman" w:eastAsiaTheme="minorEastAsia"/>
                <w:bCs/>
                <w:iCs/>
                <w:sz w:val="24"/>
                <w:lang w:val="en-US" w:eastAsia="zh-CN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lang w:bidi="ar"/>
              </w:rPr>
              <w:t>2024年</w:t>
            </w:r>
            <w:r>
              <w:rPr>
                <w:rFonts w:hint="eastAsia" w:ascii="Times New Roman" w:hAnsi="Times New Roman" w:cs="Times New Roman"/>
                <w:bCs/>
                <w:iCs/>
                <w:sz w:val="24"/>
                <w:lang w:bidi="ar"/>
              </w:rPr>
              <w:t>8月20日</w:t>
            </w:r>
            <w:r>
              <w:rPr>
                <w:rFonts w:hint="eastAsia" w:ascii="Times New Roman" w:hAnsi="Times New Roman" w:cs="Times New Roman"/>
                <w:bCs/>
                <w:iCs/>
                <w:sz w:val="24"/>
                <w:lang w:val="en-US" w:eastAsia="zh-CN" w:bidi="ar"/>
              </w:rPr>
              <w:t>至</w:t>
            </w:r>
            <w:r>
              <w:rPr>
                <w:rFonts w:ascii="Times New Roman" w:hAnsi="Times New Roman" w:cs="Times New Roman"/>
                <w:bCs/>
                <w:iCs/>
                <w:sz w:val="24"/>
                <w:lang w:bidi="ar"/>
              </w:rPr>
              <w:t>2024年</w:t>
            </w:r>
            <w:r>
              <w:rPr>
                <w:rFonts w:hint="eastAsia" w:ascii="Times New Roman" w:hAnsi="Times New Roman" w:cs="Times New Roman"/>
                <w:bCs/>
                <w:iCs/>
                <w:sz w:val="24"/>
                <w:lang w:bidi="ar"/>
              </w:rPr>
              <w:t>8月2</w:t>
            </w:r>
            <w:r>
              <w:rPr>
                <w:rFonts w:hint="eastAsia" w:ascii="Times New Roman" w:hAnsi="Times New Roman" w:cs="Times New Roman"/>
                <w:bCs/>
                <w:iCs/>
                <w:sz w:val="24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cs="Times New Roman"/>
                <w:bCs/>
                <w:iCs/>
                <w:sz w:val="24"/>
                <w:lang w:bidi="ar"/>
              </w:rPr>
              <w:t>日</w:t>
            </w:r>
          </w:p>
        </w:tc>
      </w:tr>
      <w:tr w14:paraId="3B1AC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4B870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lang w:bidi="ar"/>
              </w:rPr>
              <w:t>会议地点</w:t>
            </w:r>
          </w:p>
        </w:tc>
        <w:tc>
          <w:tcPr>
            <w:tcW w:w="8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9F6DBDA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</w:rPr>
            </w:pPr>
            <w:r>
              <w:rPr>
                <w:rFonts w:hint="eastAsia" w:ascii="Times New Roman" w:hAnsi="Times New Roman" w:cs="Times New Roman"/>
                <w:bCs/>
                <w:iCs/>
                <w:sz w:val="24"/>
                <w:lang w:val="en-US" w:eastAsia="zh-CN" w:bidi="ar"/>
              </w:rPr>
              <w:t>陕西莱特光电材料股份有限公司会议室/</w:t>
            </w:r>
            <w:r>
              <w:rPr>
                <w:rFonts w:hint="eastAsia" w:ascii="Times New Roman" w:hAnsi="Times New Roman" w:cs="Times New Roman"/>
                <w:bCs/>
                <w:iCs/>
                <w:sz w:val="24"/>
                <w:lang w:bidi="ar"/>
              </w:rPr>
              <w:t>线上</w:t>
            </w:r>
          </w:p>
        </w:tc>
      </w:tr>
      <w:tr w14:paraId="01500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9E8B1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lang w:bidi="ar"/>
              </w:rPr>
              <w:t>上市公司接待人员姓名</w:t>
            </w:r>
          </w:p>
        </w:tc>
        <w:tc>
          <w:tcPr>
            <w:tcW w:w="8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81C09">
            <w:pPr>
              <w:spacing w:line="360" w:lineRule="auto"/>
              <w:rPr>
                <w:rFonts w:ascii="Times New Roman" w:hAnsi="Times New Roman" w:eastAsia="宋体" w:cs="Times New Roman"/>
                <w:bCs/>
                <w:iCs/>
                <w:sz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lang w:bidi="ar"/>
              </w:rPr>
              <w:t>董事会秘书：潘香婷</w:t>
            </w:r>
            <w:r>
              <w:rPr>
                <w:rFonts w:hint="eastAsia" w:ascii="Times New Roman" w:hAnsi="Times New Roman" w:cs="Times New Roman"/>
                <w:bCs/>
                <w:iCs/>
                <w:sz w:val="24"/>
                <w:lang w:bidi="ar"/>
              </w:rPr>
              <w:t xml:space="preserve">               投资者关系专员：张尊睿</w:t>
            </w:r>
          </w:p>
        </w:tc>
      </w:tr>
      <w:tr w14:paraId="24D76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7ADD3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lang w:bidi="ar"/>
              </w:rPr>
              <w:t>投资者关系活动主要内容介绍</w:t>
            </w:r>
          </w:p>
        </w:tc>
        <w:tc>
          <w:tcPr>
            <w:tcW w:w="8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28F29CC">
            <w:pPr>
              <w:numPr>
                <w:ilvl w:val="0"/>
                <w:numId w:val="1"/>
              </w:numPr>
              <w:spacing w:before="50" w:line="360" w:lineRule="auto"/>
              <w:ind w:firstLine="422" w:firstLineChars="200"/>
              <w:rPr>
                <w:rFonts w:ascii="Times New Roman" w:hAnsi="Times New Roman" w:cs="Times New Roman"/>
                <w:b/>
                <w:bCs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  <w:lang w:bidi="ar"/>
              </w:rPr>
              <w:t>最新经营情况介绍</w:t>
            </w:r>
          </w:p>
          <w:p w14:paraId="66A078BE">
            <w:pPr>
              <w:spacing w:before="50" w:line="360" w:lineRule="auto"/>
              <w:ind w:firstLine="420" w:firstLineChars="200"/>
              <w:rPr>
                <w:rFonts w:ascii="Times New Roman" w:hAnsi="Times New Roman" w:cs="Times New Roman"/>
                <w:szCs w:val="21"/>
                <w:lang w:bidi="ar"/>
              </w:rPr>
            </w:pPr>
            <w:r>
              <w:rPr>
                <w:rFonts w:hint="eastAsia" w:ascii="Times New Roman" w:hAnsi="Times New Roman" w:cs="Times New Roman"/>
                <w:szCs w:val="21"/>
                <w:lang w:bidi="ar"/>
              </w:rPr>
              <w:t>2024年上半年，消费电子需求回暖，OLED凭借卓越的性能优势在下游各终端应用领域加速渗透，OLED面板需求持续提升。与此同时，OLED面板行业格局持续优化，国内面板厂商在全球OLED智能手机市场中的地位和竞争力不断提升，出货量跃居全球第一。国内面板厂商在保持6代线的技术、产能优势外，加大对高世代 OLED产线的投资，京东方、维信诺先后宣布投资建设8.6代高世代OLED产线，国内OLED面板产能不断抬升，OLED有机材料市场需求进一步扩大。面对市场机遇，公司通过持续研发创新，深耕OLED有机材料领域，按照既定的发展战略，凭借行业地位、研发实力、产品性能、客户资源和产能规模等竞争优势，公司核心业务稳步发展，经营保持良好态势。2024年上半年，公司实现营业收入24,552.29万元，同比增长73.65%；归属于上市公司股东的净利润为9,248.45万元，同比增长111.43%；归属于上市公司股东的扣除非经常性损益后的净利润为8,248.26万元，同比增长151.23%。</w:t>
            </w:r>
          </w:p>
          <w:p w14:paraId="2918368A">
            <w:pPr>
              <w:spacing w:before="50" w:line="360" w:lineRule="auto"/>
              <w:ind w:firstLine="422" w:firstLineChars="200"/>
              <w:rPr>
                <w:rFonts w:ascii="Times New Roman" w:hAnsi="Times New Roman" w:cs="Times New Roman"/>
                <w:b/>
                <w:bCs/>
                <w:szCs w:val="21"/>
                <w:lang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szCs w:val="21"/>
                <w:lang w:bidi="ar"/>
              </w:rPr>
              <w:t>二、交流环节</w:t>
            </w:r>
          </w:p>
          <w:p w14:paraId="0D552B2F">
            <w:pPr>
              <w:spacing w:before="50" w:line="360" w:lineRule="auto"/>
              <w:ind w:firstLine="422" w:firstLineChars="200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  <w:lang w:bidi="ar"/>
              </w:rPr>
              <w:t>问题1：</w:t>
            </w:r>
            <w:r>
              <w:rPr>
                <w:rFonts w:hint="eastAsia" w:ascii="Times New Roman" w:hAnsi="Times New Roman" w:cs="Times New Roman"/>
                <w:b/>
                <w:bCs/>
                <w:szCs w:val="21"/>
                <w:lang w:bidi="ar"/>
              </w:rPr>
              <w:t>公司今年上半年</w:t>
            </w:r>
            <w:r>
              <w:rPr>
                <w:rFonts w:hint="eastAsia" w:ascii="Times New Roman" w:hAnsi="Times New Roman" w:cs="Times New Roman"/>
                <w:b/>
                <w:szCs w:val="21"/>
                <w:lang w:bidi="ar"/>
              </w:rPr>
              <w:t>能否按产品类别拆分收入？</w:t>
            </w:r>
          </w:p>
          <w:p w14:paraId="068D1E3E">
            <w:pPr>
              <w:spacing w:before="50" w:line="360" w:lineRule="auto"/>
              <w:ind w:firstLine="420" w:firstLineChars="200"/>
              <w:rPr>
                <w:rFonts w:ascii="Times New Roman" w:hAnsi="Times New Roman" w:cs="Times New Roman"/>
                <w:szCs w:val="21"/>
                <w:lang w:bidi="ar"/>
              </w:rPr>
            </w:pPr>
            <w:r>
              <w:rPr>
                <w:rFonts w:hint="eastAsia" w:ascii="Times New Roman" w:hAnsi="Times New Roman" w:cs="Times New Roman"/>
                <w:szCs w:val="21"/>
                <w:lang w:bidi="ar"/>
              </w:rPr>
              <w:t>答：</w:t>
            </w:r>
            <w:r>
              <w:rPr>
                <w:rFonts w:ascii="Times New Roman" w:hAnsi="Times New Roman" w:cs="Times New Roman"/>
                <w:szCs w:val="21"/>
                <w:lang w:bidi="ar"/>
              </w:rPr>
              <w:t>2024年</w:t>
            </w:r>
            <w:r>
              <w:rPr>
                <w:rFonts w:hint="eastAsia" w:ascii="Times New Roman" w:hAnsi="Times New Roman" w:cs="Times New Roman"/>
                <w:szCs w:val="21"/>
                <w:lang w:bidi="ar"/>
              </w:rPr>
              <w:t>上半年，公司实现营业收入24,552.29万元，同比增长73.65%。其中OLED有机材料收入21,213.84万元，占整体营业收入的86.40%；其他中间体产品主要是医药中间体，实现营业收入1,797.53万元，占比7.32%；面板清洗液及其他收入为1,540.92万元，占比6.28%。</w:t>
            </w:r>
          </w:p>
          <w:p w14:paraId="485D2A88">
            <w:pPr>
              <w:spacing w:before="50" w:line="360" w:lineRule="auto"/>
              <w:ind w:firstLine="422" w:firstLineChars="200"/>
              <w:rPr>
                <w:rFonts w:ascii="Times New Roman" w:hAnsi="Times New Roman" w:cs="Times New Roman"/>
                <w:b/>
                <w:bCs/>
                <w:szCs w:val="21"/>
                <w:lang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szCs w:val="21"/>
                <w:lang w:bidi="ar"/>
              </w:rPr>
              <w:t>问题2：公司今年上半年OLED有机材料进展情况如何？</w:t>
            </w:r>
          </w:p>
          <w:p w14:paraId="53D98018">
            <w:pPr>
              <w:spacing w:before="50" w:line="360" w:lineRule="auto"/>
              <w:ind w:firstLine="420" w:firstLineChars="200"/>
              <w:rPr>
                <w:rFonts w:hint="eastAsia" w:ascii="Times New Roman" w:hAnsi="Times New Roman" w:cs="Times New Roman" w:eastAsiaTheme="minorEastAsia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szCs w:val="21"/>
                <w:lang w:bidi="ar"/>
              </w:rPr>
              <w:t>答：2024年上半年，随着终端消费电子需求回暖及OLED渗透率持续提升,公司下游客户需求持续增长，公司OLED终端材料</w:t>
            </w:r>
            <w:r>
              <w:rPr>
                <w:rFonts w:ascii="Times New Roman" w:hAnsi="Times New Roman" w:cs="Times New Roman"/>
                <w:szCs w:val="21"/>
                <w:lang w:bidi="ar"/>
              </w:rPr>
              <w:t>Red Prime材料、Green Host材料</w:t>
            </w:r>
            <w:r>
              <w:rPr>
                <w:rFonts w:hint="eastAsia" w:ascii="Times New Roman" w:hAnsi="Times New Roman" w:cs="Times New Roman"/>
                <w:szCs w:val="21"/>
                <w:lang w:bidi="ar"/>
              </w:rPr>
              <w:t>销量均同比大幅增长。产品开发及验证方面，公司重点进行了红、绿、蓝三色Prime材料、Host材料、Dopant材料的开发，围绕高效率、低电压、长寿命等持续升级的技术指标，不断提升产品性能。其中Red Prime材料已持续迭代了7代器件的量产应用，在新一代器件中测试较好，继续保持业内领先；Green Host材料持续迭代2代器件的量产应用，在新一代器件中验证顺利，已达到国际先进水平；Red Host材料已通过客户量产测试，今年有望实现批量供货；</w:t>
            </w:r>
            <w:r>
              <w:rPr>
                <w:rFonts w:ascii="Times New Roman" w:hAnsi="Times New Roman" w:cs="Times New Roman"/>
                <w:szCs w:val="21"/>
                <w:lang w:bidi="ar"/>
              </w:rPr>
              <w:t>Green Prime材料及蓝光系列材料在客户端验证</w:t>
            </w:r>
            <w:r>
              <w:rPr>
                <w:rFonts w:hint="eastAsia" w:ascii="Times New Roman" w:hAnsi="Times New Roman" w:cs="Times New Roman"/>
                <w:szCs w:val="21"/>
                <w:lang w:bidi="ar"/>
              </w:rPr>
              <w:t>过程中。此外，公司多支材料在硅基OLED器件中的测试表现优良。</w:t>
            </w:r>
            <w:r>
              <w:rPr>
                <w:rFonts w:ascii="Times New Roman" w:hAnsi="Times New Roman" w:cs="Times New Roman"/>
                <w:szCs w:val="21"/>
                <w:lang w:bidi="ar"/>
              </w:rPr>
              <w:t>客户方面，</w:t>
            </w:r>
            <w:r>
              <w:rPr>
                <w:rFonts w:hint="eastAsia" w:ascii="Times New Roman" w:hAnsi="Times New Roman" w:cs="Times New Roman"/>
                <w:szCs w:val="21"/>
                <w:lang w:bidi="ar"/>
              </w:rPr>
              <w:t>公司</w:t>
            </w:r>
            <w:r>
              <w:rPr>
                <w:rFonts w:ascii="Times New Roman" w:hAnsi="Times New Roman" w:cs="Times New Roman"/>
                <w:szCs w:val="21"/>
                <w:lang w:bidi="ar"/>
              </w:rPr>
              <w:t>保持头部OLED面板厂商稳定量产供应的同时，积极开发新客户，争取逐步实现国内OLED面板厂商的全覆盖。</w:t>
            </w:r>
            <w:r>
              <w:rPr>
                <w:rFonts w:hint="eastAsia" w:ascii="Times New Roman" w:hAnsi="Times New Roman" w:cs="Times New Roman"/>
                <w:szCs w:val="21"/>
                <w:lang w:bidi="ar"/>
              </w:rPr>
              <w:t>OLED中间体方面，公司产品和客户结构转型取得初步成果，材料类型趋于多元化，氘代类等高附加值材料占比逐渐提升，客户结构逐步转向终端材料制造商，与韩国面板企业的一级供应商取得相关项目合作。</w:t>
            </w:r>
          </w:p>
          <w:p w14:paraId="3DB72463">
            <w:pPr>
              <w:spacing w:before="50" w:line="360" w:lineRule="auto"/>
              <w:ind w:firstLine="422" w:firstLineChars="200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  <w:lang w:bidi="ar"/>
              </w:rPr>
              <w:t>问题</w:t>
            </w:r>
            <w:r>
              <w:rPr>
                <w:rFonts w:hint="eastAsia" w:ascii="Times New Roman" w:hAnsi="Times New Roman" w:cs="Times New Roman"/>
                <w:b/>
                <w:szCs w:val="21"/>
                <w:lang w:bidi="ar"/>
              </w:rPr>
              <w:t>3</w:t>
            </w:r>
            <w:r>
              <w:rPr>
                <w:rFonts w:ascii="Times New Roman" w:hAnsi="Times New Roman" w:cs="Times New Roman"/>
                <w:b/>
                <w:szCs w:val="21"/>
                <w:lang w:bidi="ar"/>
              </w:rPr>
              <w:t>：公司</w:t>
            </w:r>
            <w:r>
              <w:rPr>
                <w:rFonts w:hint="eastAsia" w:ascii="Times New Roman" w:hAnsi="Times New Roman" w:cs="Times New Roman"/>
                <w:b/>
                <w:szCs w:val="21"/>
                <w:lang w:bidi="ar"/>
              </w:rPr>
              <w:t>客户对专利要求严格吗？公司专利布局情况</w:t>
            </w:r>
            <w:r>
              <w:rPr>
                <w:rFonts w:ascii="Times New Roman" w:hAnsi="Times New Roman" w:cs="Times New Roman"/>
                <w:b/>
                <w:szCs w:val="21"/>
                <w:lang w:bidi="ar"/>
              </w:rPr>
              <w:t>？</w:t>
            </w:r>
          </w:p>
          <w:p w14:paraId="0C38F946">
            <w:pPr>
              <w:spacing w:before="50" w:line="360" w:lineRule="auto"/>
              <w:ind w:firstLine="420" w:firstLineChars="200"/>
              <w:rPr>
                <w:rFonts w:ascii="Times New Roman" w:hAnsi="Times New Roman" w:cs="Times New Roman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答：</w:t>
            </w:r>
            <w:r>
              <w:rPr>
                <w:rFonts w:hint="eastAsia" w:ascii="Times New Roman" w:hAnsi="Times New Roman" w:cs="Times New Roman"/>
                <w:szCs w:val="21"/>
                <w:lang w:bidi="ar"/>
              </w:rPr>
              <w:t>OLED终端材料是OLED面板的核心组成部分，由于手机、平板等终端应用厂商非常重视产品的专利保护，因此面板厂商对于所选用的材料具有严格的专利要求。公司高度重视科技创新和知识产权的开发、积累和保护，在建立技术优势的同时，通过丰富且多样化的专利布局形成深厚的技术壁垒和市场壁垒，为技术创新构筑了知识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 w:bidi="ar"/>
              </w:rPr>
              <w:t>产权护城河。</w:t>
            </w:r>
            <w:r>
              <w:rPr>
                <w:rFonts w:hint="eastAsia" w:ascii="Times New Roman" w:hAnsi="Times New Roman" w:cs="Times New Roman"/>
                <w:szCs w:val="21"/>
                <w:lang w:bidi="ar"/>
              </w:rPr>
              <w:t>截至2024年上半年，公司累计申请专利883项，其中发明专利878项；获得授权专利346项，其中发明专利341项。公司自有专利覆盖了发光层材料、空穴传输层材料、空穴阻挡层材料和电子传输层材料等OLED核心功能层材料，专利保护区域覆盖中国、美国、日本、韩国及欧洲等国家，充分保障了公司产品在客户终端全球化销售的安全性。</w:t>
            </w:r>
            <w:bookmarkStart w:id="0" w:name="_GoBack"/>
            <w:bookmarkEnd w:id="0"/>
          </w:p>
          <w:p w14:paraId="653F5B4D">
            <w:pPr>
              <w:spacing w:before="50" w:line="360" w:lineRule="auto"/>
              <w:ind w:firstLine="422" w:firstLineChars="200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  <w:lang w:bidi="ar"/>
              </w:rPr>
              <w:t>问题</w:t>
            </w:r>
            <w:r>
              <w:rPr>
                <w:rFonts w:hint="eastAsia" w:ascii="Times New Roman" w:hAnsi="Times New Roman" w:cs="Times New Roman"/>
                <w:b/>
                <w:szCs w:val="21"/>
                <w:lang w:bidi="ar"/>
              </w:rPr>
              <w:t>4</w:t>
            </w:r>
            <w:r>
              <w:rPr>
                <w:rFonts w:ascii="Times New Roman" w:hAnsi="Times New Roman" w:cs="Times New Roman"/>
                <w:b/>
                <w:szCs w:val="21"/>
                <w:lang w:bidi="ar"/>
              </w:rPr>
              <w:t>：</w:t>
            </w:r>
            <w:r>
              <w:rPr>
                <w:rFonts w:hint="eastAsia" w:ascii="Times New Roman" w:hAnsi="Times New Roman" w:cs="Times New Roman"/>
                <w:b/>
                <w:szCs w:val="21"/>
                <w:lang w:bidi="ar"/>
              </w:rPr>
              <w:t>OLED材料行业竞争格局</w:t>
            </w:r>
            <w:r>
              <w:rPr>
                <w:rFonts w:ascii="Times New Roman" w:hAnsi="Times New Roman" w:cs="Times New Roman"/>
                <w:b/>
                <w:szCs w:val="21"/>
                <w:lang w:bidi="ar"/>
              </w:rPr>
              <w:t>？</w:t>
            </w:r>
          </w:p>
          <w:p w14:paraId="648E223B">
            <w:pPr>
              <w:spacing w:before="50" w:line="360" w:lineRule="auto"/>
              <w:ind w:firstLine="420" w:firstLineChars="200"/>
              <w:rPr>
                <w:rFonts w:ascii="Times New Roman" w:hAnsi="Times New Roman" w:cs="Times New Roman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答：</w:t>
            </w:r>
            <w:r>
              <w:rPr>
                <w:rFonts w:hint="eastAsia" w:ascii="Times New Roman" w:hAnsi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目前，在全球OLED有机材料供应体系中，我国企业主要集中在OLED中间体领域，在技术壁垒较高的OLED终端材料领域市占率仍然较低，</w:t>
            </w:r>
            <w:r>
              <w:rPr>
                <w:rFonts w:hint="eastAsia"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主要供应商仍为国外材料厂商</w:t>
            </w:r>
            <w:r>
              <w:rPr>
                <w:rFonts w:hint="eastAsia" w:ascii="Times New Roman" w:hAnsi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，国内仅有少数企业进入到OLED面板厂商核心供应链体系并实现量产</w:t>
            </w:r>
            <w:r>
              <w:rPr>
                <w:rFonts w:hint="eastAsia" w:ascii="Times New Roman" w:hAnsi="Times New Roman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材料国产替代空间广阔。公司目前已实现了Red Prime材料及Green Host材料量产供应；</w:t>
            </w:r>
            <w:r>
              <w:rPr>
                <w:rFonts w:hint="eastAsia" w:ascii="Times New Roman" w:hAnsi="Times New Roman" w:cs="Times New Roman"/>
                <w:szCs w:val="21"/>
                <w:lang w:bidi="ar"/>
              </w:rPr>
              <w:t>Red Host材料通过客户量产测试</w:t>
            </w:r>
            <w:r>
              <w:rPr>
                <w:rFonts w:hint="eastAsia" w:ascii="Times New Roman" w:hAnsi="Times New Roman" w:cs="Times New Roman"/>
                <w:szCs w:val="21"/>
                <w:lang w:eastAsia="zh-CN" w:bidi="ar"/>
              </w:rPr>
              <w:t>，</w:t>
            </w:r>
            <w:r>
              <w:rPr>
                <w:rFonts w:hint="eastAsia" w:ascii="Times New Roman" w:hAnsi="Times New Roman" w:cs="Times New Roman"/>
                <w:szCs w:val="21"/>
                <w:lang w:bidi="ar"/>
              </w:rPr>
              <w:t>今年有望实现批量供货</w:t>
            </w:r>
            <w:r>
              <w:rPr>
                <w:rFonts w:hint="eastAsia" w:ascii="Times New Roman" w:hAnsi="Times New Roman" w:cs="Times New Roman"/>
                <w:szCs w:val="21"/>
                <w:lang w:eastAsia="zh-CN" w:bidi="ar"/>
              </w:rPr>
              <w:t>；</w:t>
            </w:r>
            <w:r>
              <w:rPr>
                <w:rFonts w:ascii="Times New Roman" w:hAnsi="Times New Roman" w:cs="Times New Roman"/>
                <w:szCs w:val="21"/>
                <w:lang w:bidi="ar"/>
              </w:rPr>
              <w:t>Green Prime材料及蓝光系列材料在客户端验证</w:t>
            </w:r>
            <w:r>
              <w:rPr>
                <w:rFonts w:hint="eastAsia" w:ascii="Times New Roman" w:hAnsi="Times New Roman" w:cs="Times New Roman"/>
                <w:szCs w:val="21"/>
                <w:lang w:bidi="ar"/>
              </w:rPr>
              <w:t>。</w:t>
            </w:r>
            <w:r>
              <w:rPr>
                <w:rFonts w:hint="eastAsia"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公司</w:t>
            </w:r>
            <w:r>
              <w:rPr>
                <w:rFonts w:hint="eastAsia" w:ascii="Times New Roman" w:hAnsi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持续加大研发投入，通过加强技术创新、提升产品性能、丰富产品品类等多方面举措不断提升市场份额及核心竞争力。</w:t>
            </w:r>
          </w:p>
          <w:p w14:paraId="081D7EC4">
            <w:pPr>
              <w:spacing w:before="50" w:line="360" w:lineRule="auto"/>
              <w:ind w:firstLine="422" w:firstLineChars="200"/>
              <w:rPr>
                <w:rFonts w:ascii="Times New Roman" w:hAnsi="Times New Roman" w:cs="Times New Roman"/>
                <w:b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/>
                <w:szCs w:val="21"/>
                <w:lang w:bidi="ar"/>
              </w:rPr>
              <w:t>问题</w:t>
            </w:r>
            <w:r>
              <w:rPr>
                <w:rFonts w:hint="eastAsia" w:ascii="Times New Roman" w:hAnsi="Times New Roman" w:cs="Times New Roman"/>
                <w:b/>
                <w:szCs w:val="21"/>
                <w:lang w:bidi="ar"/>
              </w:rPr>
              <w:t>5</w:t>
            </w:r>
            <w:r>
              <w:rPr>
                <w:rFonts w:ascii="Times New Roman" w:hAnsi="Times New Roman" w:cs="Times New Roman"/>
                <w:b/>
                <w:szCs w:val="21"/>
                <w:lang w:bidi="ar"/>
              </w:rPr>
              <w:t>：</w:t>
            </w:r>
            <w:r>
              <w:rPr>
                <w:rFonts w:hint="eastAsia" w:ascii="Times New Roman" w:hAnsi="Times New Roman" w:cs="Times New Roman"/>
                <w:b/>
                <w:szCs w:val="21"/>
                <w:lang w:bidi="ar"/>
              </w:rPr>
              <w:t>OLED发光材料技术是否相通吗</w:t>
            </w:r>
            <w:r>
              <w:rPr>
                <w:rFonts w:ascii="Times New Roman" w:hAnsi="Times New Roman" w:cs="Times New Roman"/>
                <w:b/>
                <w:szCs w:val="21"/>
                <w:lang w:bidi="ar"/>
              </w:rPr>
              <w:t>？</w:t>
            </w:r>
          </w:p>
          <w:p w14:paraId="366CE314">
            <w:pPr>
              <w:spacing w:before="50" w:line="360" w:lineRule="auto"/>
              <w:ind w:firstLine="420" w:firstLineChars="200"/>
              <w:rPr>
                <w:rFonts w:ascii="Times New Roman" w:hAnsi="Times New Roman" w:cs="Times New Roman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答：不同材料在专利技术壁垒、材料性能要求、生产工艺复杂性等方面有所差异</w:t>
            </w:r>
            <w:r>
              <w:rPr>
                <w:rFonts w:hint="eastAsia" w:ascii="Times New Roman" w:hAnsi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但材料开发的技术目的一致</w:t>
            </w:r>
            <w:r>
              <w:rPr>
                <w:rFonts w:hint="eastAsia" w:ascii="Times New Roman" w:hAnsi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都是为了满足材料在OLED发光器件中对电压、发光效率和寿命以及材料匹配性等要求</w:t>
            </w:r>
            <w:r>
              <w:rPr>
                <w:rFonts w:hint="eastAsia" w:ascii="Times New Roman" w:hAnsi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，核心技术壁垒在于材料厂商需要创造一个全新的分子结构式，该分子结构式不仅要保证材料自身性能达标，且在与其它十几种材料搭配后仍能够表现出良好的光电性能，同时还要有专利保护。公司通过多年研发技术及经验的积累，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掌握了全面、领先的OLED发光材料核心技术，</w:t>
            </w:r>
            <w:r>
              <w:rPr>
                <w:rFonts w:hint="eastAsia" w:ascii="Times New Roman" w:hAnsi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拥有红光、绿光材料的开发及量产经验,对于其他材料的开发及量产导入有很大的帮助。</w:t>
            </w:r>
          </w:p>
          <w:p w14:paraId="13F76295">
            <w:pPr>
              <w:spacing w:before="50" w:line="360" w:lineRule="auto"/>
              <w:ind w:firstLine="422" w:firstLineChars="200"/>
              <w:rPr>
                <w:rFonts w:ascii="Times New Roman" w:hAnsi="Times New Roman" w:cs="Times New Roman"/>
                <w:b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/>
                <w:szCs w:val="21"/>
                <w:lang w:bidi="ar"/>
              </w:rPr>
              <w:t>问题</w:t>
            </w:r>
            <w:r>
              <w:rPr>
                <w:rFonts w:hint="eastAsia" w:ascii="Times New Roman" w:hAnsi="Times New Roman" w:cs="Times New Roman"/>
                <w:b/>
                <w:szCs w:val="21"/>
                <w:lang w:bidi="ar"/>
              </w:rPr>
              <w:t>6</w:t>
            </w:r>
            <w:r>
              <w:rPr>
                <w:rFonts w:ascii="Times New Roman" w:hAnsi="Times New Roman" w:cs="Times New Roman"/>
                <w:b/>
                <w:szCs w:val="21"/>
                <w:lang w:bidi="ar"/>
              </w:rPr>
              <w:t>：</w:t>
            </w:r>
            <w:r>
              <w:rPr>
                <w:rFonts w:hint="eastAsia" w:ascii="Times New Roman" w:hAnsi="Times New Roman" w:cs="Times New Roman"/>
                <w:b/>
                <w:szCs w:val="21"/>
                <w:lang w:bidi="ar"/>
              </w:rPr>
              <w:t>叠层技术对于材料的需求变化，公司是否有材料验证？</w:t>
            </w:r>
          </w:p>
          <w:p w14:paraId="4C238F2D">
            <w:pPr>
              <w:spacing w:before="50" w:line="360" w:lineRule="auto"/>
              <w:ind w:firstLine="420" w:firstLineChars="200"/>
              <w:rPr>
                <w:rFonts w:ascii="Times New Roman" w:hAnsi="Times New Roman" w:cs="Times New Roman"/>
                <w:b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答：叠层OLED器件是由两个发光单元通过电荷产生层串联而成的新型OLED器件</w:t>
            </w:r>
            <w:r>
              <w:rPr>
                <w:rFonts w:hint="eastAsia" w:ascii="Times New Roman" w:hAnsi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具有亮度高、寿命长等优点</w:t>
            </w:r>
            <w:r>
              <w:rPr>
                <w:rFonts w:hint="eastAsia" w:ascii="Times New Roman" w:hAnsi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其结构是在目前OLED各功能层的基础上</w:t>
            </w:r>
            <w:r>
              <w:rPr>
                <w:rFonts w:hint="eastAsia" w:ascii="Times New Roman" w:hAnsi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新增连接两个发光单元的CGL层材料</w:t>
            </w:r>
            <w:r>
              <w:rPr>
                <w:rFonts w:hint="eastAsia" w:ascii="Times New Roman" w:hAnsi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起到产生电荷和传输电子的作用</w:t>
            </w:r>
            <w:r>
              <w:rPr>
                <w:rFonts w:hint="eastAsia" w:ascii="Times New Roman" w:hAnsi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发光层材料用量较单层OLED器件有所增加</w:t>
            </w:r>
            <w:r>
              <w:rPr>
                <w:rFonts w:hint="eastAsia" w:ascii="Times New Roman" w:hAnsi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，公司</w:t>
            </w:r>
            <w:r>
              <w:rPr>
                <w:rFonts w:ascii="Times New Roman" w:hAnsi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目前已有多支</w:t>
            </w:r>
            <w:r>
              <w:rPr>
                <w:rFonts w:hint="eastAsia" w:ascii="Times New Roman" w:hAnsi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CGL</w:t>
            </w:r>
            <w:r>
              <w:rPr>
                <w:rFonts w:ascii="Times New Roman" w:hAnsi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材料</w:t>
            </w:r>
            <w:r>
              <w:rPr>
                <w:rFonts w:hint="eastAsia" w:ascii="Times New Roman" w:hAnsi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及发光材料</w:t>
            </w:r>
            <w:r>
              <w:rPr>
                <w:rFonts w:ascii="Times New Roman" w:hAnsi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在客户端叠层OLED器件体系验证测试。</w:t>
            </w:r>
          </w:p>
          <w:p w14:paraId="22344E88">
            <w:pPr>
              <w:spacing w:before="50" w:line="360" w:lineRule="auto"/>
              <w:ind w:firstLine="422" w:firstLineChars="200"/>
              <w:rPr>
                <w:rFonts w:ascii="Times New Roman" w:hAnsi="Times New Roman" w:cs="Times New Roman"/>
                <w:b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/>
                <w:szCs w:val="21"/>
                <w:lang w:bidi="ar"/>
              </w:rPr>
              <w:t>问题</w:t>
            </w:r>
            <w:r>
              <w:rPr>
                <w:rFonts w:hint="eastAsia" w:ascii="Times New Roman" w:hAnsi="Times New Roman" w:cs="Times New Roman"/>
                <w:b/>
                <w:szCs w:val="21"/>
                <w:lang w:bidi="ar"/>
              </w:rPr>
              <w:t>7</w:t>
            </w:r>
            <w:r>
              <w:rPr>
                <w:rFonts w:ascii="Times New Roman" w:hAnsi="Times New Roman" w:cs="Times New Roman"/>
                <w:b/>
                <w:szCs w:val="21"/>
                <w:lang w:bidi="ar"/>
              </w:rPr>
              <w:t>：</w:t>
            </w:r>
            <w:r>
              <w:rPr>
                <w:rFonts w:hint="eastAsia" w:ascii="Times New Roman" w:hAnsi="Times New Roman" w:cs="Times New Roman"/>
                <w:b/>
                <w:szCs w:val="21"/>
                <w:lang w:bidi="ar"/>
              </w:rPr>
              <w:t>8.6代线对于材料的拉动</w:t>
            </w:r>
            <w:r>
              <w:rPr>
                <w:rFonts w:ascii="Times New Roman" w:hAnsi="Times New Roman" w:cs="Times New Roman"/>
                <w:b/>
                <w:szCs w:val="21"/>
                <w:lang w:bidi="ar"/>
              </w:rPr>
              <w:t>？</w:t>
            </w:r>
          </w:p>
          <w:p w14:paraId="2248633A">
            <w:pPr>
              <w:spacing w:before="50" w:line="360" w:lineRule="auto"/>
              <w:ind w:firstLine="420" w:firstLineChars="200"/>
              <w:rPr>
                <w:rFonts w:ascii="Times New Roman" w:hAnsi="Times New Roman" w:cs="Times New Roman"/>
                <w:b/>
                <w:szCs w:val="21"/>
                <w:highlight w:val="yellow"/>
                <w:lang w:bidi="ar"/>
              </w:rPr>
            </w:pPr>
            <w:r>
              <w:rPr>
                <w:rFonts w:ascii="Times New Roman" w:hAnsi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答：8.6代OLED生产线主要面向平板、</w:t>
            </w:r>
            <w:r>
              <w:rPr>
                <w:rFonts w:hint="eastAsia" w:ascii="Times New Roman" w:hAnsi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笔电</w:t>
            </w:r>
            <w:r>
              <w:rPr>
                <w:rFonts w:ascii="Times New Roman" w:hAnsi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等IT产品</w:t>
            </w:r>
            <w:r>
              <w:rPr>
                <w:rFonts w:hint="eastAsia" w:ascii="Times New Roman" w:hAnsi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及车载显示市场，其产线的投入将推动OLED从小尺寸向中大尺寸加速渗透，从而带动OLED材料需求的增长。苹果、华为等头部厂商陆续推出搭载AMOLED屏幕的平板电脑产品，苹果</w:t>
            </w:r>
            <w:r>
              <w:rPr>
                <w:rFonts w:hint="eastAsia"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最新</w:t>
            </w:r>
            <w:r>
              <w:rPr>
                <w:rFonts w:hint="eastAsia" w:ascii="Times New Roman" w:hAnsi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发布的iPad Pro配备双层串联OLED屏，如未来8.6代线采用OLED叠层技术，将进一步提升OLED材料的需求。</w:t>
            </w:r>
          </w:p>
          <w:p w14:paraId="7003AAEA">
            <w:pPr>
              <w:spacing w:before="50" w:line="360" w:lineRule="auto"/>
              <w:ind w:firstLine="422" w:firstLineChars="200"/>
              <w:rPr>
                <w:rFonts w:ascii="Times New Roman" w:hAnsi="Times New Roman" w:cs="Times New Roman"/>
                <w:b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/>
                <w:szCs w:val="21"/>
                <w:lang w:bidi="ar"/>
              </w:rPr>
              <w:t>问题</w:t>
            </w:r>
            <w:r>
              <w:rPr>
                <w:rFonts w:hint="eastAsia" w:ascii="Times New Roman" w:hAnsi="Times New Roman" w:cs="Times New Roman"/>
                <w:b/>
                <w:szCs w:val="21"/>
                <w:lang w:bidi="ar"/>
              </w:rPr>
              <w:t>8</w:t>
            </w:r>
            <w:r>
              <w:rPr>
                <w:rFonts w:ascii="Times New Roman" w:hAnsi="Times New Roman" w:cs="Times New Roman"/>
                <w:b/>
                <w:szCs w:val="21"/>
                <w:lang w:bidi="ar"/>
              </w:rPr>
              <w:t>：</w:t>
            </w:r>
            <w:r>
              <w:rPr>
                <w:rFonts w:hint="eastAsia" w:ascii="Times New Roman" w:hAnsi="Times New Roman" w:cs="Times New Roman"/>
                <w:b/>
                <w:szCs w:val="21"/>
                <w:lang w:bidi="ar"/>
              </w:rPr>
              <w:t>客户订单能见度多久？</w:t>
            </w:r>
          </w:p>
          <w:p w14:paraId="536FF297">
            <w:pPr>
              <w:spacing w:before="50" w:line="360" w:lineRule="auto"/>
              <w:ind w:firstLine="420" w:firstLineChars="200"/>
              <w:rPr>
                <w:rFonts w:ascii="Times New Roman" w:hAnsi="Times New Roman" w:cs="Times New Roman"/>
                <w:b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答：客户按季度下发需求预测并滚动更新</w:t>
            </w:r>
            <w:r>
              <w:rPr>
                <w:rFonts w:hint="eastAsia" w:ascii="Times New Roman" w:hAnsi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一般提前一个月正式下单</w:t>
            </w:r>
            <w:r>
              <w:rPr>
                <w:rFonts w:hint="eastAsia" w:ascii="Times New Roman" w:hAnsi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公司OLED终端材料订单能见度约为一个月</w:t>
            </w:r>
            <w:r>
              <w:rPr>
                <w:rFonts w:hint="eastAsia" w:ascii="Times New Roman" w:hAnsi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476579B0">
            <w:pPr>
              <w:spacing w:before="50" w:line="360" w:lineRule="auto"/>
              <w:ind w:firstLine="422" w:firstLineChars="200"/>
              <w:rPr>
                <w:rFonts w:ascii="Times New Roman" w:hAnsi="Times New Roman" w:cs="Times New Roman"/>
                <w:b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/>
                <w:szCs w:val="21"/>
                <w:lang w:bidi="ar"/>
              </w:rPr>
              <w:t>问题</w:t>
            </w:r>
            <w:r>
              <w:rPr>
                <w:rFonts w:hint="eastAsia" w:ascii="Times New Roman" w:hAnsi="Times New Roman" w:cs="Times New Roman"/>
                <w:b/>
                <w:szCs w:val="21"/>
                <w:lang w:val="en-US" w:eastAsia="zh-CN" w:bidi="ar"/>
              </w:rPr>
              <w:t>9</w:t>
            </w:r>
            <w:r>
              <w:rPr>
                <w:rFonts w:ascii="Times New Roman" w:hAnsi="Times New Roman" w:cs="Times New Roman"/>
                <w:b/>
                <w:szCs w:val="21"/>
                <w:lang w:bidi="ar"/>
              </w:rPr>
              <w:t>：</w:t>
            </w:r>
            <w:r>
              <w:rPr>
                <w:rFonts w:hint="eastAsia" w:ascii="Times New Roman" w:hAnsi="Times New Roman" w:cs="Times New Roman"/>
                <w:b/>
                <w:szCs w:val="21"/>
                <w:lang w:bidi="ar"/>
              </w:rPr>
              <w:t>公司OLED终端材料的产能规划？</w:t>
            </w:r>
          </w:p>
          <w:p w14:paraId="16DF41BE">
            <w:pPr>
              <w:spacing w:before="50" w:line="360" w:lineRule="auto"/>
              <w:ind w:firstLine="420" w:firstLineChars="200"/>
              <w:rPr>
                <w:rFonts w:ascii="Times New Roman" w:hAnsi="Times New Roman" w:cs="Times New Roman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答：</w:t>
            </w:r>
            <w:r>
              <w:rPr>
                <w:rFonts w:hint="eastAsia" w:ascii="Times New Roman" w:hAnsi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目前公司OLED终端材料产能12吨/年。</w:t>
            </w:r>
            <w:r>
              <w:rPr>
                <w:rFonts w:hint="eastAsia" w:ascii="Times New Roman" w:hAnsi="Times New Roman" w:cs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公司募投项目“OLED终端材料研发及产业化项目”部分生产及检测设备已完成安装调试及验收，达到预定可使用状态，后续公司将继续采用边建设边投用的原则，根据市场需求情况有序进行产能释放，确保及时完成客户订单交付。</w:t>
            </w:r>
          </w:p>
        </w:tc>
      </w:tr>
      <w:tr w14:paraId="06643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768C1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lang w:bidi="ar"/>
              </w:rPr>
              <w:t>是否涉及应当披露重大信息</w:t>
            </w:r>
          </w:p>
        </w:tc>
        <w:tc>
          <w:tcPr>
            <w:tcW w:w="8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BA313">
            <w:pPr>
              <w:widowControl/>
              <w:spacing w:before="156" w:beforeLines="50" w:after="156" w:afterLines="50" w:line="360" w:lineRule="auto"/>
              <w:jc w:val="left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  <w:lang w:bidi="ar"/>
              </w:rPr>
              <w:t>否</w:t>
            </w:r>
          </w:p>
        </w:tc>
      </w:tr>
      <w:tr w14:paraId="4DD0A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6BBCB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lang w:bidi="ar"/>
              </w:rPr>
              <w:t>附件清单（如有）</w:t>
            </w:r>
          </w:p>
        </w:tc>
        <w:tc>
          <w:tcPr>
            <w:tcW w:w="8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37049">
            <w:pPr>
              <w:widowControl/>
              <w:spacing w:before="156" w:beforeLines="50" w:after="156" w:afterLines="50" w:line="360" w:lineRule="auto"/>
              <w:jc w:val="left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Cs/>
                <w:sz w:val="24"/>
                <w:lang w:bidi="ar"/>
              </w:rPr>
              <w:t>《</w:t>
            </w:r>
            <w:r>
              <w:rPr>
                <w:rFonts w:ascii="Times New Roman" w:hAnsi="Times New Roman" w:cs="Times New Roman"/>
                <w:b w:val="0"/>
                <w:bCs/>
                <w:iCs/>
                <w:sz w:val="24"/>
                <w:lang w:bidi="ar"/>
              </w:rPr>
              <w:t>2024年</w:t>
            </w:r>
            <w:r>
              <w:rPr>
                <w:rFonts w:hint="eastAsia" w:ascii="Times New Roman" w:hAnsi="Times New Roman" w:cs="Times New Roman"/>
                <w:b w:val="0"/>
                <w:bCs/>
                <w:iCs/>
                <w:sz w:val="24"/>
                <w:lang w:bidi="ar"/>
              </w:rPr>
              <w:t>8月20日</w:t>
            </w:r>
            <w:r>
              <w:rPr>
                <w:rFonts w:hint="eastAsia" w:ascii="Times New Roman" w:hAnsi="Times New Roman" w:cs="Times New Roman"/>
                <w:b w:val="0"/>
                <w:bCs/>
                <w:iCs/>
                <w:sz w:val="24"/>
                <w:lang w:val="en-US" w:eastAsia="zh-CN" w:bidi="ar"/>
              </w:rPr>
              <w:t>-</w:t>
            </w:r>
            <w:r>
              <w:rPr>
                <w:rFonts w:ascii="Times New Roman" w:hAnsi="Times New Roman" w:cs="Times New Roman"/>
                <w:b w:val="0"/>
                <w:bCs/>
                <w:iCs/>
                <w:sz w:val="24"/>
                <w:lang w:bidi="ar"/>
              </w:rPr>
              <w:t>2024年</w:t>
            </w:r>
            <w:r>
              <w:rPr>
                <w:rFonts w:hint="eastAsia" w:ascii="Times New Roman" w:hAnsi="Times New Roman" w:cs="Times New Roman"/>
                <w:b w:val="0"/>
                <w:bCs/>
                <w:iCs/>
                <w:sz w:val="24"/>
                <w:lang w:bidi="ar"/>
              </w:rPr>
              <w:t>8月2</w:t>
            </w:r>
            <w:r>
              <w:rPr>
                <w:rFonts w:hint="eastAsia" w:ascii="Times New Roman" w:hAnsi="Times New Roman" w:cs="Times New Roman"/>
                <w:b w:val="0"/>
                <w:bCs/>
                <w:iCs/>
                <w:sz w:val="24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cs="Times New Roman"/>
                <w:b w:val="0"/>
                <w:bCs/>
                <w:iCs/>
                <w:sz w:val="24"/>
                <w:lang w:bidi="ar"/>
              </w:rPr>
              <w:t>日</w:t>
            </w:r>
            <w:r>
              <w:rPr>
                <w:rFonts w:hint="eastAsia" w:ascii="Times New Roman" w:hAnsi="Times New Roman" w:cs="Times New Roman"/>
                <w:b w:val="0"/>
                <w:bCs/>
                <w:iCs/>
                <w:sz w:val="24"/>
                <w:lang w:val="en-US" w:eastAsia="zh-CN" w:bidi="ar"/>
              </w:rPr>
              <w:t>参会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4"/>
                <w:szCs w:val="22"/>
                <w:lang w:bidi="ar"/>
              </w:rPr>
              <w:t>名单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Cs/>
                <w:sz w:val="24"/>
                <w:lang w:bidi="ar"/>
              </w:rPr>
              <w:t>》</w:t>
            </w:r>
          </w:p>
        </w:tc>
      </w:tr>
      <w:tr w14:paraId="01B30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CB199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lang w:bidi="ar"/>
              </w:rPr>
              <w:t>日期</w:t>
            </w:r>
          </w:p>
        </w:tc>
        <w:tc>
          <w:tcPr>
            <w:tcW w:w="8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C01F9">
            <w:pPr>
              <w:widowControl/>
              <w:spacing w:before="156" w:beforeLines="50" w:after="156" w:afterLines="50" w:line="360" w:lineRule="auto"/>
              <w:jc w:val="left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lang w:bidi="ar"/>
              </w:rPr>
              <w:t>2024年</w:t>
            </w:r>
            <w:r>
              <w:rPr>
                <w:rFonts w:hint="eastAsia" w:ascii="Times New Roman" w:hAnsi="Times New Roman" w:cs="Times New Roman"/>
                <w:iCs/>
                <w:sz w:val="24"/>
                <w:lang w:bidi="ar"/>
              </w:rPr>
              <w:t>8</w:t>
            </w:r>
            <w:r>
              <w:rPr>
                <w:rFonts w:ascii="Times New Roman" w:hAnsi="Times New Roman" w:cs="Times New Roman"/>
                <w:iCs/>
                <w:sz w:val="24"/>
                <w:lang w:bidi="ar"/>
              </w:rPr>
              <w:t>月</w:t>
            </w:r>
            <w:r>
              <w:rPr>
                <w:rFonts w:hint="eastAsia" w:ascii="Times New Roman" w:hAnsi="Times New Roman" w:cs="Times New Roman"/>
                <w:iCs/>
                <w:sz w:val="24"/>
                <w:lang w:bidi="ar"/>
              </w:rPr>
              <w:t>2</w:t>
            </w:r>
            <w:r>
              <w:rPr>
                <w:rFonts w:hint="eastAsia" w:ascii="Times New Roman" w:hAnsi="Times New Roman" w:cs="Times New Roman"/>
                <w:iCs/>
                <w:sz w:val="24"/>
                <w:lang w:val="en-US" w:eastAsia="zh-CN" w:bidi="ar"/>
              </w:rPr>
              <w:t>2</w:t>
            </w:r>
            <w:r>
              <w:rPr>
                <w:rFonts w:ascii="Times New Roman" w:hAnsi="Times New Roman" w:cs="Times New Roman"/>
                <w:iCs/>
                <w:sz w:val="24"/>
                <w:lang w:bidi="ar"/>
              </w:rPr>
              <w:t>日</w:t>
            </w:r>
          </w:p>
        </w:tc>
      </w:tr>
    </w:tbl>
    <w:p w14:paraId="71215C95">
      <w:pPr>
        <w:widowControl/>
        <w:jc w:val="left"/>
        <w:rPr>
          <w:rFonts w:ascii="Times New Roman" w:hAnsi="Times New Roman" w:cs="Times New Roman"/>
        </w:rPr>
      </w:pPr>
    </w:p>
    <w:p w14:paraId="61DE005F">
      <w:r>
        <w:br w:type="page"/>
      </w:r>
    </w:p>
    <w:p w14:paraId="72EBC99E">
      <w:pPr>
        <w:widowControl/>
        <w:jc w:val="left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eastAsia="宋体" w:cs="Times New Roman"/>
          <w:b/>
          <w:sz w:val="24"/>
          <w:lang w:bidi="ar"/>
        </w:rPr>
        <w:t>附件：</w:t>
      </w:r>
    </w:p>
    <w:p w14:paraId="789ACEA0">
      <w:pPr>
        <w:widowControl/>
        <w:spacing w:before="156" w:beforeLines="50" w:after="156" w:afterLines="50" w:line="360" w:lineRule="auto"/>
        <w:jc w:val="center"/>
        <w:rPr>
          <w:rFonts w:ascii="Times New Roman" w:hAnsi="Times New Roman" w:cs="Times New Roman"/>
          <w:b/>
          <w:bCs w:val="0"/>
          <w:sz w:val="24"/>
          <w:szCs w:val="22"/>
        </w:rPr>
      </w:pPr>
      <w:r>
        <w:rPr>
          <w:rFonts w:ascii="Times New Roman" w:hAnsi="Times New Roman" w:cs="Times New Roman"/>
          <w:b/>
          <w:bCs w:val="0"/>
          <w:iCs/>
          <w:sz w:val="24"/>
          <w:lang w:bidi="ar"/>
        </w:rPr>
        <w:t>2024年</w:t>
      </w:r>
      <w:r>
        <w:rPr>
          <w:rFonts w:hint="eastAsia" w:ascii="Times New Roman" w:hAnsi="Times New Roman" w:cs="Times New Roman"/>
          <w:b/>
          <w:bCs w:val="0"/>
          <w:iCs/>
          <w:sz w:val="24"/>
          <w:lang w:bidi="ar"/>
        </w:rPr>
        <w:t>8月20日</w:t>
      </w:r>
      <w:r>
        <w:rPr>
          <w:rFonts w:hint="eastAsia" w:ascii="Times New Roman" w:hAnsi="Times New Roman" w:cs="Times New Roman"/>
          <w:b/>
          <w:bCs w:val="0"/>
          <w:iCs/>
          <w:sz w:val="24"/>
          <w:lang w:val="en-US" w:eastAsia="zh-CN" w:bidi="ar"/>
        </w:rPr>
        <w:t>-</w:t>
      </w:r>
      <w:r>
        <w:rPr>
          <w:rFonts w:ascii="Times New Roman" w:hAnsi="Times New Roman" w:cs="Times New Roman"/>
          <w:b/>
          <w:bCs w:val="0"/>
          <w:iCs/>
          <w:sz w:val="24"/>
          <w:lang w:bidi="ar"/>
        </w:rPr>
        <w:t>2024年</w:t>
      </w:r>
      <w:r>
        <w:rPr>
          <w:rFonts w:hint="eastAsia" w:ascii="Times New Roman" w:hAnsi="Times New Roman" w:cs="Times New Roman"/>
          <w:b/>
          <w:bCs w:val="0"/>
          <w:iCs/>
          <w:sz w:val="24"/>
          <w:lang w:bidi="ar"/>
        </w:rPr>
        <w:t>8月2</w:t>
      </w:r>
      <w:r>
        <w:rPr>
          <w:rFonts w:hint="eastAsia" w:ascii="Times New Roman" w:hAnsi="Times New Roman" w:cs="Times New Roman"/>
          <w:b/>
          <w:bCs w:val="0"/>
          <w:iCs/>
          <w:sz w:val="24"/>
          <w:lang w:val="en-US" w:eastAsia="zh-CN" w:bidi="ar"/>
        </w:rPr>
        <w:t>2</w:t>
      </w:r>
      <w:r>
        <w:rPr>
          <w:rFonts w:hint="eastAsia" w:ascii="Times New Roman" w:hAnsi="Times New Roman" w:cs="Times New Roman"/>
          <w:b/>
          <w:bCs w:val="0"/>
          <w:iCs/>
          <w:sz w:val="24"/>
          <w:lang w:bidi="ar"/>
        </w:rPr>
        <w:t>日</w:t>
      </w:r>
      <w:r>
        <w:rPr>
          <w:rFonts w:hint="eastAsia" w:ascii="Times New Roman" w:hAnsi="Times New Roman" w:eastAsia="宋体" w:cs="Times New Roman"/>
          <w:b/>
          <w:bCs w:val="0"/>
          <w:sz w:val="24"/>
          <w:szCs w:val="22"/>
          <w:lang w:bidi="ar"/>
        </w:rPr>
        <w:t>参会名单</w:t>
      </w:r>
    </w:p>
    <w:tbl>
      <w:tblPr>
        <w:tblStyle w:val="3"/>
        <w:tblW w:w="92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"/>
        <w:gridCol w:w="5147"/>
        <w:gridCol w:w="3076"/>
      </w:tblGrid>
      <w:tr w14:paraId="011F4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BE5F1"/>
            <w:vAlign w:val="center"/>
          </w:tcPr>
          <w:p w14:paraId="66C50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2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DBE5F1"/>
            <w:vAlign w:val="center"/>
          </w:tcPr>
          <w:p w14:paraId="02C79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29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DBE5F1"/>
            <w:vAlign w:val="center"/>
          </w:tcPr>
          <w:p w14:paraId="615FF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参与人员姓名</w:t>
            </w:r>
          </w:p>
        </w:tc>
      </w:tr>
      <w:tr w14:paraId="04004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27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FE2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天弘基金管理有限公司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41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刘智超</w:t>
            </w:r>
          </w:p>
        </w:tc>
      </w:tr>
      <w:tr w14:paraId="26467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FD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6A3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北京弘宝私募基金管理有限公司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43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商佳佳</w:t>
            </w:r>
          </w:p>
        </w:tc>
      </w:tr>
      <w:tr w14:paraId="63681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E0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C64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新华基金管理股份有限公司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D8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李业彬</w:t>
            </w:r>
          </w:p>
        </w:tc>
      </w:tr>
      <w:tr w14:paraId="35883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5B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B27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万家基金管理有限公司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82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沈少捷</w:t>
            </w:r>
          </w:p>
        </w:tc>
      </w:tr>
      <w:tr w14:paraId="7F151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9F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2EE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浦银安盛基金管理有限公司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2E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朱胜波</w:t>
            </w:r>
          </w:p>
        </w:tc>
      </w:tr>
      <w:tr w14:paraId="31EC4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7A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CF2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中国国际金融股份有限公司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31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陈琛</w:t>
            </w:r>
          </w:p>
        </w:tc>
      </w:tr>
      <w:tr w14:paraId="5AFD0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DE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23B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南方基金管理股份有限公司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58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郑勇</w:t>
            </w:r>
          </w:p>
        </w:tc>
      </w:tr>
      <w:tr w14:paraId="44515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F5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DD3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国泰基金管理有限公司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16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朱义</w:t>
            </w:r>
          </w:p>
        </w:tc>
      </w:tr>
      <w:tr w14:paraId="2F2E9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D3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B1C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招商基金管理有限公司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FA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牛洪乾</w:t>
            </w:r>
          </w:p>
        </w:tc>
      </w:tr>
      <w:tr w14:paraId="1EC17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A0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318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兴证全球基金管理有限公司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CC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夏斯亭</w:t>
            </w:r>
          </w:p>
        </w:tc>
      </w:tr>
      <w:tr w14:paraId="60E14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CB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C7E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东方基金管理股份有限公司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80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梁忻</w:t>
            </w:r>
          </w:p>
        </w:tc>
      </w:tr>
      <w:tr w14:paraId="1AEF2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00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490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中国人寿资产管理有限公司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B5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刘卓炜</w:t>
            </w:r>
          </w:p>
        </w:tc>
      </w:tr>
      <w:tr w14:paraId="7B782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49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BFF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上海万丰友方投资管理有限公司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06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张荣福</w:t>
            </w:r>
          </w:p>
        </w:tc>
      </w:tr>
      <w:tr w14:paraId="5C891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29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41B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长安基金管理有限公司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A9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徐小勇</w:t>
            </w:r>
          </w:p>
        </w:tc>
      </w:tr>
      <w:tr w14:paraId="1485C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FC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300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深圳市尚诚资产管理有限责任公司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FE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黄向前</w:t>
            </w:r>
          </w:p>
        </w:tc>
      </w:tr>
      <w:tr w14:paraId="4929C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8B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C6D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深圳市景泰利丰投资发展有限公司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DC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邹军辉</w:t>
            </w:r>
          </w:p>
        </w:tc>
      </w:tr>
      <w:tr w14:paraId="2B68A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B2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168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28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武星岑,周莞翔</w:t>
            </w:r>
          </w:p>
        </w:tc>
      </w:tr>
      <w:tr w14:paraId="3506C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B7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CB4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科威特政府投资局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1B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杨镒繁</w:t>
            </w:r>
          </w:p>
        </w:tc>
      </w:tr>
      <w:tr w14:paraId="408F4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18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957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上海名禹资产管理有限公司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4D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倪祯珉</w:t>
            </w:r>
          </w:p>
        </w:tc>
      </w:tr>
      <w:tr w14:paraId="49E7C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25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BD3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九泰基金管理有限公司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3C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赵万隆</w:t>
            </w:r>
          </w:p>
        </w:tc>
      </w:tr>
      <w:tr w14:paraId="4E2C6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0E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FAE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湖南源乘私募基金管理有限公司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CC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苏柳竹</w:t>
            </w:r>
          </w:p>
        </w:tc>
      </w:tr>
      <w:tr w14:paraId="56D04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64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34E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东方证券股份有限公司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D0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郭哲</w:t>
            </w:r>
          </w:p>
        </w:tc>
      </w:tr>
      <w:tr w14:paraId="62FCF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05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8FA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北京沣沛投资管理有限公司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FE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孙冠球</w:t>
            </w:r>
          </w:p>
        </w:tc>
      </w:tr>
      <w:tr w14:paraId="56EA9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0E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97B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北京成泉资本管理有限公司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D2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王海斌</w:t>
            </w:r>
          </w:p>
        </w:tc>
      </w:tr>
      <w:tr w14:paraId="59374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81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EDF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广东民营投资股份有限公司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9D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唐玉堂</w:t>
            </w:r>
          </w:p>
        </w:tc>
      </w:tr>
      <w:tr w14:paraId="04204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CF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DB9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中金基金管理有限公司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28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汪洋</w:t>
            </w:r>
          </w:p>
        </w:tc>
      </w:tr>
      <w:tr w14:paraId="1C5A3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55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0A2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深圳市榕树投资管理有限公司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05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李敏生</w:t>
            </w:r>
          </w:p>
        </w:tc>
      </w:tr>
      <w:tr w14:paraId="72F87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68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B17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珠海横琴粤信投资有限公司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49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陈金红</w:t>
            </w:r>
          </w:p>
        </w:tc>
      </w:tr>
      <w:tr w14:paraId="1FF5A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FD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C3E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中信证券股权衍生品业务线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C8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柳伟</w:t>
            </w:r>
          </w:p>
        </w:tc>
      </w:tr>
      <w:tr w14:paraId="3A2AB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65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36D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上汽颀臻（上海）资产管理有限公司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E5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沈怡雯</w:t>
            </w:r>
          </w:p>
        </w:tc>
      </w:tr>
      <w:tr w14:paraId="598C7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1A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355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杭州锦成盛资产管理有限公司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CD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王懿晨</w:t>
            </w:r>
          </w:p>
        </w:tc>
      </w:tr>
      <w:tr w14:paraId="089A3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72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81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上海于翼资产管理合伙企业（有限合伙）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FE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郑晓明</w:t>
            </w:r>
          </w:p>
        </w:tc>
      </w:tr>
      <w:tr w14:paraId="17CEF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20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430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交银理财有限责任公司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94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袁东学</w:t>
            </w:r>
          </w:p>
        </w:tc>
      </w:tr>
      <w:tr w14:paraId="3C1E5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51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5B3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广州市航长投资管理有限公司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95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麦浩明</w:t>
            </w:r>
          </w:p>
        </w:tc>
      </w:tr>
      <w:tr w14:paraId="5EB82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97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1EE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深圳创富兆业金融管理有限公司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D5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吴贇宇</w:t>
            </w:r>
          </w:p>
        </w:tc>
      </w:tr>
      <w:tr w14:paraId="19BCF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52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8D8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红杉中国投资管理有限公司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07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闫慧辰</w:t>
            </w:r>
          </w:p>
        </w:tc>
      </w:tr>
      <w:tr w14:paraId="0FDA7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BC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4D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经纬创投（北京）投资管理顾问有限公司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93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蒲妮,董文婷</w:t>
            </w:r>
          </w:p>
        </w:tc>
      </w:tr>
      <w:tr w14:paraId="1014C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75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173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才华资本管理有限公司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88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唐毅</w:t>
            </w:r>
          </w:p>
        </w:tc>
      </w:tr>
      <w:tr w14:paraId="33963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C6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ACD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百川财富（北京）投资管理有限公司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44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唐琪</w:t>
            </w:r>
          </w:p>
        </w:tc>
      </w:tr>
      <w:tr w14:paraId="7D29A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D8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26B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江苏第五公理投资管理有限公司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0F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郭雷雨</w:t>
            </w:r>
          </w:p>
        </w:tc>
      </w:tr>
      <w:tr w14:paraId="2D438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70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D14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上海壹德资产管理有限公司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AC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项光隆</w:t>
            </w:r>
          </w:p>
        </w:tc>
      </w:tr>
      <w:tr w14:paraId="2837E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E5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133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长安汇通私募基金管理有限公司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EF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廖泽略</w:t>
            </w:r>
          </w:p>
        </w:tc>
      </w:tr>
      <w:tr w14:paraId="7AA4E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0F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EE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上海道合私募基金管理有限公司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35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余湛</w:t>
            </w:r>
          </w:p>
        </w:tc>
      </w:tr>
      <w:tr w14:paraId="41052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87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F7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海金（大连）投资管理有限公司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7C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蔡荣转</w:t>
            </w:r>
          </w:p>
        </w:tc>
      </w:tr>
      <w:tr w14:paraId="36667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64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AA5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远信（珠海）私募基金管理有限公司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66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杨大志</w:t>
            </w:r>
          </w:p>
        </w:tc>
      </w:tr>
      <w:tr w14:paraId="5A7F6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47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79E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上海水璞私募基金管理中心（有限合伙）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3F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王华</w:t>
            </w:r>
          </w:p>
        </w:tc>
      </w:tr>
      <w:tr w14:paraId="7CAA1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2C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330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上海紫阁投资管理有限公司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D0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滕兆杰</w:t>
            </w:r>
          </w:p>
        </w:tc>
      </w:tr>
      <w:tr w14:paraId="238F2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C5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46B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海南鑫焱创业投资有限公司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79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陈洪</w:t>
            </w:r>
          </w:p>
        </w:tc>
      </w:tr>
      <w:tr w14:paraId="71A7E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D3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150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招商资产管理（香港）有限公司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F0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吴彤</w:t>
            </w:r>
          </w:p>
        </w:tc>
      </w:tr>
      <w:tr w14:paraId="48791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B2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F41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闻天私募证券投资基金管理（广州）有限公司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41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张炜兵,梁悦芹</w:t>
            </w:r>
          </w:p>
        </w:tc>
      </w:tr>
      <w:tr w14:paraId="2983F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AB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14A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西安瀑布资产管理有限公司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2A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杨森</w:t>
            </w:r>
          </w:p>
        </w:tc>
      </w:tr>
      <w:tr w14:paraId="210B4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91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8EB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青岛韬观投资管理有限公司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AE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李佩柯,徐欢</w:t>
            </w:r>
          </w:p>
        </w:tc>
      </w:tr>
      <w:tr w14:paraId="1C52F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83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100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深圳茗晖基金管理有限公司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D6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李艾武</w:t>
            </w:r>
          </w:p>
        </w:tc>
      </w:tr>
      <w:tr w14:paraId="01066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FF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A43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诺安基金管理有限公司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49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周小琪,李晓杰</w:t>
            </w:r>
          </w:p>
        </w:tc>
      </w:tr>
      <w:tr w14:paraId="16F73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09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004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中信证券股份有限公司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4A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陈旺</w:t>
            </w:r>
          </w:p>
        </w:tc>
      </w:tr>
      <w:tr w14:paraId="136BA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63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A51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平安证券股份有限公司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DD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陈福栋、徐勇</w:t>
            </w:r>
          </w:p>
        </w:tc>
      </w:tr>
      <w:tr w14:paraId="20773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9D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542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永赢基金管理有限公司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A4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欧子辰</w:t>
            </w:r>
          </w:p>
        </w:tc>
      </w:tr>
      <w:tr w14:paraId="02559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2D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282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华夏基金管理有限公司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94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彭锐哲、张俊、林晶、王晓李</w:t>
            </w:r>
          </w:p>
        </w:tc>
      </w:tr>
      <w:tr w14:paraId="44518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8F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323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30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刘博文</w:t>
            </w:r>
          </w:p>
        </w:tc>
      </w:tr>
      <w:tr w14:paraId="4DB7F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6B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1DA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浙商证券股份有限公司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41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王凌涛、梁艺</w:t>
            </w:r>
          </w:p>
        </w:tc>
      </w:tr>
    </w:tbl>
    <w:p w14:paraId="5DD6BAC3"/>
    <w:sectPr>
      <w:pgSz w:w="11906" w:h="16838"/>
      <w:pgMar w:top="1135" w:right="1135" w:bottom="851" w:left="113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sans-serif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AE5215"/>
    <w:multiLevelType w:val="singleLevel"/>
    <w:tmpl w:val="63AE521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lNTc1ZTljNDAyZWZmMjY1MGU1Yjg1NzBlODhmZmMifQ=="/>
  </w:docVars>
  <w:rsids>
    <w:rsidRoot w:val="7D3F6A40"/>
    <w:rsid w:val="005E6AC1"/>
    <w:rsid w:val="009222A0"/>
    <w:rsid w:val="00BA7AC1"/>
    <w:rsid w:val="00D96368"/>
    <w:rsid w:val="00ED4AFD"/>
    <w:rsid w:val="010A478A"/>
    <w:rsid w:val="02541247"/>
    <w:rsid w:val="043A7135"/>
    <w:rsid w:val="04473A61"/>
    <w:rsid w:val="0B1C57E6"/>
    <w:rsid w:val="13256902"/>
    <w:rsid w:val="1A2D4791"/>
    <w:rsid w:val="1FD57CEC"/>
    <w:rsid w:val="21E7182E"/>
    <w:rsid w:val="231855DA"/>
    <w:rsid w:val="250963F9"/>
    <w:rsid w:val="28BF3100"/>
    <w:rsid w:val="2D74208E"/>
    <w:rsid w:val="30906284"/>
    <w:rsid w:val="31877D2A"/>
    <w:rsid w:val="320B17DC"/>
    <w:rsid w:val="39D505B7"/>
    <w:rsid w:val="40B57568"/>
    <w:rsid w:val="41F32814"/>
    <w:rsid w:val="42B35204"/>
    <w:rsid w:val="44896D41"/>
    <w:rsid w:val="4CAE1A3B"/>
    <w:rsid w:val="4CBD1C7E"/>
    <w:rsid w:val="4D935DE7"/>
    <w:rsid w:val="51424597"/>
    <w:rsid w:val="51D51818"/>
    <w:rsid w:val="535B2AB3"/>
    <w:rsid w:val="54270FD0"/>
    <w:rsid w:val="5E6617A9"/>
    <w:rsid w:val="61AF3E33"/>
    <w:rsid w:val="63AC47EB"/>
    <w:rsid w:val="664A412A"/>
    <w:rsid w:val="68264723"/>
    <w:rsid w:val="6B3F780D"/>
    <w:rsid w:val="6D716441"/>
    <w:rsid w:val="6F3A0074"/>
    <w:rsid w:val="7783749C"/>
    <w:rsid w:val="77A26E17"/>
    <w:rsid w:val="7D3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3570</Words>
  <Characters>4015</Characters>
  <Lines>31</Lines>
  <Paragraphs>8</Paragraphs>
  <TotalTime>19</TotalTime>
  <ScaleCrop>false</ScaleCrop>
  <LinksUpToDate>false</LinksUpToDate>
  <CharactersWithSpaces>4146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2024-08-20T03:50:00Z</dcterms:created>
  <dc:creator>张尊睿</dc:creator>
  <cp:lastModifiedBy>婷</cp:lastModifiedBy>
  <dcterms:modified xsi:type="dcterms:W3CDTF">2024-08-22T09:24:54Z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C8B65ECD94244BA89036821799A2A06D_13</vt:lpwstr>
  </property>
</Properties>
</file>