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74AD" w:rsidRDefault="0052291E">
      <w:pPr>
        <w:spacing w:beforeLines="50" w:before="156" w:afterLines="50" w:after="156" w:line="400" w:lineRule="exact"/>
        <w:rPr>
          <w:rFonts w:ascii="宋体" w:eastAsia="宋体" w:hAnsi="宋体" w:cs="Times New Roman"/>
          <w:bCs/>
          <w:iCs/>
          <w:color w:val="000000"/>
          <w:sz w:val="28"/>
        </w:rPr>
      </w:pPr>
      <w:r>
        <w:rPr>
          <w:rFonts w:ascii="宋体" w:eastAsia="宋体" w:hAnsi="宋体" w:cs="Times New Roman" w:hint="eastAsia"/>
          <w:bCs/>
          <w:iCs/>
          <w:color w:val="000000"/>
          <w:sz w:val="28"/>
        </w:rPr>
        <w:t>证券代码：</w:t>
      </w:r>
      <w:r>
        <w:rPr>
          <w:rFonts w:ascii="宋体" w:eastAsia="宋体" w:hAnsi="宋体" w:cs="Times New Roman"/>
          <w:bCs/>
          <w:iCs/>
          <w:color w:val="000000"/>
          <w:sz w:val="28"/>
        </w:rPr>
        <w:t>688</w:t>
      </w:r>
      <w:r>
        <w:rPr>
          <w:rFonts w:ascii="宋体" w:eastAsia="宋体" w:hAnsi="宋体" w:cs="Times New Roman" w:hint="eastAsia"/>
          <w:bCs/>
          <w:iCs/>
          <w:color w:val="000000"/>
          <w:sz w:val="28"/>
        </w:rPr>
        <w:t>5</w:t>
      </w:r>
      <w:r>
        <w:rPr>
          <w:rFonts w:ascii="宋体" w:eastAsia="宋体" w:hAnsi="宋体" w:cs="Times New Roman"/>
          <w:bCs/>
          <w:iCs/>
          <w:color w:val="000000"/>
          <w:sz w:val="28"/>
        </w:rPr>
        <w:t>95</w:t>
      </w:r>
      <w:r>
        <w:rPr>
          <w:rFonts w:ascii="宋体" w:eastAsia="宋体" w:hAnsi="宋体" w:cs="Times New Roman" w:hint="eastAsia"/>
          <w:bCs/>
          <w:iCs/>
          <w:color w:val="000000"/>
          <w:sz w:val="28"/>
        </w:rPr>
        <w:t xml:space="preserve">                        </w:t>
      </w:r>
      <w:r>
        <w:rPr>
          <w:rFonts w:ascii="宋体" w:eastAsia="宋体" w:hAnsi="宋体" w:cs="Times New Roman" w:hint="eastAsia"/>
          <w:bCs/>
          <w:iCs/>
          <w:color w:val="000000"/>
          <w:sz w:val="28"/>
        </w:rPr>
        <w:t>证券简称：</w:t>
      </w:r>
      <w:proofErr w:type="gramStart"/>
      <w:r>
        <w:rPr>
          <w:rFonts w:ascii="宋体" w:eastAsia="宋体" w:hAnsi="宋体" w:cs="Times New Roman" w:hint="eastAsia"/>
          <w:bCs/>
          <w:iCs/>
          <w:color w:val="000000"/>
          <w:sz w:val="28"/>
        </w:rPr>
        <w:t>芯海科技</w:t>
      </w:r>
      <w:proofErr w:type="gramEnd"/>
    </w:p>
    <w:p w:rsidR="006774AD" w:rsidRDefault="006774AD">
      <w:pPr>
        <w:spacing w:beforeLines="50" w:before="156" w:afterLines="50" w:after="156" w:line="400" w:lineRule="exact"/>
        <w:jc w:val="center"/>
        <w:rPr>
          <w:rFonts w:ascii="宋体" w:eastAsia="宋体" w:hAnsi="宋体" w:cs="Times New Roman"/>
          <w:b/>
          <w:bCs/>
          <w:iCs/>
          <w:color w:val="000000"/>
          <w:sz w:val="32"/>
          <w:szCs w:val="32"/>
        </w:rPr>
      </w:pPr>
    </w:p>
    <w:p w:rsidR="006774AD" w:rsidRDefault="0052291E">
      <w:pPr>
        <w:spacing w:beforeLines="50" w:before="156" w:afterLines="50" w:after="156" w:line="400" w:lineRule="exact"/>
        <w:jc w:val="center"/>
        <w:rPr>
          <w:rFonts w:ascii="宋体" w:eastAsia="宋体" w:hAnsi="宋体" w:cs="Times New Roman"/>
          <w:b/>
          <w:bCs/>
          <w:iCs/>
          <w:color w:val="000000"/>
          <w:sz w:val="32"/>
          <w:szCs w:val="32"/>
        </w:rPr>
      </w:pPr>
      <w:proofErr w:type="gramStart"/>
      <w:r>
        <w:rPr>
          <w:rFonts w:ascii="宋体" w:eastAsia="宋体" w:hAnsi="宋体" w:cs="Times New Roman" w:hint="eastAsia"/>
          <w:b/>
          <w:bCs/>
          <w:iCs/>
          <w:color w:val="000000"/>
          <w:sz w:val="32"/>
          <w:szCs w:val="32"/>
        </w:rPr>
        <w:t>芯海科技</w:t>
      </w:r>
      <w:proofErr w:type="gramEnd"/>
      <w:r>
        <w:rPr>
          <w:rFonts w:ascii="宋体" w:eastAsia="宋体" w:hAnsi="宋体" w:cs="Times New Roman" w:hint="eastAsia"/>
          <w:b/>
          <w:bCs/>
          <w:iCs/>
          <w:color w:val="000000"/>
          <w:sz w:val="32"/>
          <w:szCs w:val="32"/>
        </w:rPr>
        <w:t>（深圳）股份有限公司</w:t>
      </w:r>
    </w:p>
    <w:p w:rsidR="006774AD" w:rsidRDefault="0052291E">
      <w:pPr>
        <w:spacing w:beforeLines="50" w:before="156" w:afterLines="50" w:after="156" w:line="400" w:lineRule="exact"/>
        <w:jc w:val="center"/>
        <w:rPr>
          <w:rFonts w:ascii="宋体" w:eastAsia="宋体" w:hAnsi="宋体" w:cs="Times New Roman"/>
          <w:b/>
          <w:bCs/>
          <w:iCs/>
          <w:color w:val="000000"/>
          <w:sz w:val="32"/>
          <w:szCs w:val="32"/>
        </w:rPr>
      </w:pPr>
      <w:r>
        <w:rPr>
          <w:rFonts w:ascii="宋体" w:eastAsia="宋体" w:hAnsi="宋体" w:cs="Times New Roman" w:hint="eastAsia"/>
          <w:b/>
          <w:bCs/>
          <w:iCs/>
          <w:color w:val="000000"/>
          <w:sz w:val="32"/>
          <w:szCs w:val="32"/>
        </w:rPr>
        <w:t>投资者关系活动记录表</w:t>
      </w:r>
    </w:p>
    <w:p w:rsidR="006774AD" w:rsidRDefault="0052291E">
      <w:pPr>
        <w:spacing w:line="400" w:lineRule="exact"/>
        <w:rPr>
          <w:rFonts w:ascii="宋体" w:eastAsia="宋体" w:hAnsi="宋体" w:cs="Times New Roman"/>
          <w:bCs/>
          <w:iCs/>
          <w:color w:val="000000"/>
          <w:sz w:val="24"/>
        </w:rPr>
      </w:pPr>
      <w:r>
        <w:rPr>
          <w:rFonts w:ascii="宋体" w:eastAsia="宋体" w:hAnsi="宋体" w:cs="Times New Roman" w:hint="eastAsia"/>
          <w:bCs/>
          <w:iCs/>
          <w:color w:val="000000"/>
          <w:sz w:val="24"/>
        </w:rPr>
        <w:t xml:space="preserve">                                                   </w:t>
      </w:r>
      <w:r>
        <w:rPr>
          <w:rFonts w:ascii="宋体" w:eastAsia="宋体" w:hAnsi="宋体" w:cs="Times New Roman" w:hint="eastAsia"/>
          <w:bCs/>
          <w:iCs/>
          <w:color w:val="000000"/>
          <w:sz w:val="24"/>
        </w:rPr>
        <w:t>编号：</w:t>
      </w:r>
      <w:r>
        <w:rPr>
          <w:rFonts w:ascii="宋体" w:eastAsia="宋体" w:hAnsi="宋体" w:cs="Times New Roman" w:hint="eastAsia"/>
          <w:bCs/>
          <w:iCs/>
          <w:color w:val="000000"/>
          <w:sz w:val="24"/>
        </w:rPr>
        <w:t>2</w:t>
      </w:r>
      <w:r>
        <w:rPr>
          <w:rFonts w:ascii="宋体" w:eastAsia="宋体" w:hAnsi="宋体" w:cs="Times New Roman"/>
          <w:bCs/>
          <w:iCs/>
          <w:color w:val="000000"/>
          <w:sz w:val="24"/>
        </w:rPr>
        <w:t>024</w:t>
      </w:r>
      <w:r>
        <w:rPr>
          <w:rFonts w:ascii="宋体" w:eastAsia="宋体" w:hAnsi="宋体" w:cs="Times New Roman" w:hint="eastAsia"/>
          <w:bCs/>
          <w:iCs/>
          <w:color w:val="000000"/>
          <w:sz w:val="24"/>
        </w:rPr>
        <w:t>-</w:t>
      </w:r>
      <w:r>
        <w:rPr>
          <w:rFonts w:ascii="宋体" w:eastAsia="宋体" w:hAnsi="宋体" w:cs="Times New Roman"/>
          <w:bCs/>
          <w:iCs/>
          <w:color w:val="000000"/>
          <w:sz w:val="24"/>
        </w:rPr>
        <w:t>008</w:t>
      </w:r>
    </w:p>
    <w:tbl>
      <w:tblPr>
        <w:tblW w:w="107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0"/>
        <w:gridCol w:w="4045"/>
        <w:gridCol w:w="2346"/>
        <w:gridCol w:w="2904"/>
      </w:tblGrid>
      <w:tr w:rsidR="006774AD" w:rsidTr="0052291E">
        <w:trPr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4AD" w:rsidRDefault="0052291E">
            <w:pPr>
              <w:jc w:val="center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投资者关系活动类别</w:t>
            </w:r>
          </w:p>
        </w:tc>
        <w:tc>
          <w:tcPr>
            <w:tcW w:w="9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4AD" w:rsidRDefault="0052291E">
            <w:pPr>
              <w:spacing w:line="480" w:lineRule="atLeast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特定对象调研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     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分析师会议</w:t>
            </w:r>
          </w:p>
          <w:p w:rsidR="006774AD" w:rsidRDefault="0052291E">
            <w:pPr>
              <w:spacing w:line="480" w:lineRule="atLeast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媒体采访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         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业绩说明会</w:t>
            </w:r>
          </w:p>
          <w:p w:rsidR="006774AD" w:rsidRDefault="0052291E">
            <w:pPr>
              <w:spacing w:line="480" w:lineRule="atLeast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□新闻发布会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 xml:space="preserve">          </w:t>
            </w:r>
            <w:r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□路演活动</w:t>
            </w:r>
          </w:p>
          <w:p w:rsidR="006774AD" w:rsidRDefault="0052291E">
            <w:pPr>
              <w:spacing w:line="480" w:lineRule="atLeast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□现场参观</w:t>
            </w:r>
            <w:r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 xml:space="preserve">             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■电话会议</w:t>
            </w:r>
          </w:p>
          <w:p w:rsidR="006774AD" w:rsidRDefault="0052291E">
            <w:pPr>
              <w:tabs>
                <w:tab w:val="left" w:pos="2808"/>
                <w:tab w:val="center" w:pos="3199"/>
              </w:tabs>
              <w:spacing w:line="480" w:lineRule="atLeast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□其他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 xml:space="preserve"> </w:t>
            </w:r>
          </w:p>
        </w:tc>
      </w:tr>
      <w:tr w:rsidR="006774AD" w:rsidTr="0052291E">
        <w:trPr>
          <w:trHeight w:val="90"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4AD" w:rsidRDefault="0052291E">
            <w:pPr>
              <w:jc w:val="center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日期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/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4AD" w:rsidRDefault="0052291E">
            <w:pPr>
              <w:spacing w:line="480" w:lineRule="atLeast"/>
              <w:jc w:val="center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>202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4</w:t>
            </w:r>
            <w:r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>年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8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月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23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日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4AD" w:rsidRDefault="0052291E">
            <w:pPr>
              <w:jc w:val="center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地点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4AD" w:rsidRDefault="0052291E">
            <w:pPr>
              <w:spacing w:line="480" w:lineRule="atLeast"/>
              <w:jc w:val="center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线上交流</w:t>
            </w:r>
          </w:p>
        </w:tc>
      </w:tr>
      <w:tr w:rsidR="006774AD" w:rsidTr="0052291E">
        <w:trPr>
          <w:trHeight w:val="2541"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4AD" w:rsidRDefault="0052291E">
            <w:pPr>
              <w:jc w:val="center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投资者关系活动主要内容介绍</w:t>
            </w:r>
          </w:p>
        </w:tc>
        <w:tc>
          <w:tcPr>
            <w:tcW w:w="9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4AD" w:rsidRDefault="0052291E">
            <w:pPr>
              <w:pStyle w:val="a3"/>
              <w:numPr>
                <w:ilvl w:val="0"/>
                <w:numId w:val="1"/>
              </w:numPr>
              <w:spacing w:line="480" w:lineRule="atLeast"/>
              <w:ind w:left="0" w:firstLineChars="0" w:firstLine="0"/>
              <w:rPr>
                <w:rFonts w:ascii="宋体" w:eastAsia="宋体" w:hAnsi="宋体" w:cs="Times New Roman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color w:val="000000"/>
                <w:sz w:val="24"/>
                <w:szCs w:val="24"/>
              </w:rPr>
              <w:t>我们看到公司二季度实现营业收入连续五个季度环比增长，请问业绩提升的主要原因？</w:t>
            </w:r>
          </w:p>
          <w:p w:rsidR="006774AD" w:rsidRDefault="0052291E">
            <w:pPr>
              <w:pStyle w:val="a3"/>
              <w:spacing w:line="480" w:lineRule="atLeast"/>
              <w:ind w:leftChars="200" w:left="420" w:firstLineChars="0" w:firstLine="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公司回答：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公司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2024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年二季度实现营业收入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1.99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亿元，同比增长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106.79%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，环比增长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31.37%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。一方面，公司自上市后全力进行业务转型，从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2023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年开始，应用于通信与计算机、工业测量等新领域的新产品开始逐步放量，并在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2024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年开始大批量出货，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 xml:space="preserve">2024 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年上半年整体出货量同比增长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144%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，其中：单节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BMS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上半年出货量已超过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2023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年全年出货量，增速迅猛，新品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2~5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节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BMS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也实现了大批量出货；应用于计算机及其周边的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 xml:space="preserve"> EC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、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PD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、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 xml:space="preserve">HUB 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系列芯片营收同比增长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136%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左右。随着消费电子需求复苏，行业库存见底，公司传统的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 xml:space="preserve"> MCU 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产品，健康测量及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 xml:space="preserve"> AIOT 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相关产品的销量也在稳步回升。未来公司将在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BMS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、传感器调理、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PC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、汽车电子等重点战略方向上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坚持投入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,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不断提升自身行业地位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,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为长期持续发展提供增长动力。</w:t>
            </w:r>
          </w:p>
          <w:p w:rsidR="006774AD" w:rsidRDefault="0052291E">
            <w:pPr>
              <w:numPr>
                <w:ilvl w:val="0"/>
                <w:numId w:val="1"/>
              </w:numPr>
              <w:spacing w:line="480" w:lineRule="atLeast"/>
              <w:ind w:left="0" w:firstLine="0"/>
              <w:rPr>
                <w:rFonts w:ascii="宋体" w:eastAsia="宋体" w:hAnsi="宋体" w:cs="Times New Roman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PD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产品营</w:t>
            </w:r>
            <w:proofErr w:type="gramStart"/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收增加</w:t>
            </w:r>
            <w:proofErr w:type="gramEnd"/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的主要原因</w:t>
            </w:r>
            <w:r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？</w:t>
            </w:r>
          </w:p>
          <w:p w:rsidR="006774AD" w:rsidRDefault="0052291E">
            <w:pPr>
              <w:spacing w:line="480" w:lineRule="atLeast"/>
              <w:ind w:leftChars="200" w:left="420"/>
              <w:rPr>
                <w:rFonts w:ascii="宋体" w:eastAsia="宋体" w:hAnsi="宋体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公司回答：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随着快</w:t>
            </w:r>
            <w:proofErr w:type="gramStart"/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充功能</w:t>
            </w:r>
            <w:proofErr w:type="gramEnd"/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的流行，各种锂电产品中的应用越来越广泛，具备快</w:t>
            </w:r>
            <w:proofErr w:type="gramStart"/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充功能</w:t>
            </w:r>
            <w:proofErr w:type="gramEnd"/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的产品品类也在不断丰富，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PD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快</w:t>
            </w:r>
            <w:proofErr w:type="gramStart"/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充协议</w:t>
            </w:r>
            <w:proofErr w:type="gramEnd"/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芯片的需求随之增加，给公司带来了相对乐观的营收情况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。</w:t>
            </w:r>
          </w:p>
          <w:p w:rsidR="006774AD" w:rsidRDefault="0052291E">
            <w:pPr>
              <w:numPr>
                <w:ilvl w:val="0"/>
                <w:numId w:val="1"/>
              </w:numPr>
              <w:spacing w:line="480" w:lineRule="atLeast"/>
              <w:ind w:left="0" w:firstLine="0"/>
              <w:rPr>
                <w:rFonts w:ascii="宋体" w:eastAsia="宋体" w:hAnsi="宋体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公司在研发投入方面的规划？</w:t>
            </w:r>
          </w:p>
          <w:p w:rsidR="006774AD" w:rsidRDefault="0052291E">
            <w:pPr>
              <w:pStyle w:val="a3"/>
              <w:spacing w:line="480" w:lineRule="atLeast"/>
              <w:ind w:leftChars="200" w:left="420" w:firstLineChars="0" w:firstLine="0"/>
              <w:rPr>
                <w:rFonts w:ascii="宋体" w:eastAsia="宋体" w:hAnsi="宋体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公司回答：经过前两年对高质量人员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,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特别是汽车电子、工业电子及质量管理团队的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lastRenderedPageBreak/>
              <w:t>快速吸收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,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公司已经构建了较为完善的研发组织。未来公司将放缓人员扩张速度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,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将注意力放在提升公司管理效率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,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降低运营成本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,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提高公司利润水平上</w:t>
            </w:r>
            <w:r>
              <w:rPr>
                <w:rFonts w:ascii="宋体" w:eastAsia="宋体" w:hAnsi="宋体" w:cs="宋体"/>
                <w:sz w:val="24"/>
                <w:szCs w:val="24"/>
              </w:rPr>
              <w:t>。</w:t>
            </w:r>
          </w:p>
          <w:p w:rsidR="006774AD" w:rsidRDefault="0052291E">
            <w:pPr>
              <w:numPr>
                <w:ilvl w:val="0"/>
                <w:numId w:val="1"/>
              </w:numPr>
              <w:spacing w:line="480" w:lineRule="atLeast"/>
              <w:ind w:left="0" w:firstLine="0"/>
              <w:rPr>
                <w:rFonts w:ascii="宋体" w:eastAsia="宋体" w:hAnsi="宋体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iCs/>
                <w:color w:val="000000"/>
                <w:sz w:val="24"/>
                <w:szCs w:val="24"/>
              </w:rPr>
              <w:t>公司怎么看</w:t>
            </w:r>
            <w:r>
              <w:rPr>
                <w:rFonts w:ascii="宋体" w:eastAsia="宋体" w:hAnsi="宋体" w:cs="Times New Roman" w:hint="eastAsia"/>
                <w:b/>
                <w:iCs/>
                <w:color w:val="000000"/>
                <w:sz w:val="24"/>
                <w:szCs w:val="24"/>
              </w:rPr>
              <w:t>AI</w:t>
            </w:r>
            <w:r>
              <w:rPr>
                <w:rFonts w:ascii="宋体" w:eastAsia="宋体" w:hAnsi="宋体" w:cs="Times New Roman" w:hint="eastAsia"/>
                <w:b/>
                <w:iCs/>
                <w:color w:val="000000"/>
                <w:sz w:val="24"/>
                <w:szCs w:val="24"/>
              </w:rPr>
              <w:t>技术</w:t>
            </w:r>
            <w:r>
              <w:rPr>
                <w:rFonts w:ascii="宋体" w:eastAsia="宋体" w:hAnsi="宋体" w:cs="Times New Roman" w:hint="eastAsia"/>
                <w:b/>
                <w:iCs/>
                <w:color w:val="000000"/>
                <w:sz w:val="24"/>
                <w:szCs w:val="24"/>
              </w:rPr>
              <w:t>为</w:t>
            </w:r>
            <w:r>
              <w:rPr>
                <w:rFonts w:ascii="宋体" w:eastAsia="宋体" w:hAnsi="宋体" w:cs="Times New Roman" w:hint="eastAsia"/>
                <w:b/>
                <w:iCs/>
                <w:color w:val="000000"/>
                <w:sz w:val="24"/>
                <w:szCs w:val="24"/>
              </w:rPr>
              <w:t>PC</w:t>
            </w:r>
            <w:r>
              <w:rPr>
                <w:rFonts w:ascii="宋体" w:eastAsia="宋体" w:hAnsi="宋体" w:cs="Times New Roman" w:hint="eastAsia"/>
                <w:b/>
                <w:iCs/>
                <w:color w:val="000000"/>
                <w:sz w:val="24"/>
                <w:szCs w:val="24"/>
              </w:rPr>
              <w:t>和手机等智能</w:t>
            </w:r>
            <w:r>
              <w:rPr>
                <w:rFonts w:ascii="宋体" w:eastAsia="宋体" w:hAnsi="宋体" w:cs="Times New Roman" w:hint="eastAsia"/>
                <w:b/>
                <w:iCs/>
                <w:color w:val="000000"/>
                <w:sz w:val="24"/>
                <w:szCs w:val="24"/>
              </w:rPr>
              <w:t>终端</w:t>
            </w:r>
            <w:r>
              <w:rPr>
                <w:rFonts w:ascii="宋体" w:eastAsia="宋体" w:hAnsi="宋体" w:cs="Times New Roman" w:hint="eastAsia"/>
                <w:b/>
                <w:iCs/>
                <w:color w:val="000000"/>
                <w:sz w:val="24"/>
                <w:szCs w:val="24"/>
              </w:rPr>
              <w:t>带来的增长机遇？</w:t>
            </w:r>
          </w:p>
          <w:p w:rsidR="006774AD" w:rsidRDefault="0052291E">
            <w:pPr>
              <w:spacing w:line="480" w:lineRule="atLeast"/>
              <w:ind w:leftChars="200" w:left="420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公司回答：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随着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AI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技术的发展，数据中心、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 xml:space="preserve">AI 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PC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、人形机器人等前沿应用领域的发展速度明显提升，计算“边缘化”趋势将更多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AI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和计算能力赋予边缘设备：在计算机外围产品生态中，公司基于自身深厚的技术积累，已实现了以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EC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为核心，覆盖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PD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、</w:t>
            </w:r>
            <w:proofErr w:type="spellStart"/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HapticPad</w:t>
            </w:r>
            <w:proofErr w:type="spellEnd"/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、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USB HUB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、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BMS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的横向产品布局，同时，也完成了从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AI PC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、笔记本电脑到台式机、工控机、边缘计算及服务器的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EC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、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SIO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、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edge BMC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的纵向产品布局；在人形机器人领域，感知、决策、执行等动作离不开对应的软件及硬件系统支持，面对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AI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技术发展趋势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,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公司拥有传感器信号调理、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BMS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、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ADC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和压力触控芯片等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产品可以用在相关领域，进行采集测量、信号处理和能耗管理。</w:t>
            </w:r>
          </w:p>
          <w:p w:rsidR="006774AD" w:rsidRDefault="0052291E">
            <w:pPr>
              <w:numPr>
                <w:ilvl w:val="0"/>
                <w:numId w:val="1"/>
              </w:numPr>
              <w:spacing w:line="480" w:lineRule="atLeast"/>
              <w:ind w:left="0" w:firstLine="0"/>
              <w:rPr>
                <w:rFonts w:ascii="宋体" w:eastAsia="宋体" w:hAnsi="宋体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iCs/>
                <w:color w:val="000000"/>
                <w:sz w:val="24"/>
                <w:szCs w:val="24"/>
              </w:rPr>
              <w:t>公司</w:t>
            </w:r>
            <w:r>
              <w:rPr>
                <w:rFonts w:ascii="宋体" w:eastAsia="宋体" w:hAnsi="宋体" w:cs="Times New Roman" w:hint="eastAsia"/>
                <w:b/>
                <w:iCs/>
                <w:color w:val="000000"/>
                <w:sz w:val="24"/>
                <w:szCs w:val="24"/>
              </w:rPr>
              <w:t>PC</w:t>
            </w:r>
            <w:r>
              <w:rPr>
                <w:rFonts w:ascii="宋体" w:eastAsia="宋体" w:hAnsi="宋体" w:cs="Times New Roman" w:hint="eastAsia"/>
                <w:b/>
                <w:iCs/>
                <w:color w:val="000000"/>
                <w:sz w:val="24"/>
                <w:szCs w:val="24"/>
              </w:rPr>
              <w:t>业务今年预计给公司带来多少增量？</w:t>
            </w:r>
          </w:p>
          <w:p w:rsidR="006774AD" w:rsidRDefault="0052291E">
            <w:pPr>
              <w:spacing w:line="480" w:lineRule="atLeast"/>
              <w:ind w:leftChars="200" w:left="420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公司回答：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2024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年上半年，公司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应用于计算机及其周边的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 xml:space="preserve"> EC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、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PD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、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 xml:space="preserve">HUB 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系列芯片营收同比增长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136%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左右。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第一代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EC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芯片已经在计算机头部客户端实现大规模量产，第二代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EC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芯片顺利通过英特尔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PCL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认证，并通过计算机全球龙头企业验证。公司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EC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产品是大陆首个通过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Intel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国际认证的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EC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产品，打破了海外产品对于此市场的垄断，能够满足各种品类计算机的需求，目前已经完成和国内各个主流笔记本厂家的适配工作，例如已于报告期内发布的荣耀首款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 xml:space="preserve">AI PC </w:t>
            </w:r>
            <w:proofErr w:type="spellStart"/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MagicBook</w:t>
            </w:r>
            <w:proofErr w:type="spellEnd"/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 xml:space="preserve"> Pro 16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已于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3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月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发布，该产品选择搭载</w:t>
            </w:r>
            <w:proofErr w:type="gramStart"/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了芯海科技</w:t>
            </w:r>
            <w:proofErr w:type="gramEnd"/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高性能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EC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芯片。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USB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3.0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产品已在客户端实现量产。针对边缘计算市场的轻量级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BMC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管理芯片，已完成开发和验证，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即将上市。应用于台式计算机的第一代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Super IO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产品开始导入客户端。未来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，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公司将继续加大在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PC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业务上的投入，致力于为客户打造更佳用户体验的产品。</w:t>
            </w:r>
          </w:p>
          <w:p w:rsidR="006774AD" w:rsidRDefault="0052291E">
            <w:pPr>
              <w:numPr>
                <w:ilvl w:val="0"/>
                <w:numId w:val="1"/>
              </w:numPr>
              <w:spacing w:line="480" w:lineRule="atLeast"/>
              <w:ind w:left="0" w:firstLine="0"/>
              <w:rPr>
                <w:rFonts w:ascii="宋体" w:eastAsia="宋体" w:hAnsi="宋体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iCs/>
                <w:color w:val="000000"/>
                <w:sz w:val="24"/>
                <w:szCs w:val="24"/>
              </w:rPr>
              <w:t>鸿蒙的迭代投入主要围绕哪些方面展开？</w:t>
            </w:r>
          </w:p>
          <w:p w:rsidR="006774AD" w:rsidRPr="0052291E" w:rsidRDefault="0052291E" w:rsidP="0052291E">
            <w:pPr>
              <w:spacing w:line="480" w:lineRule="atLeast"/>
              <w:ind w:leftChars="200" w:left="420"/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公司回答：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公司借助高精度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ADC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、高可靠性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MCU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、无线连接的核心产品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,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为物联网设备提供精准测量、智慧传感、无线连接为基础的物联网整体解决方案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,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让这些设备可以接入鸿蒙操作系统。软件和应用是公司硬件的核心竞争力，未来鸿蒙业务的迭代将围绕软硬件和应用层展开，以解决终端物联网客户的定制化需求为主要目标。</w:t>
            </w:r>
          </w:p>
        </w:tc>
      </w:tr>
      <w:tr w:rsidR="006774AD" w:rsidTr="0052291E">
        <w:trPr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4AD" w:rsidRDefault="0052291E">
            <w:pPr>
              <w:jc w:val="center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lastRenderedPageBreak/>
              <w:t>附件清单</w:t>
            </w:r>
          </w:p>
          <w:p w:rsidR="006774AD" w:rsidRDefault="0052291E">
            <w:pPr>
              <w:jc w:val="center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（如有）</w:t>
            </w:r>
          </w:p>
        </w:tc>
        <w:tc>
          <w:tcPr>
            <w:tcW w:w="9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4AD" w:rsidRDefault="0052291E">
            <w:pPr>
              <w:spacing w:line="480" w:lineRule="atLeast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/</w:t>
            </w:r>
          </w:p>
        </w:tc>
      </w:tr>
      <w:tr w:rsidR="006774AD" w:rsidTr="0052291E">
        <w:trPr>
          <w:jc w:val="center"/>
        </w:trPr>
        <w:tc>
          <w:tcPr>
            <w:tcW w:w="107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4AD" w:rsidRDefault="0052291E">
            <w:pPr>
              <w:spacing w:line="480" w:lineRule="atLeast"/>
              <w:jc w:val="center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lastRenderedPageBreak/>
              <w:t>以下为本次活动参与人员签字页</w:t>
            </w:r>
          </w:p>
        </w:tc>
      </w:tr>
      <w:tr w:rsidR="006774AD" w:rsidTr="0052291E">
        <w:trPr>
          <w:trHeight w:hRule="exact" w:val="1299"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4AD" w:rsidRDefault="0052291E">
            <w:pPr>
              <w:jc w:val="center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参与单位名称</w:t>
            </w:r>
          </w:p>
        </w:tc>
        <w:tc>
          <w:tcPr>
            <w:tcW w:w="9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4AD" w:rsidRDefault="0052291E">
            <w:pPr>
              <w:spacing w:line="480" w:lineRule="atLeast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华鑫证券及其客户</w:t>
            </w:r>
          </w:p>
        </w:tc>
      </w:tr>
      <w:tr w:rsidR="006774AD" w:rsidTr="0052291E">
        <w:trPr>
          <w:trHeight w:hRule="exact" w:val="1407"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4AD" w:rsidRDefault="0052291E">
            <w:pPr>
              <w:jc w:val="center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上市公司接待人员姓名</w:t>
            </w:r>
          </w:p>
        </w:tc>
        <w:tc>
          <w:tcPr>
            <w:tcW w:w="9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4AD" w:rsidRDefault="0052291E">
            <w:pPr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董事、副总经理、董事会秘书：万巍</w:t>
            </w:r>
            <w:bookmarkStart w:id="0" w:name="_GoBack"/>
            <w:bookmarkEnd w:id="0"/>
          </w:p>
        </w:tc>
      </w:tr>
    </w:tbl>
    <w:p w:rsidR="006774AD" w:rsidRDefault="006774AD"/>
    <w:p w:rsidR="006774AD" w:rsidRDefault="006774AD"/>
    <w:p w:rsidR="006774AD" w:rsidRDefault="006774AD"/>
    <w:p w:rsidR="006774AD" w:rsidRDefault="006774AD"/>
    <w:sectPr w:rsidR="006774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F42B47"/>
    <w:multiLevelType w:val="multilevel"/>
    <w:tmpl w:val="59F42B47"/>
    <w:lvl w:ilvl="0">
      <w:start w:val="1"/>
      <w:numFmt w:val="decimal"/>
      <w:lvlText w:val="%1、"/>
      <w:lvlJc w:val="left"/>
      <w:pPr>
        <w:ind w:left="961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1" w:hanging="420"/>
      </w:pPr>
    </w:lvl>
    <w:lvl w:ilvl="2">
      <w:start w:val="1"/>
      <w:numFmt w:val="lowerRoman"/>
      <w:lvlText w:val="%3."/>
      <w:lvlJc w:val="right"/>
      <w:pPr>
        <w:ind w:left="1501" w:hanging="420"/>
      </w:pPr>
    </w:lvl>
    <w:lvl w:ilvl="3">
      <w:start w:val="1"/>
      <w:numFmt w:val="decimal"/>
      <w:lvlText w:val="%4."/>
      <w:lvlJc w:val="left"/>
      <w:pPr>
        <w:ind w:left="1921" w:hanging="420"/>
      </w:pPr>
    </w:lvl>
    <w:lvl w:ilvl="4">
      <w:start w:val="1"/>
      <w:numFmt w:val="lowerLetter"/>
      <w:lvlText w:val="%5)"/>
      <w:lvlJc w:val="left"/>
      <w:pPr>
        <w:ind w:left="2341" w:hanging="420"/>
      </w:pPr>
    </w:lvl>
    <w:lvl w:ilvl="5">
      <w:start w:val="1"/>
      <w:numFmt w:val="lowerRoman"/>
      <w:lvlText w:val="%6."/>
      <w:lvlJc w:val="right"/>
      <w:pPr>
        <w:ind w:left="2761" w:hanging="420"/>
      </w:pPr>
    </w:lvl>
    <w:lvl w:ilvl="6">
      <w:start w:val="1"/>
      <w:numFmt w:val="decimal"/>
      <w:lvlText w:val="%7."/>
      <w:lvlJc w:val="left"/>
      <w:pPr>
        <w:ind w:left="3181" w:hanging="420"/>
      </w:pPr>
    </w:lvl>
    <w:lvl w:ilvl="7">
      <w:start w:val="1"/>
      <w:numFmt w:val="lowerLetter"/>
      <w:lvlText w:val="%8)"/>
      <w:lvlJc w:val="left"/>
      <w:pPr>
        <w:ind w:left="3601" w:hanging="420"/>
      </w:pPr>
    </w:lvl>
    <w:lvl w:ilvl="8">
      <w:start w:val="1"/>
      <w:numFmt w:val="lowerRoman"/>
      <w:lvlText w:val="%9."/>
      <w:lvlJc w:val="right"/>
      <w:pPr>
        <w:ind w:left="4021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72A27"/>
    <w:rsid w:val="0052291E"/>
    <w:rsid w:val="006774AD"/>
    <w:rsid w:val="02AA77F8"/>
    <w:rsid w:val="036E4C4B"/>
    <w:rsid w:val="038214B4"/>
    <w:rsid w:val="03E33A3D"/>
    <w:rsid w:val="04C46EAE"/>
    <w:rsid w:val="06D53C2F"/>
    <w:rsid w:val="07F6499E"/>
    <w:rsid w:val="08CE7167"/>
    <w:rsid w:val="0B001B7A"/>
    <w:rsid w:val="0BCD51F8"/>
    <w:rsid w:val="0DCA31C2"/>
    <w:rsid w:val="0E97168B"/>
    <w:rsid w:val="0F2A39C7"/>
    <w:rsid w:val="0F2B1C26"/>
    <w:rsid w:val="0F4202B1"/>
    <w:rsid w:val="0F635FF5"/>
    <w:rsid w:val="101D1368"/>
    <w:rsid w:val="104973DF"/>
    <w:rsid w:val="10EB1B2D"/>
    <w:rsid w:val="1165630C"/>
    <w:rsid w:val="11B442D4"/>
    <w:rsid w:val="131C266E"/>
    <w:rsid w:val="132562F8"/>
    <w:rsid w:val="135C0AA8"/>
    <w:rsid w:val="14073108"/>
    <w:rsid w:val="142C44D2"/>
    <w:rsid w:val="168050E9"/>
    <w:rsid w:val="1D4C73C2"/>
    <w:rsid w:val="1D7A0CC2"/>
    <w:rsid w:val="1E533EAD"/>
    <w:rsid w:val="1E6142E5"/>
    <w:rsid w:val="20782EF8"/>
    <w:rsid w:val="209D667D"/>
    <w:rsid w:val="211C2276"/>
    <w:rsid w:val="2185350F"/>
    <w:rsid w:val="21A803FA"/>
    <w:rsid w:val="231F20A4"/>
    <w:rsid w:val="243C7670"/>
    <w:rsid w:val="246359B2"/>
    <w:rsid w:val="24B07FC9"/>
    <w:rsid w:val="25585ADF"/>
    <w:rsid w:val="259031AD"/>
    <w:rsid w:val="26364A59"/>
    <w:rsid w:val="267D10F7"/>
    <w:rsid w:val="28FC0D61"/>
    <w:rsid w:val="29160E63"/>
    <w:rsid w:val="29917A89"/>
    <w:rsid w:val="29C639D9"/>
    <w:rsid w:val="2B5C0BE8"/>
    <w:rsid w:val="2C3D0FF7"/>
    <w:rsid w:val="2C80321E"/>
    <w:rsid w:val="2CCB5A48"/>
    <w:rsid w:val="2CD34C67"/>
    <w:rsid w:val="2D182315"/>
    <w:rsid w:val="2DA33D74"/>
    <w:rsid w:val="31AC4634"/>
    <w:rsid w:val="31D50E40"/>
    <w:rsid w:val="326533A5"/>
    <w:rsid w:val="32C01D0B"/>
    <w:rsid w:val="32FB2857"/>
    <w:rsid w:val="336A5AA8"/>
    <w:rsid w:val="337475BB"/>
    <w:rsid w:val="33AA18C5"/>
    <w:rsid w:val="33F4636D"/>
    <w:rsid w:val="34FD2753"/>
    <w:rsid w:val="350B766F"/>
    <w:rsid w:val="35695EB5"/>
    <w:rsid w:val="358324AC"/>
    <w:rsid w:val="371F7A87"/>
    <w:rsid w:val="384756DC"/>
    <w:rsid w:val="38542338"/>
    <w:rsid w:val="3890081E"/>
    <w:rsid w:val="39005EE2"/>
    <w:rsid w:val="3A8C6BE3"/>
    <w:rsid w:val="3CF92A8F"/>
    <w:rsid w:val="3D1243D7"/>
    <w:rsid w:val="3E053EA0"/>
    <w:rsid w:val="3E6D6389"/>
    <w:rsid w:val="3ED74F9B"/>
    <w:rsid w:val="3F8049E6"/>
    <w:rsid w:val="408920A1"/>
    <w:rsid w:val="40C049C2"/>
    <w:rsid w:val="413A353A"/>
    <w:rsid w:val="41795F1A"/>
    <w:rsid w:val="417C2021"/>
    <w:rsid w:val="42734C4E"/>
    <w:rsid w:val="43517AAD"/>
    <w:rsid w:val="43E733CD"/>
    <w:rsid w:val="44026277"/>
    <w:rsid w:val="45030FC1"/>
    <w:rsid w:val="473C5E11"/>
    <w:rsid w:val="476A60E3"/>
    <w:rsid w:val="47EC0369"/>
    <w:rsid w:val="488F53A4"/>
    <w:rsid w:val="4896134E"/>
    <w:rsid w:val="492D2BAA"/>
    <w:rsid w:val="498C6255"/>
    <w:rsid w:val="4C4350F4"/>
    <w:rsid w:val="4CCD7DBD"/>
    <w:rsid w:val="4D9F7B8D"/>
    <w:rsid w:val="4DEF5DAA"/>
    <w:rsid w:val="4FC53EE5"/>
    <w:rsid w:val="504B66F6"/>
    <w:rsid w:val="51675E9B"/>
    <w:rsid w:val="51852684"/>
    <w:rsid w:val="535B36CA"/>
    <w:rsid w:val="53E203DB"/>
    <w:rsid w:val="54FD2B57"/>
    <w:rsid w:val="55DD2624"/>
    <w:rsid w:val="5622708A"/>
    <w:rsid w:val="56230B49"/>
    <w:rsid w:val="57F00055"/>
    <w:rsid w:val="587C68D9"/>
    <w:rsid w:val="5887726E"/>
    <w:rsid w:val="58A54D50"/>
    <w:rsid w:val="5932746C"/>
    <w:rsid w:val="5A8236C8"/>
    <w:rsid w:val="5AD31534"/>
    <w:rsid w:val="5D422E80"/>
    <w:rsid w:val="5D9D7B35"/>
    <w:rsid w:val="5DAF3215"/>
    <w:rsid w:val="5EED6A7B"/>
    <w:rsid w:val="5F621361"/>
    <w:rsid w:val="614743B7"/>
    <w:rsid w:val="63456F4C"/>
    <w:rsid w:val="637A5785"/>
    <w:rsid w:val="63AA394A"/>
    <w:rsid w:val="65D53525"/>
    <w:rsid w:val="665D27CA"/>
    <w:rsid w:val="66852F64"/>
    <w:rsid w:val="670E0286"/>
    <w:rsid w:val="68C441CC"/>
    <w:rsid w:val="68EC2215"/>
    <w:rsid w:val="68F425DF"/>
    <w:rsid w:val="698D74BA"/>
    <w:rsid w:val="69C60DB1"/>
    <w:rsid w:val="6A74501D"/>
    <w:rsid w:val="6C0A7DF8"/>
    <w:rsid w:val="6C5F0D02"/>
    <w:rsid w:val="6C9430BE"/>
    <w:rsid w:val="6D2E21CD"/>
    <w:rsid w:val="6D7567EE"/>
    <w:rsid w:val="6FA872BF"/>
    <w:rsid w:val="702539C7"/>
    <w:rsid w:val="71E43C71"/>
    <w:rsid w:val="722F03FF"/>
    <w:rsid w:val="73543AD1"/>
    <w:rsid w:val="73B82605"/>
    <w:rsid w:val="73D46092"/>
    <w:rsid w:val="770F3923"/>
    <w:rsid w:val="77453182"/>
    <w:rsid w:val="774C5AC9"/>
    <w:rsid w:val="777A671F"/>
    <w:rsid w:val="77CF6BFC"/>
    <w:rsid w:val="787E64E9"/>
    <w:rsid w:val="7A117749"/>
    <w:rsid w:val="7AAB5265"/>
    <w:rsid w:val="7AF27A27"/>
    <w:rsid w:val="7B531E29"/>
    <w:rsid w:val="7C992F3B"/>
    <w:rsid w:val="7D551EA9"/>
    <w:rsid w:val="7D595219"/>
    <w:rsid w:val="7DD11EC6"/>
    <w:rsid w:val="7F612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BA9D19"/>
  <w15:docId w15:val="{599FA709-203B-46E9-9113-B7EFEC1D9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281</Words>
  <Characters>1606</Characters>
  <Application>Microsoft Office Word</Application>
  <DocSecurity>0</DocSecurity>
  <Lines>13</Lines>
  <Paragraphs>3</Paragraphs>
  <ScaleCrop>false</ScaleCrop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zhoujy</dc:creator>
  <cp:lastModifiedBy>吴元</cp:lastModifiedBy>
  <cp:revision>2</cp:revision>
  <dcterms:created xsi:type="dcterms:W3CDTF">2023-09-21T08:04:00Z</dcterms:created>
  <dcterms:modified xsi:type="dcterms:W3CDTF">2024-08-26T07:58:00Z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