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10A" w:rsidRDefault="003225B2">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EB410A" w:rsidRDefault="00EB410A"/>
    <w:p w:rsidR="00EB410A" w:rsidRDefault="00EB410A"/>
    <w:p w:rsidR="00EB410A" w:rsidRDefault="00EB410A"/>
    <w:p w:rsidR="00EB410A" w:rsidRDefault="00EB410A"/>
    <w:p w:rsidR="00EB410A" w:rsidRDefault="00EB410A"/>
    <w:p w:rsidR="00EB410A" w:rsidRDefault="00EB410A"/>
    <w:p w:rsidR="00EB410A" w:rsidRDefault="00EB410A"/>
    <w:p w:rsidR="00EB410A" w:rsidRDefault="00EB410A"/>
    <w:p w:rsidR="00EB410A" w:rsidRDefault="003225B2">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EB410A" w:rsidRDefault="003225B2">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EB410A" w:rsidRDefault="00EB410A">
      <w:pPr>
        <w:autoSpaceDE w:val="0"/>
        <w:autoSpaceDN w:val="0"/>
        <w:adjustRightInd w:val="0"/>
        <w:spacing w:beforeLines="50" w:before="156" w:afterLines="50" w:after="156" w:line="720" w:lineRule="exact"/>
        <w:ind w:rightChars="-24" w:right="-50"/>
        <w:jc w:val="center"/>
        <w:rPr>
          <w:rFonts w:eastAsia="黑体"/>
          <w:color w:val="000000"/>
          <w:sz w:val="44"/>
          <w:szCs w:val="34"/>
        </w:rPr>
      </w:pPr>
    </w:p>
    <w:p w:rsidR="00EB410A" w:rsidRDefault="00EB410A"/>
    <w:p w:rsidR="00EB410A" w:rsidRDefault="00EB410A"/>
    <w:p w:rsidR="00EB410A" w:rsidRDefault="003225B2">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EB410A" w:rsidRDefault="00EB410A">
      <w:pPr>
        <w:jc w:val="center"/>
      </w:pPr>
    </w:p>
    <w:p w:rsidR="00EB410A" w:rsidRDefault="00EB410A">
      <w:pPr>
        <w:autoSpaceDE w:val="0"/>
        <w:autoSpaceDN w:val="0"/>
        <w:adjustRightInd w:val="0"/>
        <w:rPr>
          <w:rFonts w:ascii="宋体" w:hAnsi="宋体" w:cs="黑体"/>
          <w:b/>
          <w:color w:val="000000"/>
          <w:kern w:val="0"/>
          <w:sz w:val="24"/>
        </w:rPr>
      </w:pPr>
    </w:p>
    <w:p w:rsidR="00EB410A" w:rsidRDefault="00EB410A">
      <w:pPr>
        <w:autoSpaceDE w:val="0"/>
        <w:autoSpaceDN w:val="0"/>
        <w:adjustRightInd w:val="0"/>
        <w:rPr>
          <w:rFonts w:ascii="宋体" w:hAnsi="宋体" w:cs="黑体"/>
          <w:b/>
          <w:color w:val="000000"/>
          <w:kern w:val="0"/>
          <w:sz w:val="24"/>
        </w:rPr>
      </w:pPr>
    </w:p>
    <w:p w:rsidR="00EB410A" w:rsidRDefault="00EB410A">
      <w:pPr>
        <w:autoSpaceDE w:val="0"/>
        <w:autoSpaceDN w:val="0"/>
        <w:adjustRightInd w:val="0"/>
        <w:spacing w:beforeLines="100" w:before="312"/>
        <w:rPr>
          <w:rFonts w:ascii="黑体" w:eastAsia="黑体" w:cs="黑体"/>
          <w:color w:val="000000"/>
          <w:kern w:val="0"/>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3225B2">
      <w:pPr>
        <w:widowControl/>
        <w:jc w:val="left"/>
        <w:rPr>
          <w:rFonts w:ascii="黑体" w:eastAsia="黑体" w:cs="黑体"/>
          <w:sz w:val="32"/>
          <w:szCs w:val="28"/>
        </w:rPr>
      </w:pPr>
      <w:r>
        <w:rPr>
          <w:rFonts w:ascii="黑体" w:eastAsia="黑体" w:cs="黑体"/>
          <w:sz w:val="32"/>
          <w:szCs w:val="28"/>
        </w:rPr>
        <w:br w:type="page"/>
      </w:r>
    </w:p>
    <w:p w:rsidR="00EB410A" w:rsidRDefault="003225B2">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EB410A" w:rsidRDefault="003225B2">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5915"/>
      </w:tblGrid>
      <w:tr w:rsidR="00EB410A" w:rsidTr="004B730A">
        <w:trPr>
          <w:trHeight w:val="1698"/>
          <w:jc w:val="center"/>
        </w:trPr>
        <w:tc>
          <w:tcPr>
            <w:tcW w:w="1437" w:type="pct"/>
            <w:vAlign w:val="center"/>
          </w:tcPr>
          <w:p w:rsidR="00EB410A" w:rsidRDefault="003225B2">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63" w:type="pct"/>
            <w:vAlign w:val="center"/>
          </w:tcPr>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 xml:space="preserve">□公司现场接待     </w:t>
            </w:r>
            <w:r>
              <w:rPr>
                <w:rFonts w:ascii="宋体" w:hAnsi="Calibri" w:cs="宋体" w:hint="eastAsia"/>
                <w:color w:val="000000"/>
                <w:kern w:val="0"/>
                <w:sz w:val="24"/>
              </w:rPr>
              <w:sym w:font="Wingdings 2" w:char="F052"/>
            </w:r>
            <w:r>
              <w:rPr>
                <w:rFonts w:ascii="宋体" w:hAnsi="Calibri" w:cs="宋体" w:hint="eastAsia"/>
                <w:color w:val="000000"/>
                <w:kern w:val="0"/>
                <w:sz w:val="24"/>
              </w:rPr>
              <w:t>电话接待</w:t>
            </w:r>
          </w:p>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□定期报告说明会   □重要公告说明会</w:t>
            </w:r>
          </w:p>
        </w:tc>
      </w:tr>
      <w:tr w:rsidR="00EB410A" w:rsidTr="005B61A1">
        <w:trPr>
          <w:trHeight w:val="11189"/>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63" w:type="pct"/>
            <w:vAlign w:val="center"/>
          </w:tcPr>
          <w:p w:rsidR="00EB410A" w:rsidRDefault="001F4A2A">
            <w:pPr>
              <w:autoSpaceDE w:val="0"/>
              <w:autoSpaceDN w:val="0"/>
              <w:adjustRightInd w:val="0"/>
              <w:spacing w:line="460" w:lineRule="exact"/>
              <w:rPr>
                <w:color w:val="000000"/>
                <w:kern w:val="0"/>
                <w:sz w:val="24"/>
              </w:rPr>
            </w:pPr>
            <w:r w:rsidRPr="001F4A2A">
              <w:rPr>
                <w:color w:val="000000"/>
                <w:kern w:val="0"/>
                <w:sz w:val="24"/>
              </w:rPr>
              <w:t>国海证券；</w:t>
            </w:r>
            <w:proofErr w:type="gramStart"/>
            <w:r w:rsidRPr="001F4A2A">
              <w:rPr>
                <w:color w:val="000000"/>
                <w:kern w:val="0"/>
                <w:sz w:val="24"/>
              </w:rPr>
              <w:t>天弘基金</w:t>
            </w:r>
            <w:proofErr w:type="gramEnd"/>
            <w:r w:rsidRPr="001F4A2A">
              <w:rPr>
                <w:color w:val="000000"/>
                <w:kern w:val="0"/>
                <w:sz w:val="24"/>
              </w:rPr>
              <w:t>；国金证券；国盛证券；银河证券；招商证券；申万宏源证券；平安证券；国信证券；海通证券；兴业证券；</w:t>
            </w:r>
            <w:proofErr w:type="gramStart"/>
            <w:r w:rsidRPr="001F4A2A">
              <w:rPr>
                <w:color w:val="000000"/>
                <w:kern w:val="0"/>
                <w:sz w:val="24"/>
              </w:rPr>
              <w:t>上海中域投资</w:t>
            </w:r>
            <w:proofErr w:type="gramEnd"/>
            <w:r w:rsidRPr="001F4A2A">
              <w:rPr>
                <w:color w:val="000000"/>
                <w:kern w:val="0"/>
                <w:sz w:val="24"/>
              </w:rPr>
              <w:t>；中</w:t>
            </w:r>
            <w:proofErr w:type="gramStart"/>
            <w:r w:rsidRPr="001F4A2A">
              <w:rPr>
                <w:color w:val="000000"/>
                <w:kern w:val="0"/>
                <w:sz w:val="24"/>
              </w:rPr>
              <w:t>邮创业</w:t>
            </w:r>
            <w:proofErr w:type="gramEnd"/>
            <w:r w:rsidRPr="001F4A2A">
              <w:rPr>
                <w:color w:val="000000"/>
                <w:kern w:val="0"/>
                <w:sz w:val="24"/>
              </w:rPr>
              <w:t>基金管理股份有限公司；中</w:t>
            </w:r>
            <w:proofErr w:type="gramStart"/>
            <w:r w:rsidRPr="001F4A2A">
              <w:rPr>
                <w:color w:val="000000"/>
                <w:kern w:val="0"/>
                <w:sz w:val="24"/>
              </w:rPr>
              <w:t>银基金</w:t>
            </w:r>
            <w:proofErr w:type="gramEnd"/>
            <w:r w:rsidRPr="001F4A2A">
              <w:rPr>
                <w:color w:val="000000"/>
                <w:kern w:val="0"/>
                <w:sz w:val="24"/>
              </w:rPr>
              <w:t>管理有限公司；中信资本；中信医药；中信建投；中</w:t>
            </w:r>
            <w:proofErr w:type="gramStart"/>
            <w:r w:rsidRPr="001F4A2A">
              <w:rPr>
                <w:color w:val="000000"/>
                <w:kern w:val="0"/>
                <w:sz w:val="24"/>
              </w:rPr>
              <w:t>信保诚基金</w:t>
            </w:r>
            <w:proofErr w:type="gramEnd"/>
            <w:r w:rsidRPr="001F4A2A">
              <w:rPr>
                <w:color w:val="000000"/>
                <w:kern w:val="0"/>
                <w:sz w:val="24"/>
              </w:rPr>
              <w:t>管理有限公司；</w:t>
            </w:r>
            <w:proofErr w:type="gramStart"/>
            <w:r w:rsidRPr="001F4A2A">
              <w:rPr>
                <w:color w:val="000000"/>
                <w:kern w:val="0"/>
                <w:sz w:val="24"/>
              </w:rPr>
              <w:t>中融国际</w:t>
            </w:r>
            <w:proofErr w:type="gramEnd"/>
            <w:r w:rsidRPr="001F4A2A">
              <w:rPr>
                <w:color w:val="000000"/>
                <w:kern w:val="0"/>
                <w:sz w:val="24"/>
              </w:rPr>
              <w:t>信托有限公司；中欧瑞博；中欧基金管理有限公司；中加基金；中航基金管理有限公司；中</w:t>
            </w:r>
            <w:proofErr w:type="gramStart"/>
            <w:r w:rsidRPr="001F4A2A">
              <w:rPr>
                <w:color w:val="000000"/>
                <w:kern w:val="0"/>
                <w:sz w:val="24"/>
              </w:rPr>
              <w:t>海基金</w:t>
            </w:r>
            <w:proofErr w:type="gramEnd"/>
            <w:r w:rsidRPr="001F4A2A">
              <w:rPr>
                <w:color w:val="000000"/>
                <w:kern w:val="0"/>
                <w:sz w:val="24"/>
              </w:rPr>
              <w:t>管理有限公司；中国人</w:t>
            </w:r>
            <w:proofErr w:type="gramStart"/>
            <w:r w:rsidRPr="001F4A2A">
              <w:rPr>
                <w:color w:val="000000"/>
                <w:kern w:val="0"/>
                <w:sz w:val="24"/>
              </w:rPr>
              <w:t>寿资产</w:t>
            </w:r>
            <w:proofErr w:type="gramEnd"/>
            <w:r w:rsidRPr="001F4A2A">
              <w:rPr>
                <w:color w:val="000000"/>
                <w:kern w:val="0"/>
                <w:sz w:val="24"/>
              </w:rPr>
              <w:t>管理有限公司；中国人</w:t>
            </w:r>
            <w:proofErr w:type="gramStart"/>
            <w:r w:rsidRPr="001F4A2A">
              <w:rPr>
                <w:color w:val="000000"/>
                <w:kern w:val="0"/>
                <w:sz w:val="24"/>
              </w:rPr>
              <w:t>保资产</w:t>
            </w:r>
            <w:proofErr w:type="gramEnd"/>
            <w:r w:rsidRPr="001F4A2A">
              <w:rPr>
                <w:color w:val="000000"/>
                <w:kern w:val="0"/>
                <w:sz w:val="24"/>
              </w:rPr>
              <w:t>管理有限公司；中国国际金融股份有限公司；</w:t>
            </w:r>
            <w:proofErr w:type="gramStart"/>
            <w:r w:rsidRPr="001F4A2A">
              <w:rPr>
                <w:color w:val="000000"/>
                <w:kern w:val="0"/>
                <w:sz w:val="24"/>
              </w:rPr>
              <w:t>中庚基金</w:t>
            </w:r>
            <w:proofErr w:type="gramEnd"/>
            <w:r w:rsidRPr="001F4A2A">
              <w:rPr>
                <w:color w:val="000000"/>
                <w:kern w:val="0"/>
                <w:sz w:val="24"/>
              </w:rPr>
              <w:t>管理有限公司；</w:t>
            </w:r>
            <w:proofErr w:type="gramStart"/>
            <w:r w:rsidRPr="001F4A2A">
              <w:rPr>
                <w:color w:val="000000"/>
                <w:kern w:val="0"/>
                <w:sz w:val="24"/>
              </w:rPr>
              <w:t>浙商基金</w:t>
            </w:r>
            <w:proofErr w:type="gramEnd"/>
            <w:r w:rsidRPr="001F4A2A">
              <w:rPr>
                <w:color w:val="000000"/>
                <w:kern w:val="0"/>
                <w:sz w:val="24"/>
              </w:rPr>
              <w:t>；浙江浙商证券资产管理有限公司；浙江龙航资产管理有限公司；长信基金管理有限责任公司；长江证券；长安基金管理有限公司；</w:t>
            </w:r>
            <w:proofErr w:type="gramStart"/>
            <w:r w:rsidRPr="001F4A2A">
              <w:rPr>
                <w:color w:val="000000"/>
                <w:kern w:val="0"/>
                <w:sz w:val="24"/>
              </w:rPr>
              <w:t>远惟投资</w:t>
            </w:r>
            <w:proofErr w:type="gramEnd"/>
            <w:r w:rsidRPr="001F4A2A">
              <w:rPr>
                <w:color w:val="000000"/>
                <w:kern w:val="0"/>
                <w:sz w:val="24"/>
              </w:rPr>
              <w:t>；友邦人寿保险有限</w:t>
            </w:r>
            <w:r w:rsidR="000012CB">
              <w:rPr>
                <w:color w:val="000000"/>
                <w:kern w:val="0"/>
                <w:sz w:val="24"/>
              </w:rPr>
              <w:t>公司；</w:t>
            </w:r>
            <w:proofErr w:type="gramStart"/>
            <w:r w:rsidR="000012CB">
              <w:rPr>
                <w:color w:val="000000"/>
                <w:kern w:val="0"/>
                <w:sz w:val="24"/>
              </w:rPr>
              <w:t>永赢基金</w:t>
            </w:r>
            <w:proofErr w:type="gramEnd"/>
            <w:r w:rsidR="000012CB">
              <w:rPr>
                <w:color w:val="000000"/>
                <w:kern w:val="0"/>
                <w:sz w:val="24"/>
              </w:rPr>
              <w:t>管理有限公司；银华基金管理股份有限公司；</w:t>
            </w:r>
            <w:r w:rsidRPr="001F4A2A">
              <w:rPr>
                <w:color w:val="000000"/>
                <w:kern w:val="0"/>
                <w:sz w:val="24"/>
              </w:rPr>
              <w:t>易方达基金管理有限公司；野村证券；阳光资产管理股份有限公司；</w:t>
            </w:r>
            <w:proofErr w:type="gramStart"/>
            <w:r w:rsidRPr="001F4A2A">
              <w:rPr>
                <w:color w:val="000000"/>
                <w:kern w:val="0"/>
                <w:sz w:val="24"/>
              </w:rPr>
              <w:t>循远资产</w:t>
            </w:r>
            <w:proofErr w:type="gramEnd"/>
            <w:r w:rsidRPr="001F4A2A">
              <w:rPr>
                <w:color w:val="000000"/>
                <w:kern w:val="0"/>
                <w:sz w:val="24"/>
              </w:rPr>
              <w:t>；兴银理财有限责任公司；</w:t>
            </w:r>
            <w:proofErr w:type="gramStart"/>
            <w:r w:rsidRPr="001F4A2A">
              <w:rPr>
                <w:color w:val="000000"/>
                <w:kern w:val="0"/>
                <w:sz w:val="24"/>
              </w:rPr>
              <w:t>信银理财</w:t>
            </w:r>
            <w:proofErr w:type="gramEnd"/>
            <w:r w:rsidRPr="001F4A2A">
              <w:rPr>
                <w:color w:val="000000"/>
                <w:kern w:val="0"/>
                <w:sz w:val="24"/>
              </w:rPr>
              <w:t>；信达证券；</w:t>
            </w:r>
            <w:proofErr w:type="gramStart"/>
            <w:r w:rsidRPr="001F4A2A">
              <w:rPr>
                <w:color w:val="000000"/>
                <w:kern w:val="0"/>
                <w:sz w:val="24"/>
              </w:rPr>
              <w:t>信达澳亚基</w:t>
            </w:r>
            <w:proofErr w:type="gramEnd"/>
            <w:r w:rsidRPr="001F4A2A">
              <w:rPr>
                <w:color w:val="000000"/>
                <w:kern w:val="0"/>
                <w:sz w:val="24"/>
              </w:rPr>
              <w:t>金管理有限公司；</w:t>
            </w:r>
            <w:proofErr w:type="gramStart"/>
            <w:r w:rsidRPr="001F4A2A">
              <w:rPr>
                <w:color w:val="000000"/>
                <w:kern w:val="0"/>
                <w:sz w:val="24"/>
              </w:rPr>
              <w:t>鑫</w:t>
            </w:r>
            <w:proofErr w:type="gramEnd"/>
            <w:r w:rsidRPr="001F4A2A">
              <w:rPr>
                <w:color w:val="000000"/>
                <w:kern w:val="0"/>
                <w:sz w:val="24"/>
              </w:rPr>
              <w:t>元基金；新华基金管理股份有限公司；相聚资本管理有限公司；先锋基金；</w:t>
            </w:r>
            <w:proofErr w:type="gramStart"/>
            <w:r w:rsidRPr="001F4A2A">
              <w:rPr>
                <w:color w:val="000000"/>
                <w:kern w:val="0"/>
                <w:sz w:val="24"/>
              </w:rPr>
              <w:t>禧</w:t>
            </w:r>
            <w:proofErr w:type="gramEnd"/>
            <w:r w:rsidRPr="001F4A2A">
              <w:rPr>
                <w:color w:val="000000"/>
                <w:kern w:val="0"/>
                <w:sz w:val="24"/>
              </w:rPr>
              <w:t>弘投资；西南证券；西藏源乘投资管理有限公司；西藏合众易晟投资管理有限责任公司；西部医药；物产中大集团投资有限公司；万家基金管理有限公司；天</w:t>
            </w:r>
            <w:proofErr w:type="gramStart"/>
            <w:r w:rsidRPr="001F4A2A">
              <w:rPr>
                <w:color w:val="000000"/>
                <w:kern w:val="0"/>
                <w:sz w:val="24"/>
              </w:rPr>
              <w:t>治基金</w:t>
            </w:r>
            <w:proofErr w:type="gramEnd"/>
            <w:r w:rsidRPr="001F4A2A">
              <w:rPr>
                <w:color w:val="000000"/>
                <w:kern w:val="0"/>
                <w:sz w:val="24"/>
              </w:rPr>
              <w:t>管理有限公司；天津秋阳成长私募基金管理有限公司；</w:t>
            </w:r>
            <w:proofErr w:type="gramStart"/>
            <w:r w:rsidRPr="001F4A2A">
              <w:rPr>
                <w:color w:val="000000"/>
                <w:kern w:val="0"/>
                <w:sz w:val="24"/>
              </w:rPr>
              <w:t>天弘基金</w:t>
            </w:r>
            <w:proofErr w:type="gramEnd"/>
            <w:r w:rsidRPr="001F4A2A">
              <w:rPr>
                <w:color w:val="000000"/>
                <w:kern w:val="0"/>
                <w:sz w:val="24"/>
              </w:rPr>
              <w:t>管理有限公司；天和思</w:t>
            </w:r>
            <w:proofErr w:type="gramStart"/>
            <w:r w:rsidRPr="001F4A2A">
              <w:rPr>
                <w:color w:val="000000"/>
                <w:kern w:val="0"/>
                <w:sz w:val="24"/>
              </w:rPr>
              <w:t>创投资</w:t>
            </w:r>
            <w:proofErr w:type="gramEnd"/>
            <w:r w:rsidRPr="001F4A2A">
              <w:rPr>
                <w:color w:val="000000"/>
                <w:kern w:val="0"/>
                <w:sz w:val="24"/>
              </w:rPr>
              <w:t>管理有限公司；天</w:t>
            </w:r>
            <w:r w:rsidRPr="001F4A2A">
              <w:rPr>
                <w:color w:val="000000"/>
                <w:kern w:val="0"/>
                <w:sz w:val="24"/>
              </w:rPr>
              <w:lastRenderedPageBreak/>
              <w:t>风；泰康资产管理有限责任公司；太仆投资；太平资产管理有限公司；太平养老保险股份有限公司；太平基金管理有限公司；苏州瑞华投资合伙企业；深圳市</w:t>
            </w:r>
            <w:proofErr w:type="gramStart"/>
            <w:r w:rsidRPr="001F4A2A">
              <w:rPr>
                <w:color w:val="000000"/>
                <w:kern w:val="0"/>
                <w:sz w:val="24"/>
              </w:rPr>
              <w:t>翼虎投资</w:t>
            </w:r>
            <w:proofErr w:type="gramEnd"/>
            <w:r w:rsidRPr="001F4A2A">
              <w:rPr>
                <w:color w:val="000000"/>
                <w:kern w:val="0"/>
                <w:sz w:val="24"/>
              </w:rPr>
              <w:t>管理有限公司；</w:t>
            </w:r>
            <w:proofErr w:type="gramStart"/>
            <w:r w:rsidRPr="001F4A2A">
              <w:rPr>
                <w:color w:val="000000"/>
                <w:kern w:val="0"/>
                <w:sz w:val="24"/>
              </w:rPr>
              <w:t>深圳固禾私募</w:t>
            </w:r>
            <w:proofErr w:type="gramEnd"/>
            <w:r w:rsidRPr="001F4A2A">
              <w:rPr>
                <w:color w:val="000000"/>
                <w:kern w:val="0"/>
                <w:sz w:val="24"/>
              </w:rPr>
              <w:t>证券基金管理有限公司；尚雅投资；上</w:t>
            </w:r>
            <w:proofErr w:type="gramStart"/>
            <w:r w:rsidRPr="001F4A2A">
              <w:rPr>
                <w:color w:val="000000"/>
                <w:kern w:val="0"/>
                <w:sz w:val="24"/>
              </w:rPr>
              <w:t>银基金</w:t>
            </w:r>
            <w:proofErr w:type="gramEnd"/>
            <w:r w:rsidRPr="001F4A2A">
              <w:rPr>
                <w:color w:val="000000"/>
                <w:kern w:val="0"/>
                <w:sz w:val="24"/>
              </w:rPr>
              <w:t>管理有限公司；上海重阳投资管理股份有限公司；上海证券有限责任公司；上海正心谷投资管理有限公司；上海臻宜投资管理有限公司；上海肇万资产管理有限公司；上海域秀资产管理有限公司；上海易正朗投资管理有限公司；上海雪石资产管理有限公司；上海瓦洛兰投资管理有限公司；</w:t>
            </w:r>
            <w:proofErr w:type="gramStart"/>
            <w:r w:rsidRPr="001F4A2A">
              <w:rPr>
                <w:color w:val="000000"/>
                <w:kern w:val="0"/>
                <w:sz w:val="24"/>
              </w:rPr>
              <w:t>上海途灵资产</w:t>
            </w:r>
            <w:proofErr w:type="gramEnd"/>
            <w:r w:rsidRPr="001F4A2A">
              <w:rPr>
                <w:color w:val="000000"/>
                <w:kern w:val="0"/>
                <w:sz w:val="24"/>
              </w:rPr>
              <w:t>；上海彤源投资发展有限公司；上海</w:t>
            </w:r>
            <w:proofErr w:type="gramStart"/>
            <w:r w:rsidRPr="001F4A2A">
              <w:rPr>
                <w:color w:val="000000"/>
                <w:kern w:val="0"/>
                <w:sz w:val="24"/>
              </w:rPr>
              <w:t>慎知资产</w:t>
            </w:r>
            <w:proofErr w:type="gramEnd"/>
            <w:r w:rsidRPr="001F4A2A">
              <w:rPr>
                <w:color w:val="000000"/>
                <w:kern w:val="0"/>
                <w:sz w:val="24"/>
              </w:rPr>
              <w:t>管理合伙企业；上海森锦投资管理有限公司；上海勤远投资管理中心；上海</w:t>
            </w:r>
            <w:proofErr w:type="gramStart"/>
            <w:r w:rsidRPr="001F4A2A">
              <w:rPr>
                <w:color w:val="000000"/>
                <w:kern w:val="0"/>
                <w:sz w:val="24"/>
              </w:rPr>
              <w:t>磐</w:t>
            </w:r>
            <w:proofErr w:type="gramEnd"/>
            <w:r w:rsidRPr="001F4A2A">
              <w:rPr>
                <w:color w:val="000000"/>
                <w:kern w:val="0"/>
                <w:sz w:val="24"/>
              </w:rPr>
              <w:t>行企业管理有限公司；上海盘京投资管理中心；上海南土资产管理有限公司；上海利幄私募基金管理有限公司；上海泾溪投资管理合伙企业；上海国泰君安证券资产管理有限公司；上海滚石投资管理有限公司；上海沣杨资产管理有限公司；上海东方证券资产管理有限公司；上海递归私募基金管理有限公司；上海道合私募基金管理有限公司；上海丹</w:t>
            </w:r>
            <w:proofErr w:type="gramStart"/>
            <w:r w:rsidRPr="001F4A2A">
              <w:rPr>
                <w:color w:val="000000"/>
                <w:kern w:val="0"/>
                <w:sz w:val="24"/>
              </w:rPr>
              <w:t>羿投资</w:t>
            </w:r>
            <w:proofErr w:type="gramEnd"/>
            <w:r w:rsidRPr="001F4A2A">
              <w:rPr>
                <w:color w:val="000000"/>
                <w:kern w:val="0"/>
                <w:sz w:val="24"/>
              </w:rPr>
              <w:t>管理合伙企业；上海保银私募基金管理有限公司；</w:t>
            </w:r>
            <w:proofErr w:type="gramStart"/>
            <w:r w:rsidRPr="001F4A2A">
              <w:rPr>
                <w:color w:val="000000"/>
                <w:kern w:val="0"/>
                <w:sz w:val="24"/>
              </w:rPr>
              <w:t>厦门市乾行资产</w:t>
            </w:r>
            <w:proofErr w:type="gramEnd"/>
            <w:r w:rsidRPr="001F4A2A">
              <w:rPr>
                <w:color w:val="000000"/>
                <w:kern w:val="0"/>
                <w:sz w:val="24"/>
              </w:rPr>
              <w:t>管理有限公司；厦门坤易投资管理有限公司；青</w:t>
            </w:r>
            <w:proofErr w:type="gramStart"/>
            <w:r w:rsidRPr="001F4A2A">
              <w:rPr>
                <w:color w:val="000000"/>
                <w:kern w:val="0"/>
                <w:sz w:val="24"/>
              </w:rPr>
              <w:t>榕</w:t>
            </w:r>
            <w:proofErr w:type="gramEnd"/>
            <w:r w:rsidRPr="001F4A2A">
              <w:rPr>
                <w:color w:val="000000"/>
                <w:kern w:val="0"/>
                <w:sz w:val="24"/>
              </w:rPr>
              <w:t>资产管理有限公司；青岛</w:t>
            </w:r>
            <w:proofErr w:type="gramStart"/>
            <w:r w:rsidRPr="001F4A2A">
              <w:rPr>
                <w:color w:val="000000"/>
                <w:kern w:val="0"/>
                <w:sz w:val="24"/>
              </w:rPr>
              <w:t>幂</w:t>
            </w:r>
            <w:proofErr w:type="gramEnd"/>
            <w:r w:rsidRPr="001F4A2A">
              <w:rPr>
                <w:color w:val="000000"/>
                <w:kern w:val="0"/>
                <w:sz w:val="24"/>
              </w:rPr>
              <w:t>加和私募基金管理有限责任公司；前海开源基金；平安养老保险股份有限公司；</w:t>
            </w:r>
            <w:proofErr w:type="gramStart"/>
            <w:r w:rsidRPr="001F4A2A">
              <w:rPr>
                <w:color w:val="000000"/>
                <w:kern w:val="0"/>
                <w:sz w:val="24"/>
              </w:rPr>
              <w:t>鹏扬基金</w:t>
            </w:r>
            <w:proofErr w:type="gramEnd"/>
            <w:r w:rsidRPr="001F4A2A">
              <w:rPr>
                <w:color w:val="000000"/>
                <w:kern w:val="0"/>
                <w:sz w:val="24"/>
              </w:rPr>
              <w:t>管理有限公司；</w:t>
            </w:r>
            <w:proofErr w:type="gramStart"/>
            <w:r w:rsidRPr="001F4A2A">
              <w:rPr>
                <w:color w:val="000000"/>
                <w:kern w:val="0"/>
                <w:sz w:val="24"/>
              </w:rPr>
              <w:t>宁银理财</w:t>
            </w:r>
            <w:proofErr w:type="gramEnd"/>
            <w:r w:rsidRPr="001F4A2A">
              <w:rPr>
                <w:color w:val="000000"/>
                <w:kern w:val="0"/>
                <w:sz w:val="24"/>
              </w:rPr>
              <w:t>有限责任公司；南京望岳投资管理有限公司；摩根基金管理；</w:t>
            </w:r>
            <w:proofErr w:type="gramStart"/>
            <w:r w:rsidRPr="001F4A2A">
              <w:rPr>
                <w:color w:val="000000"/>
                <w:kern w:val="0"/>
                <w:sz w:val="24"/>
              </w:rPr>
              <w:t>幂</w:t>
            </w:r>
            <w:proofErr w:type="gramEnd"/>
            <w:r w:rsidRPr="001F4A2A">
              <w:rPr>
                <w:color w:val="000000"/>
                <w:kern w:val="0"/>
                <w:sz w:val="24"/>
              </w:rPr>
              <w:t>方资本；茂源资本；利安人寿保险股份有限公司；康曼德资本管理有限公司；开源证券；开源医药；</w:t>
            </w:r>
            <w:proofErr w:type="gramStart"/>
            <w:r w:rsidRPr="001F4A2A">
              <w:rPr>
                <w:color w:val="000000"/>
                <w:kern w:val="0"/>
                <w:sz w:val="24"/>
              </w:rPr>
              <w:t>静实投资</w:t>
            </w:r>
            <w:proofErr w:type="gramEnd"/>
            <w:r w:rsidRPr="001F4A2A">
              <w:rPr>
                <w:color w:val="000000"/>
                <w:kern w:val="0"/>
                <w:sz w:val="24"/>
              </w:rPr>
              <w:t>；景顺长城基金管理有限公司；金元顺</w:t>
            </w:r>
            <w:proofErr w:type="gramStart"/>
            <w:r w:rsidRPr="001F4A2A">
              <w:rPr>
                <w:color w:val="000000"/>
                <w:kern w:val="0"/>
                <w:sz w:val="24"/>
              </w:rPr>
              <w:t>安基金</w:t>
            </w:r>
            <w:proofErr w:type="gramEnd"/>
            <w:r w:rsidRPr="001F4A2A">
              <w:rPr>
                <w:color w:val="000000"/>
                <w:kern w:val="0"/>
                <w:sz w:val="24"/>
              </w:rPr>
              <w:t>管理有限公司；金鹰基金管理有限公司；交银康联；建信基金管理有限责任公司；嘉实基金；汇华理财有限公司；汇</w:t>
            </w:r>
            <w:proofErr w:type="gramStart"/>
            <w:r w:rsidRPr="001F4A2A">
              <w:rPr>
                <w:color w:val="000000"/>
                <w:kern w:val="0"/>
                <w:sz w:val="24"/>
              </w:rPr>
              <w:t>丰晋信</w:t>
            </w:r>
            <w:proofErr w:type="gramEnd"/>
            <w:r w:rsidRPr="001F4A2A">
              <w:rPr>
                <w:color w:val="000000"/>
                <w:kern w:val="0"/>
                <w:sz w:val="24"/>
              </w:rPr>
              <w:t>基金管理有限公司；</w:t>
            </w:r>
            <w:proofErr w:type="gramStart"/>
            <w:r w:rsidRPr="001F4A2A">
              <w:rPr>
                <w:color w:val="000000"/>
                <w:kern w:val="0"/>
                <w:sz w:val="24"/>
              </w:rPr>
              <w:t>汇安基金</w:t>
            </w:r>
            <w:proofErr w:type="gramEnd"/>
            <w:r w:rsidRPr="001F4A2A">
              <w:rPr>
                <w:color w:val="000000"/>
                <w:kern w:val="0"/>
                <w:sz w:val="24"/>
              </w:rPr>
              <w:t>管理有限责任公</w:t>
            </w:r>
            <w:r w:rsidRPr="001F4A2A">
              <w:rPr>
                <w:color w:val="000000"/>
                <w:kern w:val="0"/>
                <w:sz w:val="24"/>
              </w:rPr>
              <w:lastRenderedPageBreak/>
              <w:t>司；华源医药；华夏</w:t>
            </w:r>
            <w:proofErr w:type="gramStart"/>
            <w:r w:rsidRPr="001F4A2A">
              <w:rPr>
                <w:color w:val="000000"/>
                <w:kern w:val="0"/>
                <w:sz w:val="24"/>
              </w:rPr>
              <w:t>久盈资产</w:t>
            </w:r>
            <w:proofErr w:type="gramEnd"/>
            <w:r w:rsidRPr="001F4A2A">
              <w:rPr>
                <w:color w:val="000000"/>
                <w:kern w:val="0"/>
                <w:sz w:val="24"/>
              </w:rPr>
              <w:t>管理有限责任公司；华夏基金管理有限公司；华泰证券股份有限公司；华泰保兴基金管理有限公司；华泰柏瑞基金管理有限公司；华商基金管理有限公司；</w:t>
            </w:r>
            <w:proofErr w:type="gramStart"/>
            <w:r w:rsidRPr="001F4A2A">
              <w:rPr>
                <w:color w:val="000000"/>
                <w:kern w:val="0"/>
                <w:sz w:val="24"/>
              </w:rPr>
              <w:t>华能贵诚信</w:t>
            </w:r>
            <w:proofErr w:type="gramEnd"/>
            <w:r w:rsidRPr="001F4A2A">
              <w:rPr>
                <w:color w:val="000000"/>
                <w:kern w:val="0"/>
                <w:sz w:val="24"/>
              </w:rPr>
              <w:t>托；华美国际投资集团有限公司；华福证券；华</w:t>
            </w:r>
            <w:proofErr w:type="gramStart"/>
            <w:r w:rsidRPr="001F4A2A">
              <w:rPr>
                <w:color w:val="000000"/>
                <w:kern w:val="0"/>
                <w:sz w:val="24"/>
              </w:rPr>
              <w:t>宝基金</w:t>
            </w:r>
            <w:proofErr w:type="gramEnd"/>
            <w:r w:rsidRPr="001F4A2A">
              <w:rPr>
                <w:color w:val="000000"/>
                <w:kern w:val="0"/>
                <w:sz w:val="24"/>
              </w:rPr>
              <w:t>管理有限公司；华安医药；华安基金管理有限公司；宏</w:t>
            </w:r>
            <w:proofErr w:type="gramStart"/>
            <w:r w:rsidRPr="001F4A2A">
              <w:rPr>
                <w:color w:val="000000"/>
                <w:kern w:val="0"/>
                <w:sz w:val="24"/>
              </w:rPr>
              <w:t>利基金</w:t>
            </w:r>
            <w:proofErr w:type="gramEnd"/>
            <w:r w:rsidRPr="001F4A2A">
              <w:rPr>
                <w:color w:val="000000"/>
                <w:kern w:val="0"/>
                <w:sz w:val="24"/>
              </w:rPr>
              <w:t>管理有限公司；</w:t>
            </w:r>
            <w:proofErr w:type="gramStart"/>
            <w:r w:rsidRPr="001F4A2A">
              <w:rPr>
                <w:color w:val="000000"/>
                <w:kern w:val="0"/>
                <w:sz w:val="24"/>
              </w:rPr>
              <w:t>恒</w:t>
            </w:r>
            <w:proofErr w:type="gramEnd"/>
            <w:r w:rsidRPr="001F4A2A">
              <w:rPr>
                <w:color w:val="000000"/>
                <w:kern w:val="0"/>
                <w:sz w:val="24"/>
              </w:rPr>
              <w:t>生前</w:t>
            </w:r>
            <w:proofErr w:type="gramStart"/>
            <w:r w:rsidRPr="001F4A2A">
              <w:rPr>
                <w:color w:val="000000"/>
                <w:kern w:val="0"/>
                <w:sz w:val="24"/>
              </w:rPr>
              <w:t>海基金</w:t>
            </w:r>
            <w:proofErr w:type="gramEnd"/>
            <w:r w:rsidRPr="001F4A2A">
              <w:rPr>
                <w:color w:val="000000"/>
                <w:kern w:val="0"/>
                <w:sz w:val="24"/>
              </w:rPr>
              <w:t>管理有限公司；</w:t>
            </w:r>
            <w:proofErr w:type="gramStart"/>
            <w:r w:rsidRPr="001F4A2A">
              <w:rPr>
                <w:color w:val="000000"/>
                <w:kern w:val="0"/>
                <w:sz w:val="24"/>
              </w:rPr>
              <w:t>禾永投资</w:t>
            </w:r>
            <w:proofErr w:type="gramEnd"/>
            <w:r w:rsidRPr="001F4A2A">
              <w:rPr>
                <w:color w:val="000000"/>
                <w:kern w:val="0"/>
                <w:sz w:val="24"/>
              </w:rPr>
              <w:t>管理；杭州中大君悦投资有限公司；杭州乾</w:t>
            </w:r>
            <w:proofErr w:type="gramStart"/>
            <w:r w:rsidRPr="001F4A2A">
              <w:rPr>
                <w:color w:val="000000"/>
                <w:kern w:val="0"/>
                <w:sz w:val="24"/>
              </w:rPr>
              <w:t>璐</w:t>
            </w:r>
            <w:proofErr w:type="gramEnd"/>
            <w:r w:rsidRPr="001F4A2A">
              <w:rPr>
                <w:color w:val="000000"/>
                <w:kern w:val="0"/>
                <w:sz w:val="24"/>
              </w:rPr>
              <w:t>投资管理有限公司；韩国投资信托运用株式会社上海代表处；国信证券股份有限公司；国投证券；国泰基金管理有限公司；国</w:t>
            </w:r>
            <w:proofErr w:type="gramStart"/>
            <w:r w:rsidRPr="001F4A2A">
              <w:rPr>
                <w:color w:val="000000"/>
                <w:kern w:val="0"/>
                <w:sz w:val="24"/>
              </w:rPr>
              <w:t>任财产</w:t>
            </w:r>
            <w:proofErr w:type="gramEnd"/>
            <w:r w:rsidRPr="001F4A2A">
              <w:rPr>
                <w:color w:val="000000"/>
                <w:kern w:val="0"/>
                <w:sz w:val="24"/>
              </w:rPr>
              <w:t>保险股份有限公司；国联证券；国联基金管理有限公司；国金证券资产管理有限公司；国</w:t>
            </w:r>
            <w:proofErr w:type="gramStart"/>
            <w:r w:rsidRPr="001F4A2A">
              <w:rPr>
                <w:color w:val="000000"/>
                <w:kern w:val="0"/>
                <w:sz w:val="24"/>
              </w:rPr>
              <w:t>金基金</w:t>
            </w:r>
            <w:proofErr w:type="gramEnd"/>
            <w:r w:rsidRPr="001F4A2A">
              <w:rPr>
                <w:color w:val="000000"/>
                <w:kern w:val="0"/>
                <w:sz w:val="24"/>
              </w:rPr>
              <w:t>管理有限公司；国华兴益；国海富兰克林基金管理有限公司；光大证券股份有限公司；观合；歌</w:t>
            </w:r>
            <w:proofErr w:type="gramStart"/>
            <w:r w:rsidRPr="001F4A2A">
              <w:rPr>
                <w:color w:val="000000"/>
                <w:kern w:val="0"/>
                <w:sz w:val="24"/>
              </w:rPr>
              <w:t>斐</w:t>
            </w:r>
            <w:proofErr w:type="gramEnd"/>
            <w:r w:rsidRPr="001F4A2A">
              <w:rPr>
                <w:color w:val="000000"/>
                <w:kern w:val="0"/>
                <w:sz w:val="24"/>
              </w:rPr>
              <w:t>资产管理有限公司；富荣基金；富国基金；方正证券股份有限公司；东证</w:t>
            </w:r>
            <w:proofErr w:type="gramStart"/>
            <w:r w:rsidRPr="001F4A2A">
              <w:rPr>
                <w:color w:val="000000"/>
                <w:kern w:val="0"/>
                <w:sz w:val="24"/>
              </w:rPr>
              <w:t>融汇</w:t>
            </w:r>
            <w:proofErr w:type="gramEnd"/>
            <w:r w:rsidRPr="001F4A2A">
              <w:rPr>
                <w:color w:val="000000"/>
                <w:kern w:val="0"/>
                <w:sz w:val="24"/>
              </w:rPr>
              <w:t>证券资产管理有限公司；东吴基金管理有限公司；东吴；东海医药；东海基金；东方证券股份有限公司；东方基金管理股份有限公司；东方阿尔法基金管理有限公司；东北证券股份有限公司；德</w:t>
            </w:r>
            <w:proofErr w:type="gramStart"/>
            <w:r w:rsidRPr="001F4A2A">
              <w:rPr>
                <w:color w:val="000000"/>
                <w:kern w:val="0"/>
                <w:sz w:val="24"/>
              </w:rPr>
              <w:t>邦</w:t>
            </w:r>
            <w:proofErr w:type="gramEnd"/>
            <w:r w:rsidRPr="001F4A2A">
              <w:rPr>
                <w:color w:val="000000"/>
                <w:kern w:val="0"/>
                <w:sz w:val="24"/>
              </w:rPr>
              <w:t>证券；淡水泉；</w:t>
            </w:r>
            <w:proofErr w:type="gramStart"/>
            <w:r w:rsidRPr="001F4A2A">
              <w:rPr>
                <w:color w:val="000000"/>
                <w:kern w:val="0"/>
                <w:sz w:val="24"/>
              </w:rPr>
              <w:t>创金合</w:t>
            </w:r>
            <w:proofErr w:type="gramEnd"/>
            <w:r w:rsidRPr="001F4A2A">
              <w:rPr>
                <w:color w:val="000000"/>
                <w:kern w:val="0"/>
                <w:sz w:val="24"/>
              </w:rPr>
              <w:t>信基金管理有限公司；财信吉祥人寿保险股份有限公司；财通证券资产管理有限公司；财通医药；财通基金管理有限公司；</w:t>
            </w:r>
            <w:proofErr w:type="gramStart"/>
            <w:r w:rsidRPr="001F4A2A">
              <w:rPr>
                <w:color w:val="000000"/>
                <w:kern w:val="0"/>
                <w:sz w:val="24"/>
              </w:rPr>
              <w:t>博裕资本</w:t>
            </w:r>
            <w:proofErr w:type="gramEnd"/>
            <w:r w:rsidRPr="001F4A2A">
              <w:rPr>
                <w:color w:val="000000"/>
                <w:kern w:val="0"/>
                <w:sz w:val="24"/>
              </w:rPr>
              <w:t>投资管理有限公司；博时基金管理有限公司；北京遵道资产管理有限公司；北京金百镕投资管理有限公司；北京富智投资管理有限公司；宝</w:t>
            </w:r>
            <w:proofErr w:type="gramStart"/>
            <w:r w:rsidRPr="001F4A2A">
              <w:rPr>
                <w:color w:val="000000"/>
                <w:kern w:val="0"/>
                <w:sz w:val="24"/>
              </w:rPr>
              <w:t>盈基金</w:t>
            </w:r>
            <w:proofErr w:type="gramEnd"/>
            <w:r w:rsidRPr="001F4A2A">
              <w:rPr>
                <w:color w:val="000000"/>
                <w:kern w:val="0"/>
                <w:sz w:val="24"/>
              </w:rPr>
              <w:t>管理有限公司；安信基金管理有限责任公司；</w:t>
            </w:r>
            <w:proofErr w:type="spellStart"/>
            <w:r w:rsidRPr="001F4A2A">
              <w:rPr>
                <w:color w:val="000000"/>
                <w:kern w:val="0"/>
                <w:sz w:val="24"/>
              </w:rPr>
              <w:t>sagepartners</w:t>
            </w:r>
            <w:proofErr w:type="spellEnd"/>
            <w:r w:rsidRPr="001F4A2A">
              <w:rPr>
                <w:color w:val="000000"/>
                <w:kern w:val="0"/>
                <w:sz w:val="24"/>
              </w:rPr>
              <w:t>；</w:t>
            </w:r>
            <w:r w:rsidRPr="001F4A2A">
              <w:rPr>
                <w:color w:val="000000"/>
                <w:kern w:val="0"/>
                <w:sz w:val="24"/>
              </w:rPr>
              <w:t>Point72,L.P.</w:t>
            </w:r>
            <w:r w:rsidRPr="001F4A2A">
              <w:rPr>
                <w:color w:val="000000"/>
                <w:kern w:val="0"/>
                <w:sz w:val="24"/>
              </w:rPr>
              <w:t>；</w:t>
            </w:r>
            <w:proofErr w:type="spellStart"/>
            <w:r w:rsidRPr="001F4A2A">
              <w:rPr>
                <w:color w:val="000000"/>
                <w:kern w:val="0"/>
                <w:sz w:val="24"/>
              </w:rPr>
              <w:t>LyGH</w:t>
            </w:r>
            <w:proofErr w:type="spellEnd"/>
            <w:r w:rsidR="005B61A1">
              <w:rPr>
                <w:color w:val="000000"/>
                <w:kern w:val="0"/>
                <w:sz w:val="24"/>
              </w:rPr>
              <w:t xml:space="preserve"> </w:t>
            </w:r>
            <w:r w:rsidRPr="001F4A2A">
              <w:rPr>
                <w:color w:val="000000"/>
                <w:kern w:val="0"/>
                <w:sz w:val="24"/>
              </w:rPr>
              <w:t>Capital</w:t>
            </w:r>
            <w:r w:rsidRPr="001F4A2A">
              <w:rPr>
                <w:color w:val="000000"/>
                <w:kern w:val="0"/>
                <w:sz w:val="24"/>
              </w:rPr>
              <w:t>；个人投资者</w:t>
            </w:r>
          </w:p>
          <w:p w:rsidR="005B61A1" w:rsidRPr="001F4A2A" w:rsidRDefault="005B61A1">
            <w:pPr>
              <w:autoSpaceDE w:val="0"/>
              <w:autoSpaceDN w:val="0"/>
              <w:adjustRightInd w:val="0"/>
              <w:spacing w:line="460" w:lineRule="exact"/>
              <w:rPr>
                <w:rFonts w:hint="eastAsia"/>
                <w:color w:val="000000"/>
                <w:kern w:val="0"/>
                <w:sz w:val="24"/>
              </w:rPr>
            </w:pPr>
          </w:p>
        </w:tc>
        <w:bookmarkStart w:id="0" w:name="_GoBack"/>
        <w:bookmarkEnd w:id="0"/>
      </w:tr>
      <w:tr w:rsidR="00EB410A" w:rsidTr="004B730A">
        <w:trPr>
          <w:trHeight w:val="624"/>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lastRenderedPageBreak/>
              <w:t>时间</w:t>
            </w:r>
          </w:p>
        </w:tc>
        <w:tc>
          <w:tcPr>
            <w:tcW w:w="3563" w:type="pct"/>
            <w:vAlign w:val="center"/>
          </w:tcPr>
          <w:p w:rsidR="00EB410A" w:rsidRDefault="003225B2">
            <w:pPr>
              <w:autoSpaceDE w:val="0"/>
              <w:autoSpaceDN w:val="0"/>
              <w:adjustRightInd w:val="0"/>
              <w:spacing w:line="460" w:lineRule="exact"/>
              <w:rPr>
                <w:color w:val="000000"/>
                <w:kern w:val="0"/>
                <w:sz w:val="24"/>
              </w:rPr>
            </w:pPr>
            <w:r>
              <w:rPr>
                <w:rFonts w:hint="eastAsia"/>
                <w:kern w:val="0"/>
                <w:sz w:val="24"/>
              </w:rPr>
              <w:t>2024</w:t>
            </w:r>
            <w:r>
              <w:rPr>
                <w:rFonts w:hint="eastAsia"/>
                <w:kern w:val="0"/>
                <w:sz w:val="24"/>
              </w:rPr>
              <w:t>年</w:t>
            </w:r>
            <w:r>
              <w:rPr>
                <w:rFonts w:hint="eastAsia"/>
                <w:kern w:val="0"/>
                <w:sz w:val="24"/>
              </w:rPr>
              <w:t>8</w:t>
            </w:r>
            <w:r>
              <w:rPr>
                <w:rFonts w:hint="eastAsia"/>
                <w:kern w:val="0"/>
                <w:sz w:val="24"/>
              </w:rPr>
              <w:t>月</w:t>
            </w:r>
            <w:r>
              <w:rPr>
                <w:rFonts w:hint="eastAsia"/>
                <w:kern w:val="0"/>
                <w:sz w:val="24"/>
              </w:rPr>
              <w:t>23</w:t>
            </w:r>
            <w:r>
              <w:rPr>
                <w:rFonts w:hint="eastAsia"/>
                <w:kern w:val="0"/>
                <w:sz w:val="24"/>
              </w:rPr>
              <w:t>日</w:t>
            </w:r>
            <w:r w:rsidR="000D7902">
              <w:rPr>
                <w:rFonts w:hint="eastAsia"/>
                <w:kern w:val="0"/>
                <w:sz w:val="24"/>
              </w:rPr>
              <w:t xml:space="preserve"> </w:t>
            </w:r>
            <w:r w:rsidR="000D7902">
              <w:rPr>
                <w:rFonts w:hint="eastAsia"/>
                <w:kern w:val="0"/>
                <w:sz w:val="24"/>
              </w:rPr>
              <w:t>9:</w:t>
            </w:r>
            <w:r w:rsidR="000D7902">
              <w:rPr>
                <w:kern w:val="0"/>
                <w:sz w:val="24"/>
              </w:rPr>
              <w:t>00-10</w:t>
            </w:r>
            <w:r w:rsidR="000D7902">
              <w:rPr>
                <w:rFonts w:hint="eastAsia"/>
                <w:kern w:val="0"/>
                <w:sz w:val="24"/>
              </w:rPr>
              <w:t>:</w:t>
            </w:r>
            <w:r w:rsidR="000D7902">
              <w:rPr>
                <w:kern w:val="0"/>
                <w:sz w:val="24"/>
              </w:rPr>
              <w:t>00</w:t>
            </w:r>
          </w:p>
        </w:tc>
      </w:tr>
      <w:tr w:rsidR="00EB410A" w:rsidTr="004B730A">
        <w:trPr>
          <w:trHeight w:val="624"/>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63" w:type="pct"/>
            <w:vAlign w:val="center"/>
          </w:tcPr>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公司会议室</w:t>
            </w:r>
          </w:p>
        </w:tc>
      </w:tr>
      <w:tr w:rsidR="00EB410A" w:rsidTr="004B730A">
        <w:trPr>
          <w:trHeight w:val="624"/>
          <w:jc w:val="center"/>
        </w:trPr>
        <w:tc>
          <w:tcPr>
            <w:tcW w:w="1437" w:type="pct"/>
            <w:vAlign w:val="center"/>
          </w:tcPr>
          <w:p w:rsidR="00EB410A" w:rsidRDefault="003225B2">
            <w:pPr>
              <w:pStyle w:val="af5"/>
              <w:ind w:firstLineChars="0" w:firstLine="0"/>
              <w:jc w:val="center"/>
              <w:rPr>
                <w:shd w:val="clear" w:color="auto" w:fill="auto"/>
              </w:rPr>
            </w:pPr>
            <w:r>
              <w:rPr>
                <w:rFonts w:hint="eastAsia"/>
                <w:shd w:val="clear" w:color="auto" w:fill="auto"/>
              </w:rPr>
              <w:lastRenderedPageBreak/>
              <w:t>公司接待人员姓名</w:t>
            </w:r>
          </w:p>
        </w:tc>
        <w:tc>
          <w:tcPr>
            <w:tcW w:w="3563" w:type="pct"/>
            <w:vAlign w:val="center"/>
          </w:tcPr>
          <w:p w:rsidR="00EB410A" w:rsidRDefault="003225B2">
            <w:pPr>
              <w:pStyle w:val="af5"/>
              <w:ind w:firstLineChars="0" w:firstLine="0"/>
              <w:rPr>
                <w:shd w:val="clear" w:color="auto" w:fill="auto"/>
              </w:rPr>
            </w:pPr>
            <w:r>
              <w:rPr>
                <w:rFonts w:hint="eastAsia"/>
                <w:shd w:val="clear" w:color="auto" w:fill="auto"/>
              </w:rPr>
              <w:t>董事长兼总经理</w:t>
            </w:r>
            <w:r>
              <w:rPr>
                <w:rFonts w:hint="eastAsia"/>
                <w:shd w:val="clear" w:color="auto" w:fill="auto"/>
              </w:rPr>
              <w:t xml:space="preserve"> </w:t>
            </w:r>
            <w:r>
              <w:rPr>
                <w:rFonts w:hint="eastAsia"/>
                <w:shd w:val="clear" w:color="auto" w:fill="auto"/>
              </w:rPr>
              <w:t>孙黎先生</w:t>
            </w:r>
          </w:p>
          <w:p w:rsidR="00EB410A" w:rsidRDefault="003225B2">
            <w:pPr>
              <w:pStyle w:val="af5"/>
              <w:ind w:firstLineChars="0" w:firstLine="0"/>
              <w:rPr>
                <w:shd w:val="clear" w:color="auto" w:fill="auto"/>
              </w:rPr>
            </w:pPr>
            <w:r>
              <w:rPr>
                <w:rFonts w:hint="eastAsia"/>
                <w:shd w:val="clear" w:color="auto" w:fill="auto"/>
              </w:rPr>
              <w:t>副总经理</w:t>
            </w:r>
            <w:proofErr w:type="gramStart"/>
            <w:r>
              <w:rPr>
                <w:rFonts w:hint="eastAsia"/>
                <w:shd w:val="clear" w:color="auto" w:fill="auto"/>
              </w:rPr>
              <w:t>兼董秘</w:t>
            </w:r>
            <w:proofErr w:type="gramEnd"/>
            <w:r>
              <w:rPr>
                <w:rFonts w:hint="eastAsia"/>
                <w:shd w:val="clear" w:color="auto" w:fill="auto"/>
              </w:rPr>
              <w:t xml:space="preserve"> </w:t>
            </w:r>
            <w:r>
              <w:rPr>
                <w:rFonts w:hint="eastAsia"/>
                <w:shd w:val="clear" w:color="auto" w:fill="auto"/>
              </w:rPr>
              <w:t>孙志里先生</w:t>
            </w:r>
          </w:p>
          <w:p w:rsidR="00EB410A" w:rsidRDefault="003225B2">
            <w:pPr>
              <w:pStyle w:val="af5"/>
              <w:ind w:firstLineChars="0" w:firstLine="0"/>
              <w:rPr>
                <w:shd w:val="clear" w:color="auto" w:fill="auto"/>
              </w:rPr>
            </w:pPr>
            <w:r>
              <w:rPr>
                <w:rFonts w:hint="eastAsia"/>
                <w:shd w:val="clear" w:color="auto" w:fill="auto"/>
              </w:rPr>
              <w:t>财务总监</w:t>
            </w:r>
            <w:r>
              <w:rPr>
                <w:rFonts w:hint="eastAsia"/>
                <w:shd w:val="clear" w:color="auto" w:fill="auto"/>
              </w:rPr>
              <w:t xml:space="preserve"> </w:t>
            </w:r>
            <w:r>
              <w:rPr>
                <w:rFonts w:hint="eastAsia"/>
                <w:shd w:val="clear" w:color="auto" w:fill="auto"/>
              </w:rPr>
              <w:t>杨毅玲女士</w:t>
            </w:r>
          </w:p>
        </w:tc>
      </w:tr>
      <w:tr w:rsidR="004B730A" w:rsidTr="004B730A">
        <w:trPr>
          <w:jc w:val="center"/>
        </w:trPr>
        <w:tc>
          <w:tcPr>
            <w:tcW w:w="1437" w:type="pct"/>
            <w:vAlign w:val="center"/>
          </w:tcPr>
          <w:p w:rsidR="004B730A" w:rsidRDefault="004B730A" w:rsidP="004B730A">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563" w:type="pct"/>
            <w:vAlign w:val="center"/>
          </w:tcPr>
          <w:p w:rsidR="004B730A" w:rsidRPr="00434E51" w:rsidRDefault="004B730A" w:rsidP="004B730A">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一</w:t>
            </w:r>
            <w:r w:rsidRPr="00434E51">
              <w:rPr>
                <w:rFonts w:hint="eastAsia"/>
                <w:b/>
                <w:color w:val="000000" w:themeColor="text1"/>
                <w:szCs w:val="24"/>
                <w:shd w:val="clear" w:color="auto" w:fill="auto"/>
              </w:rPr>
              <w:t>、</w:t>
            </w:r>
            <w:proofErr w:type="gramStart"/>
            <w:r w:rsidRPr="00434E51">
              <w:rPr>
                <w:rFonts w:hint="eastAsia"/>
                <w:b/>
                <w:color w:val="000000" w:themeColor="text1"/>
                <w:szCs w:val="24"/>
                <w:shd w:val="clear" w:color="auto" w:fill="auto"/>
              </w:rPr>
              <w:t>如何看派格宾</w:t>
            </w:r>
            <w:proofErr w:type="gramEnd"/>
            <w:r w:rsidRPr="00434E51">
              <w:rPr>
                <w:rFonts w:hint="eastAsia"/>
                <w:b/>
                <w:color w:val="000000" w:themeColor="text1"/>
                <w:szCs w:val="24"/>
                <w:shd w:val="clear" w:color="auto" w:fill="auto"/>
              </w:rPr>
              <w:t>及乙肝治愈市场未来增长空间？比如</w:t>
            </w:r>
            <w:r w:rsidRPr="00434E51">
              <w:rPr>
                <w:b/>
                <w:color w:val="000000" w:themeColor="text1"/>
                <w:szCs w:val="24"/>
                <w:shd w:val="clear" w:color="auto" w:fill="auto"/>
              </w:rPr>
              <w:t>目前</w:t>
            </w:r>
            <w:r w:rsidRPr="00434E51">
              <w:rPr>
                <w:rFonts w:hint="eastAsia"/>
                <w:b/>
                <w:color w:val="000000" w:themeColor="text1"/>
                <w:szCs w:val="24"/>
                <w:shd w:val="clear" w:color="auto" w:fill="auto"/>
              </w:rPr>
              <w:t>8</w:t>
            </w:r>
            <w:r w:rsidRPr="00434E51">
              <w:rPr>
                <w:b/>
                <w:color w:val="000000" w:themeColor="text1"/>
                <w:szCs w:val="24"/>
                <w:shd w:val="clear" w:color="auto" w:fill="auto"/>
              </w:rPr>
              <w:t>0</w:t>
            </w:r>
            <w:r w:rsidRPr="00434E51">
              <w:rPr>
                <w:rFonts w:hint="eastAsia"/>
                <w:b/>
                <w:color w:val="000000" w:themeColor="text1"/>
                <w:szCs w:val="24"/>
                <w:shd w:val="clear" w:color="auto" w:fill="auto"/>
              </w:rPr>
              <w:t>00</w:t>
            </w:r>
            <w:r w:rsidRPr="00434E51">
              <w:rPr>
                <w:b/>
                <w:color w:val="000000" w:themeColor="text1"/>
                <w:szCs w:val="24"/>
                <w:shd w:val="clear" w:color="auto" w:fill="auto"/>
              </w:rPr>
              <w:t>多</w:t>
            </w:r>
            <w:r w:rsidRPr="00434E51">
              <w:rPr>
                <w:rFonts w:hint="eastAsia"/>
                <w:b/>
                <w:color w:val="000000" w:themeColor="text1"/>
                <w:szCs w:val="24"/>
                <w:shd w:val="clear" w:color="auto" w:fill="auto"/>
              </w:rPr>
              <w:t>万</w:t>
            </w:r>
            <w:r w:rsidRPr="00434E51">
              <w:rPr>
                <w:b/>
                <w:color w:val="000000" w:themeColor="text1"/>
                <w:szCs w:val="24"/>
                <w:shd w:val="clear" w:color="auto" w:fill="auto"/>
              </w:rPr>
              <w:t>的</w:t>
            </w:r>
            <w:r w:rsidRPr="00434E51">
              <w:rPr>
                <w:rFonts w:hint="eastAsia"/>
                <w:b/>
                <w:color w:val="000000" w:themeColor="text1"/>
                <w:szCs w:val="24"/>
                <w:shd w:val="clear" w:color="auto" w:fill="auto"/>
              </w:rPr>
              <w:t>感染者</w:t>
            </w:r>
            <w:r w:rsidRPr="00434E51">
              <w:rPr>
                <w:b/>
                <w:color w:val="000000" w:themeColor="text1"/>
                <w:szCs w:val="24"/>
                <w:shd w:val="clear" w:color="auto" w:fill="auto"/>
              </w:rPr>
              <w:t>中，接受抗病毒治疗的患者中乙肝治愈获益患者比例大概有多少？</w:t>
            </w:r>
            <w:r w:rsidRPr="00434E51">
              <w:rPr>
                <w:rFonts w:hint="eastAsia"/>
                <w:b/>
                <w:color w:val="000000" w:themeColor="text1"/>
                <w:szCs w:val="24"/>
                <w:shd w:val="clear" w:color="auto" w:fill="auto"/>
              </w:rPr>
              <w:t>表面抗原适合且不良反应可承受</w:t>
            </w:r>
            <w:r w:rsidRPr="00434E51">
              <w:rPr>
                <w:b/>
                <w:color w:val="000000" w:themeColor="text1"/>
                <w:szCs w:val="24"/>
                <w:shd w:val="clear" w:color="auto" w:fill="auto"/>
              </w:rPr>
              <w:t>的患者中，慢乙肝临床治愈患者的比例有多少</w:t>
            </w:r>
            <w:r w:rsidRPr="00434E51">
              <w:rPr>
                <w:rFonts w:hint="eastAsia"/>
                <w:b/>
                <w:color w:val="000000" w:themeColor="text1"/>
                <w:szCs w:val="24"/>
                <w:shd w:val="clear" w:color="auto" w:fill="auto"/>
              </w:rPr>
              <w:t>？</w:t>
            </w:r>
          </w:p>
          <w:p w:rsidR="004B730A" w:rsidRPr="00434E51" w:rsidRDefault="004B730A" w:rsidP="004B730A">
            <w:pPr>
              <w:pStyle w:val="af5"/>
              <w:spacing w:beforeLines="50" w:before="156" w:afterLines="50" w:after="156"/>
              <w:ind w:firstLine="480"/>
              <w:rPr>
                <w:color w:val="000000" w:themeColor="text1"/>
                <w:szCs w:val="28"/>
                <w:lang w:bidi="ar"/>
              </w:rPr>
            </w:pPr>
            <w:r w:rsidRPr="00434E51">
              <w:rPr>
                <w:rFonts w:hint="eastAsia"/>
                <w:color w:val="000000" w:themeColor="text1"/>
                <w:szCs w:val="24"/>
                <w:shd w:val="clear" w:color="auto" w:fill="auto"/>
              </w:rPr>
              <w:t>答：</w:t>
            </w:r>
            <w:r w:rsidRPr="00434E51">
              <w:rPr>
                <w:color w:val="000000" w:themeColor="text1"/>
                <w:szCs w:val="24"/>
                <w:shd w:val="clear" w:color="auto" w:fill="auto"/>
              </w:rPr>
              <w:t>依</w:t>
            </w:r>
            <w:r w:rsidRPr="00434E51">
              <w:rPr>
                <w:rFonts w:hint="eastAsia"/>
                <w:color w:val="000000" w:themeColor="text1"/>
                <w:szCs w:val="24"/>
                <w:shd w:val="clear" w:color="auto" w:fill="auto"/>
              </w:rPr>
              <w:t>据第三方数据库抗病毒药物使用数据推算，目前我国现有抗病毒治疗人群约为</w:t>
            </w:r>
            <w:r w:rsidRPr="00434E51">
              <w:rPr>
                <w:rFonts w:hint="eastAsia"/>
                <w:color w:val="000000" w:themeColor="text1"/>
                <w:szCs w:val="24"/>
                <w:shd w:val="clear" w:color="auto" w:fill="auto"/>
              </w:rPr>
              <w:t>500</w:t>
            </w:r>
            <w:r>
              <w:rPr>
                <w:rFonts w:hint="eastAsia"/>
                <w:color w:val="000000" w:themeColor="text1"/>
                <w:szCs w:val="24"/>
                <w:shd w:val="clear" w:color="auto" w:fill="auto"/>
              </w:rPr>
              <w:t>万</w:t>
            </w:r>
            <w:r w:rsidRPr="00434E51">
              <w:rPr>
                <w:rFonts w:hint="eastAsia"/>
                <w:color w:val="000000" w:themeColor="text1"/>
                <w:szCs w:val="24"/>
                <w:shd w:val="clear" w:color="auto" w:fill="auto"/>
              </w:rPr>
              <w:t>-600</w:t>
            </w:r>
            <w:r w:rsidRPr="00434E51">
              <w:rPr>
                <w:rFonts w:hint="eastAsia"/>
                <w:color w:val="000000" w:themeColor="text1"/>
                <w:szCs w:val="24"/>
                <w:shd w:val="clear" w:color="auto" w:fill="auto"/>
              </w:rPr>
              <w:t>万</w:t>
            </w:r>
            <w:r w:rsidRPr="00434E51">
              <w:rPr>
                <w:color w:val="000000" w:themeColor="text1"/>
                <w:szCs w:val="24"/>
                <w:shd w:val="clear" w:color="auto" w:fill="auto"/>
              </w:rPr>
              <w:t>。根据临床医院横断面研究数据，在抗病毒治疗人群里，尤其是核苷酸类似物抗病毒治疗人群里，表面抗原小于</w:t>
            </w:r>
            <w:r w:rsidRPr="00434E51">
              <w:rPr>
                <w:color w:val="000000" w:themeColor="text1"/>
                <w:szCs w:val="24"/>
                <w:shd w:val="clear" w:color="auto" w:fill="auto"/>
              </w:rPr>
              <w:t>1500</w:t>
            </w:r>
            <w:r w:rsidRPr="00434E51">
              <w:rPr>
                <w:color w:val="000000" w:themeColor="text1"/>
                <w:szCs w:val="28"/>
                <w:lang w:bidi="ar"/>
              </w:rPr>
              <w:t xml:space="preserve"> IU/ml</w:t>
            </w:r>
            <w:r w:rsidRPr="00434E51">
              <w:rPr>
                <w:rFonts w:hint="eastAsia"/>
                <w:color w:val="000000" w:themeColor="text1"/>
                <w:szCs w:val="28"/>
                <w:lang w:bidi="ar"/>
              </w:rPr>
              <w:t>且</w:t>
            </w:r>
            <w:r w:rsidRPr="00434E51">
              <w:rPr>
                <w:color w:val="000000" w:themeColor="text1"/>
                <w:szCs w:val="28"/>
                <w:lang w:bidi="ar"/>
              </w:rPr>
              <w:t>e</w:t>
            </w:r>
            <w:r w:rsidRPr="00434E51">
              <w:rPr>
                <w:color w:val="000000" w:themeColor="text1"/>
                <w:szCs w:val="28"/>
                <w:lang w:bidi="ar"/>
              </w:rPr>
              <w:t>抗原阴性的患者大致占比</w:t>
            </w:r>
            <w:r w:rsidRPr="00434E51">
              <w:rPr>
                <w:color w:val="000000" w:themeColor="text1"/>
                <w:szCs w:val="28"/>
                <w:lang w:bidi="ar"/>
              </w:rPr>
              <w:t>30%-40%</w:t>
            </w:r>
            <w:r w:rsidRPr="00434E51">
              <w:rPr>
                <w:color w:val="000000" w:themeColor="text1"/>
                <w:szCs w:val="28"/>
                <w:lang w:bidi="ar"/>
              </w:rPr>
              <w:t>，这部分人群为早期定义的优势人群。</w:t>
            </w:r>
          </w:p>
          <w:p w:rsidR="004B730A" w:rsidRPr="00434E51" w:rsidRDefault="004B730A" w:rsidP="004B730A">
            <w:pPr>
              <w:pStyle w:val="af5"/>
              <w:spacing w:beforeLines="50" w:before="156" w:afterLines="50" w:after="156"/>
              <w:ind w:firstLine="480"/>
              <w:rPr>
                <w:color w:val="000000" w:themeColor="text1"/>
                <w:szCs w:val="28"/>
                <w:lang w:bidi="ar"/>
              </w:rPr>
            </w:pPr>
            <w:r w:rsidRPr="00434E51">
              <w:rPr>
                <w:color w:val="000000" w:themeColor="text1"/>
                <w:szCs w:val="28"/>
                <w:lang w:bidi="ar"/>
              </w:rPr>
              <w:t>随着临床研究和科学研究的不断深入，慢乙肝临床治愈优势人群的范围也逐渐扩大：</w:t>
            </w:r>
            <w:r w:rsidRPr="00434E51">
              <w:rPr>
                <w:color w:val="000000" w:themeColor="text1"/>
                <w:szCs w:val="28"/>
                <w:lang w:bidi="ar"/>
              </w:rPr>
              <w:t>IHC</w:t>
            </w:r>
            <w:r w:rsidRPr="00434E51">
              <w:rPr>
                <w:color w:val="000000" w:themeColor="text1"/>
                <w:szCs w:val="28"/>
                <w:lang w:bidi="ar"/>
              </w:rPr>
              <w:t>人群即表面抗原小于</w:t>
            </w:r>
            <w:r w:rsidRPr="00434E51">
              <w:rPr>
                <w:color w:val="000000" w:themeColor="text1"/>
                <w:szCs w:val="28"/>
                <w:lang w:bidi="ar"/>
              </w:rPr>
              <w:t>1000 IU/ml</w:t>
            </w:r>
            <w:r w:rsidRPr="00434E51">
              <w:rPr>
                <w:color w:val="000000" w:themeColor="text1"/>
                <w:szCs w:val="28"/>
                <w:lang w:bidi="ar"/>
              </w:rPr>
              <w:t>、</w:t>
            </w:r>
            <w:r w:rsidRPr="00434E51">
              <w:rPr>
                <w:color w:val="000000" w:themeColor="text1"/>
                <w:szCs w:val="28"/>
                <w:lang w:bidi="ar"/>
              </w:rPr>
              <w:t>HBV DNA</w:t>
            </w:r>
            <w:r w:rsidRPr="00434E51">
              <w:rPr>
                <w:color w:val="000000" w:themeColor="text1"/>
                <w:szCs w:val="28"/>
                <w:lang w:bidi="ar"/>
              </w:rPr>
              <w:t>阴性且</w:t>
            </w:r>
            <w:r w:rsidRPr="00434E51">
              <w:rPr>
                <w:color w:val="000000" w:themeColor="text1"/>
                <w:szCs w:val="28"/>
                <w:lang w:bidi="ar"/>
              </w:rPr>
              <w:t>e</w:t>
            </w:r>
            <w:r w:rsidRPr="00434E51">
              <w:rPr>
                <w:color w:val="000000" w:themeColor="text1"/>
                <w:szCs w:val="28"/>
                <w:lang w:bidi="ar"/>
              </w:rPr>
              <w:t>抗原阴性的人群，在过去几年的临床治愈研究中被发现也是优势人群，这部分人群占总人群的</w:t>
            </w:r>
            <w:r w:rsidRPr="00434E51">
              <w:rPr>
                <w:color w:val="000000" w:themeColor="text1"/>
                <w:szCs w:val="28"/>
                <w:lang w:bidi="ar"/>
              </w:rPr>
              <w:t>20%-30%</w:t>
            </w:r>
            <w:r w:rsidRPr="00434E51">
              <w:rPr>
                <w:color w:val="000000" w:themeColor="text1"/>
                <w:szCs w:val="28"/>
                <w:lang w:bidi="ar"/>
              </w:rPr>
              <w:t>；同时，目前在临床治愈研究中发现，慢乙肝儿童感染者和产后人群也有较高的临床治愈率。随着中国《慢性乙型肝炎防治指南（</w:t>
            </w:r>
            <w:r>
              <w:rPr>
                <w:color w:val="000000" w:themeColor="text1"/>
                <w:szCs w:val="28"/>
                <w:lang w:bidi="ar"/>
              </w:rPr>
              <w:t>2022</w:t>
            </w:r>
            <w:r w:rsidRPr="00434E51">
              <w:rPr>
                <w:color w:val="000000" w:themeColor="text1"/>
                <w:szCs w:val="28"/>
                <w:lang w:bidi="ar"/>
              </w:rPr>
              <w:t>年版）》将核苷（酸）类药物经</w:t>
            </w:r>
            <w:proofErr w:type="gramStart"/>
            <w:r w:rsidRPr="00434E51">
              <w:rPr>
                <w:color w:val="000000" w:themeColor="text1"/>
                <w:szCs w:val="28"/>
                <w:lang w:bidi="ar"/>
              </w:rPr>
              <w:t>治患者</w:t>
            </w:r>
            <w:proofErr w:type="gramEnd"/>
            <w:r w:rsidRPr="00434E51">
              <w:rPr>
                <w:color w:val="000000" w:themeColor="text1"/>
                <w:szCs w:val="28"/>
                <w:lang w:bidi="ar"/>
              </w:rPr>
              <w:t>联合聚乙二醇干扰素</w:t>
            </w:r>
            <w:r>
              <w:rPr>
                <w:color w:val="000000" w:themeColor="text1"/>
                <w:szCs w:val="28"/>
                <w:lang w:bidi="ar"/>
              </w:rPr>
              <w:t>α</w:t>
            </w:r>
            <w:r w:rsidRPr="00434E51">
              <w:rPr>
                <w:color w:val="000000" w:themeColor="text1"/>
                <w:szCs w:val="28"/>
                <w:lang w:bidi="ar"/>
              </w:rPr>
              <w:t>治疗实现临床治愈写入推荐意见，未来接受抗病毒治疗的人群将呈上升走势。</w:t>
            </w:r>
          </w:p>
          <w:p w:rsidR="004B730A" w:rsidRPr="00434E51" w:rsidRDefault="004B730A" w:rsidP="004B730A">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二</w:t>
            </w:r>
            <w:r w:rsidRPr="00434E51">
              <w:rPr>
                <w:rFonts w:hint="eastAsia"/>
                <w:b/>
                <w:color w:val="000000" w:themeColor="text1"/>
                <w:szCs w:val="24"/>
                <w:shd w:val="clear" w:color="auto" w:fill="auto"/>
              </w:rPr>
              <w:t>、</w:t>
            </w:r>
            <w:r w:rsidRPr="00434E51">
              <w:rPr>
                <w:b/>
                <w:color w:val="000000" w:themeColor="text1"/>
                <w:szCs w:val="24"/>
                <w:shd w:val="clear" w:color="auto" w:fill="auto"/>
              </w:rPr>
              <w:t>从目前治疗效果看，以小核酸为基石</w:t>
            </w:r>
            <w:proofErr w:type="gramStart"/>
            <w:r w:rsidRPr="00434E51">
              <w:rPr>
                <w:b/>
                <w:color w:val="000000" w:themeColor="text1"/>
                <w:szCs w:val="24"/>
                <w:shd w:val="clear" w:color="auto" w:fill="auto"/>
              </w:rPr>
              <w:t>多药联用</w:t>
            </w:r>
            <w:proofErr w:type="gramEnd"/>
            <w:r w:rsidRPr="00434E51">
              <w:rPr>
                <w:b/>
                <w:color w:val="000000" w:themeColor="text1"/>
                <w:szCs w:val="24"/>
                <w:shd w:val="clear" w:color="auto" w:fill="auto"/>
              </w:rPr>
              <w:t>的方式是较好的乙肝临床治疗方向。请问公司</w:t>
            </w:r>
            <w:r w:rsidRPr="00434E51">
              <w:rPr>
                <w:rFonts w:hint="eastAsia"/>
                <w:b/>
                <w:color w:val="000000" w:themeColor="text1"/>
                <w:szCs w:val="24"/>
                <w:shd w:val="clear" w:color="auto" w:fill="auto"/>
              </w:rPr>
              <w:t>开展长效干扰素联用小核酸</w:t>
            </w:r>
            <w:r w:rsidRPr="00434E51">
              <w:rPr>
                <w:rFonts w:hint="eastAsia"/>
                <w:b/>
                <w:color w:val="000000" w:themeColor="text1"/>
                <w:szCs w:val="24"/>
                <w:shd w:val="clear" w:color="auto" w:fill="auto"/>
              </w:rPr>
              <w:t>/</w:t>
            </w:r>
            <w:r w:rsidRPr="00434E51">
              <w:rPr>
                <w:rFonts w:hint="eastAsia"/>
                <w:b/>
                <w:color w:val="000000" w:themeColor="text1"/>
                <w:szCs w:val="24"/>
                <w:shd w:val="clear" w:color="auto" w:fill="auto"/>
              </w:rPr>
              <w:t>衣壳抑制剂等药物</w:t>
            </w:r>
            <w:r w:rsidRPr="00434E51">
              <w:rPr>
                <w:b/>
                <w:color w:val="000000" w:themeColor="text1"/>
                <w:szCs w:val="24"/>
                <w:shd w:val="clear" w:color="auto" w:fill="auto"/>
              </w:rPr>
              <w:t>管线布局和</w:t>
            </w:r>
            <w:r w:rsidRPr="00434E51">
              <w:rPr>
                <w:rFonts w:hint="eastAsia"/>
                <w:b/>
                <w:color w:val="000000" w:themeColor="text1"/>
                <w:szCs w:val="24"/>
                <w:shd w:val="clear" w:color="auto" w:fill="auto"/>
              </w:rPr>
              <w:t>临床规划</w:t>
            </w:r>
            <w:r w:rsidRPr="00434E51">
              <w:rPr>
                <w:b/>
                <w:color w:val="000000" w:themeColor="text1"/>
                <w:szCs w:val="24"/>
                <w:shd w:val="clear" w:color="auto" w:fill="auto"/>
              </w:rPr>
              <w:t>是怎样的</w:t>
            </w:r>
            <w:r w:rsidRPr="00434E51">
              <w:rPr>
                <w:rFonts w:hint="eastAsia"/>
                <w:b/>
                <w:color w:val="000000" w:themeColor="text1"/>
                <w:szCs w:val="24"/>
                <w:shd w:val="clear" w:color="auto" w:fill="auto"/>
              </w:rPr>
              <w:t>？</w:t>
            </w:r>
            <w:r w:rsidRPr="00434E51">
              <w:rPr>
                <w:rStyle w:val="af"/>
                <w:rFonts w:ascii="宋体" w:hAnsi="宋体" w:cs="宋体" w:hint="eastAsia"/>
                <w:color w:val="000000" w:themeColor="text1"/>
                <w:szCs w:val="24"/>
              </w:rPr>
              <w:t>以及未来合作的展望？</w:t>
            </w:r>
          </w:p>
          <w:p w:rsidR="004B730A" w:rsidRPr="00434E51" w:rsidRDefault="004B730A" w:rsidP="004B730A">
            <w:pPr>
              <w:pStyle w:val="af5"/>
              <w:spacing w:beforeLines="50" w:before="156" w:afterLines="50" w:after="156"/>
              <w:ind w:firstLine="480"/>
              <w:rPr>
                <w:color w:val="000000" w:themeColor="text1"/>
                <w:szCs w:val="28"/>
                <w:lang w:bidi="ar"/>
              </w:rPr>
            </w:pPr>
            <w:r w:rsidRPr="00434E51">
              <w:rPr>
                <w:rFonts w:hint="eastAsia"/>
                <w:color w:val="000000" w:themeColor="text1"/>
                <w:szCs w:val="24"/>
                <w:shd w:val="clear" w:color="auto" w:fill="auto"/>
              </w:rPr>
              <w:t>答：</w:t>
            </w:r>
            <w:r w:rsidRPr="00434E51">
              <w:rPr>
                <w:rFonts w:ascii="宋体" w:hAnsi="宋体" w:cs="宋体"/>
                <w:color w:val="000000" w:themeColor="text1"/>
                <w:szCs w:val="24"/>
              </w:rPr>
              <w:t>《慢性乙型肝炎防治指南(</w:t>
            </w:r>
            <w:r w:rsidRPr="00434E51">
              <w:rPr>
                <w:color w:val="000000" w:themeColor="text1"/>
                <w:szCs w:val="24"/>
              </w:rPr>
              <w:t>2022</w:t>
            </w:r>
            <w:r w:rsidRPr="00434E51">
              <w:rPr>
                <w:rFonts w:ascii="宋体" w:hAnsi="宋体" w:cs="宋体"/>
                <w:color w:val="000000" w:themeColor="text1"/>
                <w:szCs w:val="24"/>
              </w:rPr>
              <w:t>年版)》提出，慢乙肝临床治愈又称功能性治愈，停止治疗后</w:t>
            </w:r>
            <w:proofErr w:type="spellStart"/>
            <w:r w:rsidRPr="00434E51">
              <w:rPr>
                <w:color w:val="000000" w:themeColor="text1"/>
                <w:szCs w:val="24"/>
              </w:rPr>
              <w:lastRenderedPageBreak/>
              <w:t>HBsAg</w:t>
            </w:r>
            <w:proofErr w:type="spellEnd"/>
            <w:r w:rsidRPr="00434E51">
              <w:rPr>
                <w:rFonts w:ascii="宋体" w:hAnsi="宋体" w:cs="宋体"/>
                <w:color w:val="000000" w:themeColor="text1"/>
                <w:szCs w:val="24"/>
              </w:rPr>
              <w:t>持续阴性，伴或不伴抗</w:t>
            </w:r>
            <w:r w:rsidRPr="00434E51">
              <w:rPr>
                <w:color w:val="000000" w:themeColor="text1"/>
                <w:szCs w:val="24"/>
              </w:rPr>
              <w:t>-HBs</w:t>
            </w:r>
            <w:r w:rsidRPr="00434E51">
              <w:rPr>
                <w:rFonts w:ascii="宋体" w:hAnsi="宋体" w:cs="宋体"/>
                <w:color w:val="000000" w:themeColor="text1"/>
                <w:szCs w:val="24"/>
              </w:rPr>
              <w:t>出现，</w:t>
            </w:r>
            <w:r w:rsidRPr="00434E51">
              <w:rPr>
                <w:color w:val="000000" w:themeColor="text1"/>
                <w:szCs w:val="24"/>
              </w:rPr>
              <w:t>HBV DNA</w:t>
            </w:r>
            <w:r w:rsidRPr="00434E51">
              <w:rPr>
                <w:rFonts w:ascii="宋体" w:hAnsi="宋体" w:cs="宋体"/>
                <w:color w:val="000000" w:themeColor="text1"/>
                <w:szCs w:val="24"/>
              </w:rPr>
              <w:t>低于最低检测下限，肝脏物生物化学指标正常，肝细胞核内可能仍存在</w:t>
            </w:r>
            <w:proofErr w:type="spellStart"/>
            <w:r w:rsidRPr="00434E51">
              <w:rPr>
                <w:color w:val="000000" w:themeColor="text1"/>
                <w:szCs w:val="24"/>
              </w:rPr>
              <w:t>cccDNA</w:t>
            </w:r>
            <w:proofErr w:type="spellEnd"/>
            <w:r w:rsidRPr="00434E51">
              <w:rPr>
                <w:color w:val="000000" w:themeColor="text1"/>
                <w:szCs w:val="24"/>
              </w:rPr>
              <w:t>。</w:t>
            </w:r>
            <w:r w:rsidRPr="00434E51">
              <w:rPr>
                <w:color w:val="000000" w:themeColor="text1"/>
                <w:szCs w:val="28"/>
                <w:lang w:bidi="ar"/>
              </w:rPr>
              <w:t>基于过去十多年对整个技术领域的理解和</w:t>
            </w:r>
            <w:proofErr w:type="gramStart"/>
            <w:r w:rsidRPr="00434E51">
              <w:rPr>
                <w:color w:val="000000" w:themeColor="text1"/>
                <w:szCs w:val="28"/>
                <w:lang w:bidi="ar"/>
              </w:rPr>
              <w:t>考量</w:t>
            </w:r>
            <w:proofErr w:type="gramEnd"/>
            <w:r w:rsidRPr="00434E51">
              <w:rPr>
                <w:color w:val="000000" w:themeColor="text1"/>
                <w:szCs w:val="28"/>
                <w:lang w:bidi="ar"/>
              </w:rPr>
              <w:t>，结合目前全球抗病毒治疗、临床治愈研究情况，公司认为核苷酸类似物和干扰素仍是未来慢乙肝临床治愈两个最重要的基石药物，</w:t>
            </w:r>
            <w:r w:rsidRPr="00434E51">
              <w:rPr>
                <w:rFonts w:hint="eastAsia"/>
                <w:color w:val="000000" w:themeColor="text1"/>
                <w:szCs w:val="28"/>
                <w:lang w:bidi="ar"/>
              </w:rPr>
              <w:t>未来将会有更多新机制的药物联合核苷（酸）类似物和长效干扰素实现乙肝临床治愈。</w:t>
            </w:r>
          </w:p>
          <w:p w:rsidR="004B730A" w:rsidRPr="00434E51" w:rsidRDefault="004B730A" w:rsidP="004B730A">
            <w:pPr>
              <w:pStyle w:val="af5"/>
              <w:spacing w:beforeLines="50" w:before="156" w:afterLines="50" w:after="156"/>
              <w:ind w:firstLine="480"/>
              <w:rPr>
                <w:color w:val="000000" w:themeColor="text1"/>
                <w:szCs w:val="28"/>
                <w:lang w:bidi="ar"/>
              </w:rPr>
            </w:pPr>
            <w:r w:rsidRPr="00434E51">
              <w:rPr>
                <w:color w:val="000000" w:themeColor="text1"/>
                <w:szCs w:val="28"/>
                <w:lang w:bidi="ar"/>
              </w:rPr>
              <w:t>公司在乙肝临床治愈领域的规划，一方面不断研究、持续优化干扰素联合核苷酸类似物的治疗方案，另一方面</w:t>
            </w:r>
            <w:r w:rsidR="00A00D67">
              <w:rPr>
                <w:rFonts w:hint="eastAsia"/>
                <w:color w:val="000000" w:themeColor="text1"/>
                <w:szCs w:val="28"/>
                <w:lang w:bidi="ar"/>
              </w:rPr>
              <w:t>将</w:t>
            </w:r>
            <w:r w:rsidRPr="00434E51">
              <w:rPr>
                <w:color w:val="000000" w:themeColor="text1"/>
                <w:szCs w:val="28"/>
                <w:lang w:bidi="ar"/>
              </w:rPr>
              <w:t>与相关合作方开展研发合作，总体而言，公司将会基于对派格宾现有的临床研究数据和优化科学研究数据的理解，不断完善临床治愈相关的科学研究和合作，为慢乙肝临床治愈提供更优治疗方案。</w:t>
            </w:r>
          </w:p>
          <w:p w:rsidR="004B730A" w:rsidRPr="00434E51" w:rsidRDefault="004B730A" w:rsidP="004B730A">
            <w:pPr>
              <w:pStyle w:val="af5"/>
              <w:spacing w:beforeLines="50" w:before="156" w:afterLines="50" w:after="156"/>
              <w:ind w:firstLine="482"/>
              <w:rPr>
                <w:rFonts w:eastAsiaTheme="minorEastAsia"/>
                <w:b/>
                <w:color w:val="000000" w:themeColor="text1"/>
                <w:szCs w:val="24"/>
                <w:shd w:val="clear" w:color="auto" w:fill="auto"/>
              </w:rPr>
            </w:pPr>
            <w:r w:rsidRPr="00434E51">
              <w:rPr>
                <w:rFonts w:hint="eastAsia"/>
                <w:b/>
                <w:color w:val="000000" w:themeColor="text1"/>
                <w:szCs w:val="24"/>
                <w:shd w:val="clear" w:color="auto" w:fill="auto"/>
              </w:rPr>
              <w:t>三、目前长效生长激素的进展以及未来销售方式销售预期？</w:t>
            </w:r>
          </w:p>
          <w:p w:rsidR="004B730A" w:rsidRPr="00434E51" w:rsidRDefault="004B730A" w:rsidP="004B730A">
            <w:pPr>
              <w:pStyle w:val="af5"/>
              <w:spacing w:beforeLines="50" w:before="156" w:afterLines="50" w:after="156"/>
              <w:ind w:firstLine="480"/>
              <w:rPr>
                <w:rFonts w:eastAsiaTheme="minorEastAsia"/>
                <w:color w:val="000000" w:themeColor="text1"/>
                <w:szCs w:val="24"/>
                <w:shd w:val="clear" w:color="auto" w:fill="auto"/>
              </w:rPr>
            </w:pPr>
            <w:r w:rsidRPr="00434E51">
              <w:rPr>
                <w:rFonts w:hint="eastAsia"/>
                <w:color w:val="000000" w:themeColor="text1"/>
                <w:szCs w:val="24"/>
                <w:shd w:val="clear" w:color="auto" w:fill="auto"/>
              </w:rPr>
              <w:t>答：</w:t>
            </w:r>
            <w:r w:rsidRPr="00434E51">
              <w:rPr>
                <w:rFonts w:ascii="宋体" w:hAnsi="宋体" w:cs="宋体" w:hint="eastAsia"/>
                <w:color w:val="000000" w:themeColor="text1"/>
                <w:szCs w:val="24"/>
              </w:rPr>
              <w:t>公司长效生长激素产品（</w:t>
            </w:r>
            <w:proofErr w:type="gramStart"/>
            <w:r w:rsidRPr="00434E51">
              <w:rPr>
                <w:rFonts w:ascii="宋体" w:hAnsi="宋体" w:cs="宋体" w:hint="eastAsia"/>
                <w:color w:val="000000" w:themeColor="text1"/>
                <w:szCs w:val="24"/>
              </w:rPr>
              <w:t>益佩生</w:t>
            </w:r>
            <w:proofErr w:type="gramEnd"/>
            <w:r w:rsidRPr="00434E51">
              <w:rPr>
                <w:rFonts w:ascii="宋体" w:hAnsi="宋体" w:cs="宋体" w:hint="eastAsia"/>
                <w:color w:val="000000" w:themeColor="text1"/>
                <w:szCs w:val="24"/>
              </w:rPr>
              <w:t>）境内生产药品注册上市许可申请于</w:t>
            </w:r>
            <w:r w:rsidRPr="00434E51">
              <w:rPr>
                <w:color w:val="000000" w:themeColor="text1"/>
                <w:szCs w:val="24"/>
              </w:rPr>
              <w:t>2024</w:t>
            </w:r>
            <w:r w:rsidRPr="00434E51">
              <w:rPr>
                <w:color w:val="000000" w:themeColor="text1"/>
                <w:szCs w:val="24"/>
              </w:rPr>
              <w:t>年</w:t>
            </w:r>
            <w:r w:rsidRPr="00434E51">
              <w:rPr>
                <w:color w:val="000000" w:themeColor="text1"/>
                <w:szCs w:val="24"/>
              </w:rPr>
              <w:t>1</w:t>
            </w:r>
            <w:r w:rsidRPr="00434E51">
              <w:rPr>
                <w:rFonts w:ascii="宋体" w:hAnsi="宋体" w:cs="宋体" w:hint="eastAsia"/>
                <w:color w:val="000000" w:themeColor="text1"/>
                <w:szCs w:val="24"/>
              </w:rPr>
              <w:t>月获得国家药品监督管理局受理，目前处于技术审评阶段。该产品的商业规划目前总体处于调研阶段，公司将根据产品审批进展、结合实际情况制定销售推广策略</w:t>
            </w:r>
            <w:r w:rsidRPr="00434E51">
              <w:rPr>
                <w:rFonts w:ascii="宋体" w:hAnsi="宋体" w:cs="宋体"/>
                <w:color w:val="000000" w:themeColor="text1"/>
                <w:szCs w:val="24"/>
              </w:rPr>
              <w:t>，</w:t>
            </w:r>
            <w:r w:rsidRPr="00434E51">
              <w:rPr>
                <w:color w:val="000000" w:themeColor="text1"/>
                <w:szCs w:val="24"/>
                <w:shd w:val="clear" w:color="auto" w:fill="auto"/>
              </w:rPr>
              <w:t>感谢大家对公司产品的关注。</w:t>
            </w:r>
          </w:p>
          <w:p w:rsidR="004B730A" w:rsidRPr="00434E51" w:rsidRDefault="004B730A" w:rsidP="004B730A">
            <w:pPr>
              <w:pStyle w:val="af5"/>
              <w:spacing w:beforeLines="50" w:before="156" w:afterLines="50" w:after="156"/>
              <w:ind w:firstLine="482"/>
              <w:rPr>
                <w:rFonts w:eastAsiaTheme="minorEastAsia"/>
                <w:b/>
                <w:strike/>
                <w:color w:val="000000" w:themeColor="text1"/>
                <w:szCs w:val="24"/>
                <w:shd w:val="clear" w:color="auto" w:fill="auto"/>
              </w:rPr>
            </w:pPr>
            <w:r>
              <w:rPr>
                <w:rFonts w:hint="eastAsia"/>
                <w:b/>
                <w:color w:val="000000" w:themeColor="text1"/>
                <w:szCs w:val="24"/>
                <w:shd w:val="clear" w:color="auto" w:fill="auto"/>
              </w:rPr>
              <w:t>四</w:t>
            </w:r>
            <w:r w:rsidRPr="00434E51">
              <w:rPr>
                <w:rFonts w:hint="eastAsia"/>
                <w:b/>
                <w:color w:val="000000" w:themeColor="text1"/>
                <w:szCs w:val="24"/>
                <w:shd w:val="clear" w:color="auto" w:fill="auto"/>
              </w:rPr>
              <w:t>、派格宾价格</w:t>
            </w:r>
            <w:r w:rsidRPr="00434E51">
              <w:rPr>
                <w:b/>
                <w:color w:val="000000" w:themeColor="text1"/>
                <w:szCs w:val="24"/>
                <w:shd w:val="clear" w:color="auto" w:fill="auto"/>
              </w:rPr>
              <w:t>有</w:t>
            </w:r>
            <w:r w:rsidRPr="00434E51">
              <w:rPr>
                <w:rFonts w:hint="eastAsia"/>
                <w:b/>
                <w:color w:val="000000" w:themeColor="text1"/>
                <w:szCs w:val="24"/>
                <w:shd w:val="clear" w:color="auto" w:fill="auto"/>
              </w:rPr>
              <w:t>变动</w:t>
            </w:r>
            <w:r w:rsidRPr="00434E51">
              <w:rPr>
                <w:b/>
                <w:color w:val="000000" w:themeColor="text1"/>
                <w:szCs w:val="24"/>
                <w:shd w:val="clear" w:color="auto" w:fill="auto"/>
              </w:rPr>
              <w:t>吗</w:t>
            </w:r>
            <w:r w:rsidRPr="00434E51">
              <w:rPr>
                <w:rFonts w:hint="eastAsia"/>
                <w:b/>
                <w:color w:val="000000" w:themeColor="text1"/>
                <w:szCs w:val="24"/>
                <w:shd w:val="clear" w:color="auto" w:fill="auto"/>
              </w:rPr>
              <w:t>？</w:t>
            </w:r>
          </w:p>
          <w:p w:rsidR="004B730A" w:rsidRPr="00434E51" w:rsidRDefault="004B730A" w:rsidP="004B730A">
            <w:pPr>
              <w:pStyle w:val="ab"/>
              <w:shd w:val="clear" w:color="auto" w:fill="FFFFFF"/>
              <w:spacing w:line="460" w:lineRule="exact"/>
              <w:ind w:firstLineChars="200" w:firstLine="480"/>
              <w:rPr>
                <w:color w:val="000000" w:themeColor="text1"/>
              </w:rPr>
            </w:pPr>
            <w:r w:rsidRPr="00434E51">
              <w:rPr>
                <w:rFonts w:hint="eastAsia"/>
                <w:color w:val="000000" w:themeColor="text1"/>
              </w:rPr>
              <w:t>答：</w:t>
            </w:r>
            <w:r w:rsidRPr="00434E51">
              <w:rPr>
                <w:color w:val="000000" w:themeColor="text1"/>
              </w:rPr>
              <w:t>公司产品派格宾在广东</w:t>
            </w:r>
            <w:r w:rsidRPr="00434E51">
              <w:rPr>
                <w:color w:val="000000" w:themeColor="text1"/>
              </w:rPr>
              <w:t>11</w:t>
            </w:r>
            <w:r w:rsidRPr="00434E51">
              <w:rPr>
                <w:color w:val="000000" w:themeColor="text1"/>
              </w:rPr>
              <w:t>省联盟</w:t>
            </w:r>
            <w:proofErr w:type="gramStart"/>
            <w:r w:rsidRPr="00434E51">
              <w:rPr>
                <w:color w:val="000000" w:themeColor="text1"/>
              </w:rPr>
              <w:t>集采中首次</w:t>
            </w:r>
            <w:proofErr w:type="gramEnd"/>
            <w:r w:rsidRPr="00434E51">
              <w:rPr>
                <w:color w:val="000000" w:themeColor="text1"/>
              </w:rPr>
              <w:t>出现价格变动，</w:t>
            </w:r>
            <w:r w:rsidRPr="00434E51">
              <w:rPr>
                <w:color w:val="000000" w:themeColor="text1"/>
              </w:rPr>
              <w:t>2022</w:t>
            </w:r>
            <w:r w:rsidRPr="00434E51">
              <w:rPr>
                <w:color w:val="000000" w:themeColor="text1"/>
              </w:rPr>
              <w:t>年完成了</w:t>
            </w:r>
            <w:r w:rsidRPr="00434E51">
              <w:rPr>
                <w:color w:val="000000" w:themeColor="text1"/>
              </w:rPr>
              <w:t>11</w:t>
            </w:r>
            <w:r w:rsidRPr="00434E51">
              <w:rPr>
                <w:color w:val="000000" w:themeColor="text1"/>
              </w:rPr>
              <w:t>省联盟地区的价格调整；</w:t>
            </w:r>
            <w:r w:rsidRPr="00434E51">
              <w:rPr>
                <w:rFonts w:ascii="宋体" w:hAnsi="宋体" w:cs="宋体"/>
                <w:color w:val="000000" w:themeColor="text1"/>
              </w:rPr>
              <w:t>由江西省</w:t>
            </w:r>
            <w:proofErr w:type="gramStart"/>
            <w:r w:rsidRPr="00434E51">
              <w:rPr>
                <w:rFonts w:ascii="宋体" w:hAnsi="宋体" w:cs="宋体"/>
                <w:color w:val="000000" w:themeColor="text1"/>
              </w:rPr>
              <w:t>医</w:t>
            </w:r>
            <w:proofErr w:type="gramEnd"/>
            <w:r w:rsidRPr="00434E51">
              <w:rPr>
                <w:rFonts w:ascii="宋体" w:hAnsi="宋体" w:cs="宋体"/>
                <w:color w:val="000000" w:themeColor="text1"/>
              </w:rPr>
              <w:t>保局牵头的干扰素省际联盟集中带量采购，从</w:t>
            </w:r>
            <w:r w:rsidRPr="001A5A3A">
              <w:rPr>
                <w:color w:val="000000" w:themeColor="text1"/>
              </w:rPr>
              <w:t>2024</w:t>
            </w:r>
            <w:r w:rsidRPr="001A5A3A">
              <w:rPr>
                <w:color w:val="000000" w:themeColor="text1"/>
              </w:rPr>
              <w:t>年</w:t>
            </w:r>
            <w:r w:rsidRPr="001A5A3A">
              <w:rPr>
                <w:color w:val="000000" w:themeColor="text1"/>
              </w:rPr>
              <w:t>5</w:t>
            </w:r>
            <w:r w:rsidRPr="001A5A3A">
              <w:rPr>
                <w:color w:val="000000" w:themeColor="text1"/>
              </w:rPr>
              <w:t>月中</w:t>
            </w:r>
            <w:r w:rsidRPr="00434E51">
              <w:rPr>
                <w:rFonts w:ascii="宋体" w:hAnsi="宋体" w:cs="宋体"/>
                <w:color w:val="000000" w:themeColor="text1"/>
              </w:rPr>
              <w:t>旬起开始陆续执行。</w:t>
            </w:r>
          </w:p>
          <w:p w:rsidR="004B730A" w:rsidRPr="00434E51" w:rsidRDefault="004B730A" w:rsidP="004B730A">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五</w:t>
            </w:r>
            <w:r w:rsidRPr="00434E51">
              <w:rPr>
                <w:rFonts w:hint="eastAsia"/>
                <w:b/>
                <w:color w:val="000000" w:themeColor="text1"/>
                <w:szCs w:val="24"/>
                <w:shd w:val="clear" w:color="auto" w:fill="auto"/>
              </w:rPr>
              <w:t>、公司早期研发思路和后续研</w:t>
            </w:r>
            <w:r w:rsidRPr="00434E51">
              <w:rPr>
                <w:b/>
                <w:color w:val="000000" w:themeColor="text1"/>
                <w:szCs w:val="24"/>
                <w:shd w:val="clear" w:color="auto" w:fill="auto"/>
              </w:rPr>
              <w:t>发</w:t>
            </w:r>
            <w:r w:rsidRPr="00434E51">
              <w:rPr>
                <w:rFonts w:hint="eastAsia"/>
                <w:b/>
                <w:color w:val="000000" w:themeColor="text1"/>
                <w:szCs w:val="24"/>
                <w:shd w:val="clear" w:color="auto" w:fill="auto"/>
              </w:rPr>
              <w:t>投入预期？</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434E51">
              <w:rPr>
                <w:color w:val="000000" w:themeColor="text1"/>
                <w:szCs w:val="24"/>
                <w:shd w:val="clear" w:color="auto" w:fill="auto"/>
              </w:rPr>
              <w:t>公司早期发展方向主要聚焦在以细胞因子为</w:t>
            </w:r>
            <w:r w:rsidRPr="00434E51">
              <w:rPr>
                <w:color w:val="000000" w:themeColor="text1"/>
                <w:szCs w:val="24"/>
                <w:shd w:val="clear" w:color="auto" w:fill="auto"/>
              </w:rPr>
              <w:lastRenderedPageBreak/>
              <w:t>基础的免疫和代谢调控两大领域，研究项目集中在包括正向、负向免疫调控治疗领域。同时公司聚焦慢乙肝临床治愈及肝癌预防领域，致力于为病毒性肝炎、恶性肿瘤等重大疾病治疗领域提供更优解决方案。</w:t>
            </w:r>
          </w:p>
          <w:p w:rsidR="004B730A" w:rsidRPr="00434E51" w:rsidRDefault="004B730A" w:rsidP="004B730A">
            <w:pPr>
              <w:pStyle w:val="af5"/>
              <w:spacing w:beforeLines="50" w:before="156" w:afterLines="50" w:after="156"/>
              <w:ind w:firstLine="480"/>
              <w:rPr>
                <w:rFonts w:ascii="宋体" w:hAnsi="宋体" w:cs="宋体"/>
                <w:color w:val="000000" w:themeColor="text1"/>
                <w:szCs w:val="24"/>
                <w:shd w:val="clear" w:color="auto" w:fill="auto"/>
              </w:rPr>
            </w:pPr>
            <w:r w:rsidRPr="00434E51">
              <w:rPr>
                <w:color w:val="000000" w:themeColor="text1"/>
                <w:szCs w:val="24"/>
                <w:shd w:val="clear" w:color="auto" w:fill="auto"/>
              </w:rPr>
              <w:t>未来随着</w:t>
            </w:r>
            <w:proofErr w:type="gramStart"/>
            <w:r w:rsidRPr="00434E51">
              <w:rPr>
                <w:color w:val="000000" w:themeColor="text1"/>
                <w:szCs w:val="24"/>
                <w:shd w:val="clear" w:color="auto" w:fill="auto"/>
              </w:rPr>
              <w:t>公司募投项目</w:t>
            </w:r>
            <w:proofErr w:type="gramEnd"/>
            <w:r w:rsidRPr="00434E51">
              <w:rPr>
                <w:rFonts w:ascii="宋体" w:hAnsi="宋体" w:cs="宋体" w:hint="eastAsia"/>
                <w:color w:val="000000" w:themeColor="text1"/>
                <w:szCs w:val="24"/>
                <w:shd w:val="clear" w:color="auto" w:fill="auto"/>
              </w:rPr>
              <w:t>“蛋白质药物生产改扩建和研发中心建设项目”</w:t>
            </w:r>
            <w:r w:rsidRPr="00434E51">
              <w:rPr>
                <w:rFonts w:ascii="宋体" w:hAnsi="宋体" w:cs="宋体"/>
                <w:color w:val="000000" w:themeColor="text1"/>
                <w:szCs w:val="24"/>
                <w:shd w:val="clear" w:color="auto" w:fill="auto"/>
              </w:rPr>
              <w:t>的投入使用，研发人员将保持一定速度的增长。公司已有多个研发项目处于临床研究或</w:t>
            </w:r>
            <w:r w:rsidRPr="00AE2C8E">
              <w:rPr>
                <w:color w:val="000000" w:themeColor="text1"/>
                <w:szCs w:val="24"/>
                <w:shd w:val="clear" w:color="auto" w:fill="auto"/>
              </w:rPr>
              <w:t>NDA</w:t>
            </w:r>
            <w:r w:rsidRPr="00434E51">
              <w:rPr>
                <w:rFonts w:ascii="宋体" w:hAnsi="宋体" w:cs="宋体"/>
                <w:color w:val="000000" w:themeColor="text1"/>
                <w:szCs w:val="24"/>
                <w:shd w:val="clear" w:color="auto" w:fill="auto"/>
              </w:rPr>
              <w:t>，未来公司将继续围绕</w:t>
            </w:r>
            <w:r w:rsidRPr="00434E51">
              <w:rPr>
                <w:color w:val="000000" w:themeColor="text1"/>
                <w:szCs w:val="24"/>
                <w:shd w:val="clear" w:color="auto" w:fill="auto"/>
              </w:rPr>
              <w:t>免疫和代谢调控领域进行技术引进和开发，通过自主创新及合作开发等方式丰富产品管线。</w:t>
            </w:r>
          </w:p>
          <w:p w:rsidR="004B730A" w:rsidRPr="00434E51" w:rsidRDefault="004B730A" w:rsidP="004B730A">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六</w:t>
            </w:r>
            <w:r w:rsidRPr="00434E51">
              <w:rPr>
                <w:rFonts w:hint="eastAsia"/>
                <w:b/>
                <w:color w:val="000000" w:themeColor="text1"/>
                <w:szCs w:val="24"/>
                <w:shd w:val="clear" w:color="auto" w:fill="auto"/>
              </w:rPr>
              <w:t>、请问今年上半年及</w:t>
            </w:r>
            <w:r w:rsidRPr="00434E51">
              <w:rPr>
                <w:b/>
                <w:color w:val="000000" w:themeColor="text1"/>
                <w:szCs w:val="24"/>
                <w:shd w:val="clear" w:color="auto" w:fill="auto"/>
              </w:rPr>
              <w:t>近两个</w:t>
            </w:r>
            <w:r w:rsidRPr="00434E51">
              <w:rPr>
                <w:rFonts w:hint="eastAsia"/>
                <w:b/>
                <w:color w:val="000000" w:themeColor="text1"/>
                <w:szCs w:val="24"/>
                <w:shd w:val="clear" w:color="auto" w:fill="auto"/>
              </w:rPr>
              <w:t>月新增新患情况？请问公司是否有销售人员单产的目标？今年及近两年销售招聘及培训的规划？</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434E51">
              <w:rPr>
                <w:color w:val="000000" w:themeColor="text1"/>
                <w:szCs w:val="24"/>
                <w:shd w:val="clear" w:color="auto" w:fill="auto"/>
              </w:rPr>
              <w:t>目前暂未有相关官方统计数据。</w:t>
            </w:r>
            <w:r w:rsidRPr="00434E51">
              <w:rPr>
                <w:rFonts w:hint="eastAsia"/>
                <w:color w:val="000000" w:themeColor="text1"/>
                <w:szCs w:val="24"/>
                <w:shd w:val="clear" w:color="auto" w:fill="auto"/>
              </w:rPr>
              <w:t>总体而言，随着慢乙肝防治指南不断升级，慢性乙型肝炎临床治愈科学证据不断积累，临床专家和患者对相关指南和临床治愈科学认知的不断提升</w:t>
            </w:r>
            <w:r w:rsidRPr="00434E51">
              <w:rPr>
                <w:color w:val="000000" w:themeColor="text1"/>
                <w:szCs w:val="24"/>
                <w:shd w:val="clear" w:color="auto" w:fill="auto"/>
              </w:rPr>
              <w:t>，</w:t>
            </w:r>
            <w:r w:rsidRPr="00434E51">
              <w:rPr>
                <w:rFonts w:hint="eastAsia"/>
                <w:color w:val="000000" w:themeColor="text1"/>
                <w:szCs w:val="24"/>
                <w:shd w:val="clear" w:color="auto" w:fill="auto"/>
              </w:rPr>
              <w:t>接受治疗的患者数量将呈上升趋势。</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color w:val="000000" w:themeColor="text1"/>
                <w:szCs w:val="24"/>
                <w:shd w:val="clear" w:color="auto" w:fill="auto"/>
              </w:rPr>
              <w:t>公司产品的渗透率现在还较低，目前的管理目标重点关注慢乙肝临床治愈及肝癌防治理念的推广和普及，未来公司将会</w:t>
            </w:r>
            <w:r w:rsidRPr="00434E51">
              <w:rPr>
                <w:rFonts w:hint="eastAsia"/>
                <w:color w:val="000000" w:themeColor="text1"/>
                <w:szCs w:val="24"/>
                <w:shd w:val="clear" w:color="auto" w:fill="auto"/>
              </w:rPr>
              <w:t>根据市场情况匹配销售队伍，并相应开展人员培训提升计划</w:t>
            </w:r>
            <w:r w:rsidRPr="00434E51">
              <w:rPr>
                <w:color w:val="000000" w:themeColor="text1"/>
                <w:szCs w:val="24"/>
                <w:shd w:val="clear" w:color="auto" w:fill="auto"/>
              </w:rPr>
              <w:t>，不断提升人效</w:t>
            </w:r>
            <w:r w:rsidRPr="00434E51">
              <w:rPr>
                <w:rFonts w:hint="eastAsia"/>
                <w:color w:val="000000" w:themeColor="text1"/>
                <w:szCs w:val="24"/>
                <w:shd w:val="clear" w:color="auto" w:fill="auto"/>
              </w:rPr>
              <w:t>。</w:t>
            </w:r>
          </w:p>
          <w:p w:rsidR="004B730A" w:rsidRPr="00434E51" w:rsidRDefault="004B730A" w:rsidP="004B730A">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七</w:t>
            </w:r>
            <w:r w:rsidRPr="00434E51">
              <w:rPr>
                <w:rFonts w:hint="eastAsia"/>
                <w:b/>
                <w:color w:val="000000" w:themeColor="text1"/>
                <w:szCs w:val="24"/>
                <w:shd w:val="clear" w:color="auto" w:fill="auto"/>
              </w:rPr>
              <w:t>、派格宾医院准入规划以及后续的目标规划？公司星光</w:t>
            </w:r>
            <w:proofErr w:type="gramStart"/>
            <w:r w:rsidRPr="00434E51">
              <w:rPr>
                <w:rFonts w:hint="eastAsia"/>
                <w:b/>
                <w:color w:val="000000" w:themeColor="text1"/>
                <w:szCs w:val="24"/>
                <w:shd w:val="clear" w:color="auto" w:fill="auto"/>
              </w:rPr>
              <w:t>容愈等</w:t>
            </w:r>
            <w:proofErr w:type="gramEnd"/>
            <w:r w:rsidRPr="00434E51">
              <w:rPr>
                <w:rFonts w:hint="eastAsia"/>
                <w:b/>
                <w:color w:val="000000" w:themeColor="text1"/>
                <w:szCs w:val="24"/>
                <w:shd w:val="clear" w:color="auto" w:fill="auto"/>
              </w:rPr>
              <w:t>新项目的最新入组和数据情况分享？</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答：后续的目标规划：（</w:t>
            </w:r>
            <w:r w:rsidRPr="00434E51">
              <w:rPr>
                <w:rFonts w:hint="eastAsia"/>
                <w:color w:val="000000" w:themeColor="text1"/>
                <w:szCs w:val="24"/>
                <w:shd w:val="clear" w:color="auto" w:fill="auto"/>
              </w:rPr>
              <w:t>1</w:t>
            </w:r>
            <w:r w:rsidRPr="00434E51">
              <w:rPr>
                <w:rFonts w:hint="eastAsia"/>
                <w:color w:val="000000" w:themeColor="text1"/>
                <w:szCs w:val="24"/>
                <w:shd w:val="clear" w:color="auto" w:fill="auto"/>
              </w:rPr>
              <w:t>）不断推进派格宾治疗优势人群的乙肝临床治愈研究工作；（</w:t>
            </w:r>
            <w:r w:rsidRPr="00434E51">
              <w:rPr>
                <w:rFonts w:hint="eastAsia"/>
                <w:color w:val="000000" w:themeColor="text1"/>
                <w:szCs w:val="24"/>
                <w:shd w:val="clear" w:color="auto" w:fill="auto"/>
              </w:rPr>
              <w:t>2</w:t>
            </w:r>
            <w:r w:rsidRPr="00434E51">
              <w:rPr>
                <w:rFonts w:hint="eastAsia"/>
                <w:color w:val="000000" w:themeColor="text1"/>
                <w:szCs w:val="24"/>
                <w:shd w:val="clear" w:color="auto" w:fill="auto"/>
              </w:rPr>
              <w:t>）持续推动派格宾在降低肝癌、肝硬化发生风险方面的相关研究；（</w:t>
            </w:r>
            <w:r w:rsidRPr="00434E51">
              <w:rPr>
                <w:rFonts w:hint="eastAsia"/>
                <w:color w:val="000000" w:themeColor="text1"/>
                <w:szCs w:val="24"/>
                <w:shd w:val="clear" w:color="auto" w:fill="auto"/>
              </w:rPr>
              <w:t>3</w:t>
            </w:r>
            <w:r w:rsidRPr="00434E51">
              <w:rPr>
                <w:rFonts w:hint="eastAsia"/>
                <w:color w:val="000000" w:themeColor="text1"/>
                <w:szCs w:val="24"/>
                <w:shd w:val="clear" w:color="auto" w:fill="auto"/>
              </w:rPr>
              <w:t>）随着慢乙肝临床治愈优势人群的不断扩展，进一步扩大乙肝临床治愈人群适用范围；（</w:t>
            </w:r>
            <w:r w:rsidRPr="00434E51">
              <w:rPr>
                <w:rFonts w:hint="eastAsia"/>
                <w:color w:val="000000" w:themeColor="text1"/>
                <w:szCs w:val="24"/>
                <w:shd w:val="clear" w:color="auto" w:fill="auto"/>
              </w:rPr>
              <w:t>4</w:t>
            </w:r>
            <w:r w:rsidRPr="00434E51">
              <w:rPr>
                <w:rFonts w:hint="eastAsia"/>
                <w:color w:val="000000" w:themeColor="text1"/>
                <w:szCs w:val="24"/>
                <w:shd w:val="clear" w:color="auto" w:fill="auto"/>
              </w:rPr>
              <w:t>）探索不同机</w:t>
            </w:r>
            <w:r w:rsidRPr="00434E51">
              <w:rPr>
                <w:rFonts w:hint="eastAsia"/>
                <w:color w:val="000000" w:themeColor="text1"/>
                <w:szCs w:val="24"/>
                <w:shd w:val="clear" w:color="auto" w:fill="auto"/>
              </w:rPr>
              <w:lastRenderedPageBreak/>
              <w:t>制药物的联合，探索更优的治疗方案，全面提升治疗人群的临床治愈率，真正实现治愈更多慢乙肝感染者的目标。</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“星光计划”是我国首个针对非活动期</w:t>
            </w:r>
            <w:proofErr w:type="spellStart"/>
            <w:r w:rsidRPr="00434E51">
              <w:rPr>
                <w:rFonts w:hint="eastAsia"/>
                <w:color w:val="000000" w:themeColor="text1"/>
                <w:szCs w:val="24"/>
                <w:shd w:val="clear" w:color="auto" w:fill="auto"/>
              </w:rPr>
              <w:t>HBeAg</w:t>
            </w:r>
            <w:proofErr w:type="spellEnd"/>
            <w:r w:rsidRPr="00434E51">
              <w:rPr>
                <w:rFonts w:hint="eastAsia"/>
                <w:color w:val="000000" w:themeColor="text1"/>
                <w:szCs w:val="24"/>
                <w:shd w:val="clear" w:color="auto" w:fill="auto"/>
              </w:rPr>
              <w:t>阴性慢性乙肝病毒感染者的临床治愈研究项目。</w:t>
            </w:r>
            <w:r w:rsidRPr="00434E51">
              <w:rPr>
                <w:rFonts w:hint="eastAsia"/>
                <w:color w:val="000000" w:themeColor="text1"/>
                <w:szCs w:val="24"/>
                <w:shd w:val="clear" w:color="auto" w:fill="auto"/>
              </w:rPr>
              <w:t>2024</w:t>
            </w:r>
            <w:r w:rsidRPr="00434E51">
              <w:rPr>
                <w:rFonts w:hint="eastAsia"/>
                <w:color w:val="000000" w:themeColor="text1"/>
                <w:szCs w:val="24"/>
                <w:shd w:val="clear" w:color="auto" w:fill="auto"/>
              </w:rPr>
              <w:t>年</w:t>
            </w:r>
            <w:r w:rsidRPr="00434E51">
              <w:rPr>
                <w:rFonts w:hint="eastAsia"/>
                <w:color w:val="000000" w:themeColor="text1"/>
                <w:szCs w:val="24"/>
                <w:shd w:val="clear" w:color="auto" w:fill="auto"/>
              </w:rPr>
              <w:t>5</w:t>
            </w:r>
            <w:r w:rsidRPr="00434E51">
              <w:rPr>
                <w:rFonts w:hint="eastAsia"/>
                <w:color w:val="000000" w:themeColor="text1"/>
                <w:szCs w:val="24"/>
                <w:shd w:val="clear" w:color="auto" w:fill="auto"/>
              </w:rPr>
              <w:t>月</w:t>
            </w:r>
            <w:r w:rsidRPr="00434E51">
              <w:rPr>
                <w:rFonts w:hint="eastAsia"/>
                <w:color w:val="000000" w:themeColor="text1"/>
                <w:szCs w:val="24"/>
                <w:shd w:val="clear" w:color="auto" w:fill="auto"/>
              </w:rPr>
              <w:t>18</w:t>
            </w:r>
            <w:r w:rsidRPr="00434E51">
              <w:rPr>
                <w:rFonts w:hint="eastAsia"/>
                <w:color w:val="000000" w:themeColor="text1"/>
                <w:szCs w:val="24"/>
                <w:shd w:val="clear" w:color="auto" w:fill="auto"/>
              </w:rPr>
              <w:t>日，由中</w:t>
            </w:r>
            <w:proofErr w:type="gramStart"/>
            <w:r w:rsidRPr="00434E51">
              <w:rPr>
                <w:rFonts w:hint="eastAsia"/>
                <w:color w:val="000000" w:themeColor="text1"/>
                <w:szCs w:val="24"/>
                <w:shd w:val="clear" w:color="auto" w:fill="auto"/>
              </w:rPr>
              <w:t>联肝健康</w:t>
            </w:r>
            <w:proofErr w:type="gramEnd"/>
            <w:r w:rsidRPr="00434E51">
              <w:rPr>
                <w:rFonts w:hint="eastAsia"/>
                <w:color w:val="000000" w:themeColor="text1"/>
                <w:szCs w:val="24"/>
                <w:shd w:val="clear" w:color="auto" w:fill="auto"/>
              </w:rPr>
              <w:t>促进中心主办的星光计划</w:t>
            </w:r>
            <w:r w:rsidRPr="00434E51">
              <w:rPr>
                <w:rFonts w:hint="eastAsia"/>
                <w:color w:val="000000" w:themeColor="text1"/>
                <w:szCs w:val="24"/>
                <w:shd w:val="clear" w:color="auto" w:fill="auto"/>
              </w:rPr>
              <w:t>2024</w:t>
            </w:r>
            <w:r w:rsidRPr="00434E51">
              <w:rPr>
                <w:rFonts w:hint="eastAsia"/>
                <w:color w:val="000000" w:themeColor="text1"/>
                <w:szCs w:val="24"/>
                <w:shd w:val="clear" w:color="auto" w:fill="auto"/>
              </w:rPr>
              <w:t>年工作会议公开数据显示，项目自启动以来，覆盖全国</w:t>
            </w:r>
            <w:r w:rsidRPr="00434E51">
              <w:rPr>
                <w:rFonts w:hint="eastAsia"/>
                <w:color w:val="000000" w:themeColor="text1"/>
                <w:szCs w:val="24"/>
                <w:shd w:val="clear" w:color="auto" w:fill="auto"/>
              </w:rPr>
              <w:t>408</w:t>
            </w:r>
            <w:r w:rsidRPr="00434E51">
              <w:rPr>
                <w:rFonts w:hint="eastAsia"/>
                <w:color w:val="000000" w:themeColor="text1"/>
                <w:szCs w:val="24"/>
                <w:shd w:val="clear" w:color="auto" w:fill="auto"/>
              </w:rPr>
              <w:t>家医院，覆盖全国</w:t>
            </w:r>
            <w:r w:rsidRPr="00434E51">
              <w:rPr>
                <w:rFonts w:hint="eastAsia"/>
                <w:color w:val="000000" w:themeColor="text1"/>
                <w:szCs w:val="24"/>
                <w:shd w:val="clear" w:color="auto" w:fill="auto"/>
              </w:rPr>
              <w:t>28</w:t>
            </w:r>
            <w:r w:rsidRPr="00434E51">
              <w:rPr>
                <w:rFonts w:hint="eastAsia"/>
                <w:color w:val="000000" w:themeColor="text1"/>
                <w:szCs w:val="24"/>
                <w:shd w:val="clear" w:color="auto" w:fill="auto"/>
              </w:rPr>
              <w:t>个省市自治区。截至</w:t>
            </w:r>
            <w:r w:rsidRPr="00434E51">
              <w:rPr>
                <w:rFonts w:hint="eastAsia"/>
                <w:color w:val="000000" w:themeColor="text1"/>
                <w:szCs w:val="24"/>
                <w:shd w:val="clear" w:color="auto" w:fill="auto"/>
              </w:rPr>
              <w:t>2024</w:t>
            </w:r>
            <w:r w:rsidRPr="00434E51">
              <w:rPr>
                <w:rFonts w:hint="eastAsia"/>
                <w:color w:val="000000" w:themeColor="text1"/>
                <w:szCs w:val="24"/>
                <w:shd w:val="clear" w:color="auto" w:fill="auto"/>
              </w:rPr>
              <w:t>年</w:t>
            </w:r>
            <w:r w:rsidRPr="00434E51">
              <w:rPr>
                <w:rFonts w:hint="eastAsia"/>
                <w:color w:val="000000" w:themeColor="text1"/>
                <w:szCs w:val="24"/>
                <w:shd w:val="clear" w:color="auto" w:fill="auto"/>
              </w:rPr>
              <w:t>5</w:t>
            </w:r>
            <w:r w:rsidRPr="00434E51">
              <w:rPr>
                <w:rFonts w:hint="eastAsia"/>
                <w:color w:val="000000" w:themeColor="text1"/>
                <w:szCs w:val="24"/>
                <w:shd w:val="clear" w:color="auto" w:fill="auto"/>
              </w:rPr>
              <w:t>月</w:t>
            </w:r>
            <w:r w:rsidRPr="00434E51">
              <w:rPr>
                <w:rFonts w:hint="eastAsia"/>
                <w:color w:val="000000" w:themeColor="text1"/>
                <w:szCs w:val="24"/>
                <w:shd w:val="clear" w:color="auto" w:fill="auto"/>
              </w:rPr>
              <w:t>6</w:t>
            </w:r>
            <w:r w:rsidRPr="00434E51">
              <w:rPr>
                <w:rFonts w:hint="eastAsia"/>
                <w:color w:val="000000" w:themeColor="text1"/>
                <w:szCs w:val="24"/>
                <w:shd w:val="clear" w:color="auto" w:fill="auto"/>
              </w:rPr>
              <w:t>日，已筛选</w:t>
            </w:r>
            <w:r w:rsidRPr="00434E51">
              <w:rPr>
                <w:rFonts w:hint="eastAsia"/>
                <w:color w:val="000000" w:themeColor="text1"/>
                <w:szCs w:val="24"/>
                <w:shd w:val="clear" w:color="auto" w:fill="auto"/>
              </w:rPr>
              <w:t>10028</w:t>
            </w:r>
            <w:r w:rsidRPr="00434E51">
              <w:rPr>
                <w:rFonts w:hint="eastAsia"/>
                <w:color w:val="000000" w:themeColor="text1"/>
                <w:szCs w:val="24"/>
                <w:shd w:val="clear" w:color="auto" w:fill="auto"/>
              </w:rPr>
              <w:t>例患者，成功有效入组</w:t>
            </w:r>
            <w:r w:rsidRPr="00434E51">
              <w:rPr>
                <w:rFonts w:hint="eastAsia"/>
                <w:color w:val="000000" w:themeColor="text1"/>
                <w:szCs w:val="24"/>
                <w:shd w:val="clear" w:color="auto" w:fill="auto"/>
              </w:rPr>
              <w:t>6593</w:t>
            </w:r>
            <w:r w:rsidRPr="00434E51">
              <w:rPr>
                <w:rFonts w:hint="eastAsia"/>
                <w:color w:val="000000" w:themeColor="text1"/>
                <w:szCs w:val="24"/>
                <w:shd w:val="clear" w:color="auto" w:fill="auto"/>
              </w:rPr>
              <w:t>例患者。其阶段性数据表明对于</w:t>
            </w:r>
            <w:r w:rsidRPr="00434E51">
              <w:rPr>
                <w:rFonts w:hint="eastAsia"/>
                <w:color w:val="000000" w:themeColor="text1"/>
                <w:szCs w:val="24"/>
                <w:shd w:val="clear" w:color="auto" w:fill="auto"/>
              </w:rPr>
              <w:t>IHC</w:t>
            </w:r>
            <w:r w:rsidRPr="00434E51">
              <w:rPr>
                <w:rFonts w:hint="eastAsia"/>
                <w:color w:val="000000" w:themeColor="text1"/>
                <w:szCs w:val="24"/>
                <w:shd w:val="clear" w:color="auto" w:fill="auto"/>
              </w:rPr>
              <w:t>人群基于</w:t>
            </w:r>
            <w:r w:rsidRPr="00434E51">
              <w:rPr>
                <w:rFonts w:hint="eastAsia"/>
                <w:color w:val="000000" w:themeColor="text1"/>
                <w:szCs w:val="24"/>
                <w:shd w:val="clear" w:color="auto" w:fill="auto"/>
              </w:rPr>
              <w:t>PEG IFN</w:t>
            </w:r>
            <w:r w:rsidRPr="00523D66">
              <w:rPr>
                <w:color w:val="000000" w:themeColor="text1"/>
                <w:szCs w:val="24"/>
                <w:shd w:val="clear" w:color="auto" w:fill="auto"/>
              </w:rPr>
              <w:t>α</w:t>
            </w:r>
            <w:r w:rsidRPr="00434E51">
              <w:rPr>
                <w:rFonts w:hint="eastAsia"/>
                <w:color w:val="000000" w:themeColor="text1"/>
                <w:szCs w:val="24"/>
                <w:shd w:val="clear" w:color="auto" w:fill="auto"/>
              </w:rPr>
              <w:t>治疗</w:t>
            </w:r>
            <w:r w:rsidRPr="00434E51">
              <w:rPr>
                <w:rFonts w:hint="eastAsia"/>
                <w:color w:val="000000" w:themeColor="text1"/>
                <w:szCs w:val="24"/>
                <w:shd w:val="clear" w:color="auto" w:fill="auto"/>
              </w:rPr>
              <w:t>48</w:t>
            </w:r>
            <w:r w:rsidRPr="00434E51">
              <w:rPr>
                <w:rFonts w:hint="eastAsia"/>
                <w:color w:val="000000" w:themeColor="text1"/>
                <w:szCs w:val="24"/>
                <w:shd w:val="clear" w:color="auto" w:fill="auto"/>
              </w:rPr>
              <w:t>周时的</w:t>
            </w:r>
            <w:proofErr w:type="spellStart"/>
            <w:r w:rsidRPr="00434E51">
              <w:rPr>
                <w:rFonts w:hint="eastAsia"/>
                <w:color w:val="000000" w:themeColor="text1"/>
                <w:szCs w:val="24"/>
                <w:shd w:val="clear" w:color="auto" w:fill="auto"/>
              </w:rPr>
              <w:t>HBsAg</w:t>
            </w:r>
            <w:proofErr w:type="spellEnd"/>
            <w:r w:rsidRPr="00434E51">
              <w:rPr>
                <w:rFonts w:hint="eastAsia"/>
                <w:color w:val="000000" w:themeColor="text1"/>
                <w:szCs w:val="24"/>
                <w:shd w:val="clear" w:color="auto" w:fill="auto"/>
              </w:rPr>
              <w:t>清除率达</w:t>
            </w:r>
            <w:r w:rsidRPr="00434E51">
              <w:rPr>
                <w:rFonts w:hint="eastAsia"/>
                <w:color w:val="000000" w:themeColor="text1"/>
                <w:szCs w:val="24"/>
                <w:shd w:val="clear" w:color="auto" w:fill="auto"/>
              </w:rPr>
              <w:t>30%</w:t>
            </w:r>
            <w:r w:rsidRPr="00434E51">
              <w:rPr>
                <w:rFonts w:hint="eastAsia"/>
                <w:color w:val="000000" w:themeColor="text1"/>
                <w:szCs w:val="24"/>
                <w:shd w:val="clear" w:color="auto" w:fill="auto"/>
              </w:rPr>
              <w:t>以上，累积</w:t>
            </w:r>
            <w:proofErr w:type="spellStart"/>
            <w:r w:rsidRPr="00434E51">
              <w:rPr>
                <w:rFonts w:hint="eastAsia"/>
                <w:color w:val="000000" w:themeColor="text1"/>
                <w:szCs w:val="24"/>
                <w:shd w:val="clear" w:color="auto" w:fill="auto"/>
              </w:rPr>
              <w:t>HBsAg</w:t>
            </w:r>
            <w:proofErr w:type="spellEnd"/>
            <w:r w:rsidRPr="00434E51">
              <w:rPr>
                <w:rFonts w:hint="eastAsia"/>
                <w:color w:val="000000" w:themeColor="text1"/>
                <w:szCs w:val="24"/>
                <w:shd w:val="clear" w:color="auto" w:fill="auto"/>
              </w:rPr>
              <w:t>清除率大于</w:t>
            </w:r>
            <w:r w:rsidRPr="00434E51">
              <w:rPr>
                <w:rFonts w:hint="eastAsia"/>
                <w:color w:val="000000" w:themeColor="text1"/>
                <w:szCs w:val="24"/>
                <w:shd w:val="clear" w:color="auto" w:fill="auto"/>
              </w:rPr>
              <w:t>70%</w:t>
            </w:r>
            <w:r w:rsidRPr="00434E51">
              <w:rPr>
                <w:rFonts w:hint="eastAsia"/>
                <w:color w:val="000000" w:themeColor="text1"/>
                <w:szCs w:val="24"/>
                <w:shd w:val="clear" w:color="auto" w:fill="auto"/>
              </w:rPr>
              <w:t>，取得良好的疗效。</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“容愈项目”是国内首个针对非活动性慢性乙型肝炎患者（</w:t>
            </w:r>
            <w:r w:rsidRPr="00434E51">
              <w:rPr>
                <w:rFonts w:hint="eastAsia"/>
                <w:color w:val="000000" w:themeColor="text1"/>
                <w:szCs w:val="24"/>
                <w:shd w:val="clear" w:color="auto" w:fill="auto"/>
              </w:rPr>
              <w:t>IHCs</w:t>
            </w:r>
            <w:r w:rsidRPr="00434E51">
              <w:rPr>
                <w:rFonts w:hint="eastAsia"/>
                <w:color w:val="000000" w:themeColor="text1"/>
                <w:szCs w:val="24"/>
                <w:shd w:val="clear" w:color="auto" w:fill="auto"/>
              </w:rPr>
              <w:t>）开展的一项临床治愈探索，旨在为乙肝治疗人群的扩大以及</w:t>
            </w:r>
            <w:r w:rsidRPr="00434E51">
              <w:rPr>
                <w:rFonts w:hint="eastAsia"/>
                <w:color w:val="000000" w:themeColor="text1"/>
                <w:szCs w:val="24"/>
                <w:shd w:val="clear" w:color="auto" w:fill="auto"/>
              </w:rPr>
              <w:t>IHCs</w:t>
            </w:r>
            <w:r w:rsidRPr="00434E51">
              <w:rPr>
                <w:rFonts w:hint="eastAsia"/>
                <w:color w:val="000000" w:themeColor="text1"/>
                <w:szCs w:val="24"/>
                <w:shd w:val="clear" w:color="auto" w:fill="auto"/>
              </w:rPr>
              <w:t>优化治疗提供依据。“容愈项目”自</w:t>
            </w:r>
            <w:r w:rsidRPr="00434E51">
              <w:rPr>
                <w:rFonts w:hint="eastAsia"/>
                <w:color w:val="000000" w:themeColor="text1"/>
                <w:szCs w:val="24"/>
                <w:shd w:val="clear" w:color="auto" w:fill="auto"/>
              </w:rPr>
              <w:t>2022</w:t>
            </w:r>
            <w:r w:rsidRPr="00434E51">
              <w:rPr>
                <w:rFonts w:hint="eastAsia"/>
                <w:color w:val="000000" w:themeColor="text1"/>
                <w:szCs w:val="24"/>
                <w:shd w:val="clear" w:color="auto" w:fill="auto"/>
              </w:rPr>
              <w:t>年</w:t>
            </w:r>
            <w:r w:rsidRPr="00434E51">
              <w:rPr>
                <w:rFonts w:hint="eastAsia"/>
                <w:color w:val="000000" w:themeColor="text1"/>
                <w:szCs w:val="24"/>
                <w:shd w:val="clear" w:color="auto" w:fill="auto"/>
              </w:rPr>
              <w:t>1</w:t>
            </w:r>
            <w:r w:rsidRPr="00434E51">
              <w:rPr>
                <w:rFonts w:hint="eastAsia"/>
                <w:color w:val="000000" w:themeColor="text1"/>
                <w:szCs w:val="24"/>
                <w:shd w:val="clear" w:color="auto" w:fill="auto"/>
              </w:rPr>
              <w:t>月由中山大学附属第三医院发起后，近两年时间成功入组</w:t>
            </w:r>
            <w:r w:rsidRPr="00434E51">
              <w:rPr>
                <w:rFonts w:hint="eastAsia"/>
                <w:color w:val="000000" w:themeColor="text1"/>
                <w:szCs w:val="24"/>
                <w:shd w:val="clear" w:color="auto" w:fill="auto"/>
              </w:rPr>
              <w:t>2831</w:t>
            </w:r>
            <w:r w:rsidRPr="00434E51">
              <w:rPr>
                <w:rFonts w:hint="eastAsia"/>
                <w:color w:val="000000" w:themeColor="text1"/>
                <w:szCs w:val="24"/>
                <w:shd w:val="clear" w:color="auto" w:fill="auto"/>
              </w:rPr>
              <w:t>例（部分未完成</w:t>
            </w:r>
            <w:r w:rsidRPr="00434E51">
              <w:rPr>
                <w:rFonts w:hint="eastAsia"/>
                <w:color w:val="000000" w:themeColor="text1"/>
                <w:szCs w:val="24"/>
                <w:shd w:val="clear" w:color="auto" w:fill="auto"/>
              </w:rPr>
              <w:t>48</w:t>
            </w:r>
            <w:r w:rsidRPr="00434E51">
              <w:rPr>
                <w:rFonts w:hint="eastAsia"/>
                <w:color w:val="000000" w:themeColor="text1"/>
                <w:szCs w:val="24"/>
                <w:shd w:val="clear" w:color="auto" w:fill="auto"/>
              </w:rPr>
              <w:t>周疗程），系统登记临床治愈</w:t>
            </w:r>
            <w:r w:rsidRPr="00434E51">
              <w:rPr>
                <w:rFonts w:hint="eastAsia"/>
                <w:color w:val="000000" w:themeColor="text1"/>
                <w:szCs w:val="24"/>
                <w:shd w:val="clear" w:color="auto" w:fill="auto"/>
              </w:rPr>
              <w:t>279</w:t>
            </w:r>
            <w:r w:rsidRPr="00434E51">
              <w:rPr>
                <w:rFonts w:hint="eastAsia"/>
                <w:color w:val="000000" w:themeColor="text1"/>
                <w:szCs w:val="24"/>
                <w:shd w:val="clear" w:color="auto" w:fill="auto"/>
              </w:rPr>
              <w:t>例（部分数据仍在录入中）。</w:t>
            </w:r>
          </w:p>
          <w:p w:rsidR="004B730A" w:rsidRPr="00434E51" w:rsidRDefault="004B730A" w:rsidP="004B730A">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八</w:t>
            </w:r>
            <w:r w:rsidRPr="00434E51">
              <w:rPr>
                <w:rFonts w:hint="eastAsia"/>
                <w:b/>
                <w:bCs/>
                <w:color w:val="000000" w:themeColor="text1"/>
                <w:szCs w:val="24"/>
                <w:shd w:val="clear" w:color="auto" w:fill="auto"/>
              </w:rPr>
              <w:t>、公司如何看待竞争对手的出现，对派格宾产品价格和渗透率影响程度？</w:t>
            </w:r>
          </w:p>
          <w:p w:rsidR="004B730A" w:rsidRPr="00434E51" w:rsidRDefault="004B730A" w:rsidP="004B730A">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答：慢乙肝是我国突出的公共卫生问题，我国目前还有</w:t>
            </w:r>
            <w:r w:rsidRPr="00434E51">
              <w:rPr>
                <w:rFonts w:hint="eastAsia"/>
                <w:color w:val="000000" w:themeColor="text1"/>
                <w:szCs w:val="24"/>
                <w:shd w:val="clear" w:color="auto" w:fill="auto"/>
              </w:rPr>
              <w:t>7000</w:t>
            </w:r>
            <w:r>
              <w:rPr>
                <w:rFonts w:hint="eastAsia"/>
                <w:color w:val="000000" w:themeColor="text1"/>
                <w:szCs w:val="24"/>
                <w:shd w:val="clear" w:color="auto" w:fill="auto"/>
              </w:rPr>
              <w:t>万</w:t>
            </w:r>
            <w:r w:rsidRPr="00434E51">
              <w:rPr>
                <w:rFonts w:hint="eastAsia"/>
                <w:color w:val="000000" w:themeColor="text1"/>
                <w:szCs w:val="24"/>
                <w:shd w:val="clear" w:color="auto" w:fill="auto"/>
              </w:rPr>
              <w:t>-8000</w:t>
            </w:r>
            <w:r w:rsidRPr="00434E51">
              <w:rPr>
                <w:rFonts w:hint="eastAsia"/>
                <w:color w:val="000000" w:themeColor="text1"/>
                <w:szCs w:val="24"/>
                <w:shd w:val="clear" w:color="auto" w:fill="auto"/>
              </w:rPr>
              <w:t>万左右的慢乙肝感染者</w:t>
            </w:r>
            <w:r w:rsidRPr="00434E51">
              <w:rPr>
                <w:color w:val="000000" w:themeColor="text1"/>
                <w:szCs w:val="24"/>
                <w:shd w:val="clear" w:color="auto" w:fill="auto"/>
              </w:rPr>
              <w:t>。公司认为通过良性竞争可以推动行业进步，</w:t>
            </w:r>
            <w:r w:rsidRPr="00434E51">
              <w:rPr>
                <w:rFonts w:hint="eastAsia"/>
                <w:color w:val="000000" w:themeColor="text1"/>
                <w:szCs w:val="24"/>
                <w:shd w:val="clear" w:color="auto" w:fill="auto"/>
              </w:rPr>
              <w:t>希望未来有更多同行进入这个领域，共同造福广大患者。目前，派格宾在抗病毒治疗领域的渗透率还处于较低的水平，公司希望未来随着乙肝临床治愈科学证据的不断积累，接受治疗的患者数量将呈上升趋势，派格宾能够实现持续增长。</w:t>
            </w:r>
          </w:p>
          <w:p w:rsidR="004B730A" w:rsidRPr="00434E51" w:rsidRDefault="004B730A" w:rsidP="004B730A">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九</w:t>
            </w:r>
            <w:r w:rsidRPr="00434E51">
              <w:rPr>
                <w:rFonts w:hint="eastAsia"/>
                <w:b/>
                <w:bCs/>
                <w:color w:val="000000" w:themeColor="text1"/>
                <w:szCs w:val="24"/>
                <w:shd w:val="clear" w:color="auto" w:fill="auto"/>
              </w:rPr>
              <w:t>、公司如何看待珮金这个产品？能否判断一下</w:t>
            </w:r>
            <w:r w:rsidRPr="00434E51">
              <w:rPr>
                <w:rFonts w:hint="eastAsia"/>
                <w:b/>
                <w:bCs/>
                <w:color w:val="000000" w:themeColor="text1"/>
                <w:szCs w:val="24"/>
                <w:shd w:val="clear" w:color="auto" w:fill="auto"/>
              </w:rPr>
              <w:lastRenderedPageBreak/>
              <w:t>未来几年的销售情况？</w:t>
            </w:r>
          </w:p>
          <w:p w:rsidR="004B730A" w:rsidRDefault="004B730A" w:rsidP="004B730A">
            <w:pPr>
              <w:pStyle w:val="af5"/>
              <w:spacing w:beforeLines="50" w:before="156" w:afterLines="50" w:after="156"/>
              <w:ind w:firstLine="480"/>
              <w:rPr>
                <w:szCs w:val="24"/>
                <w:shd w:val="clear" w:color="auto" w:fill="auto"/>
              </w:rPr>
            </w:pPr>
            <w:r>
              <w:rPr>
                <w:rFonts w:hint="eastAsia"/>
                <w:szCs w:val="24"/>
                <w:shd w:val="clear" w:color="auto" w:fill="auto"/>
              </w:rPr>
              <w:t>答：</w:t>
            </w:r>
            <w:r>
              <w:rPr>
                <w:szCs w:val="24"/>
                <w:shd w:val="clear" w:color="auto" w:fill="auto"/>
              </w:rPr>
              <w:t>珮金于</w:t>
            </w:r>
            <w:r>
              <w:rPr>
                <w:szCs w:val="24"/>
                <w:shd w:val="clear" w:color="auto" w:fill="auto"/>
              </w:rPr>
              <w:t>2023</w:t>
            </w:r>
            <w:r>
              <w:rPr>
                <w:szCs w:val="24"/>
                <w:shd w:val="clear" w:color="auto" w:fill="auto"/>
              </w:rPr>
              <w:t>年</w:t>
            </w:r>
            <w:r>
              <w:rPr>
                <w:szCs w:val="24"/>
                <w:shd w:val="clear" w:color="auto" w:fill="auto"/>
              </w:rPr>
              <w:t>6</w:t>
            </w:r>
            <w:r>
              <w:rPr>
                <w:szCs w:val="24"/>
                <w:shd w:val="clear" w:color="auto" w:fill="auto"/>
              </w:rPr>
              <w:t>月</w:t>
            </w:r>
            <w:r>
              <w:rPr>
                <w:szCs w:val="24"/>
                <w:shd w:val="clear" w:color="auto" w:fill="auto"/>
              </w:rPr>
              <w:t>30</w:t>
            </w:r>
            <w:r>
              <w:rPr>
                <w:szCs w:val="24"/>
                <w:shd w:val="clear" w:color="auto" w:fill="auto"/>
              </w:rPr>
              <w:t>日成功获批上市后，同年</w:t>
            </w:r>
            <w:r>
              <w:rPr>
                <w:szCs w:val="24"/>
                <w:shd w:val="clear" w:color="auto" w:fill="auto"/>
              </w:rPr>
              <w:t>12</w:t>
            </w:r>
            <w:r>
              <w:rPr>
                <w:szCs w:val="24"/>
                <w:shd w:val="clear" w:color="auto" w:fill="auto"/>
              </w:rPr>
              <w:t>月珮金被纳入国家医疗保险目录，显著提升了患者的可及性，改善患者生活质量并降低治疗期间的感染风险</w:t>
            </w:r>
            <w:r>
              <w:rPr>
                <w:rFonts w:hint="eastAsia"/>
                <w:szCs w:val="24"/>
                <w:shd w:val="clear" w:color="auto" w:fill="auto"/>
              </w:rPr>
              <w:t>。与目前已上市的同类长效产品相比，珮</w:t>
            </w:r>
            <w:proofErr w:type="gramStart"/>
            <w:r>
              <w:rPr>
                <w:rFonts w:hint="eastAsia"/>
                <w:szCs w:val="24"/>
                <w:shd w:val="clear" w:color="auto" w:fill="auto"/>
              </w:rPr>
              <w:t>金具有</w:t>
            </w:r>
            <w:proofErr w:type="gramEnd"/>
            <w:r>
              <w:rPr>
                <w:rFonts w:hint="eastAsia"/>
                <w:szCs w:val="24"/>
                <w:shd w:val="clear" w:color="auto" w:fill="auto"/>
              </w:rPr>
              <w:t>较长的药物半衰期、较低的药物剂量，药物剂量约为目前已上市同类长效产品的三分之一，</w:t>
            </w:r>
            <w:r>
              <w:rPr>
                <w:szCs w:val="24"/>
                <w:shd w:val="clear" w:color="auto" w:fill="auto"/>
              </w:rPr>
              <w:t>能进一步降低药品相关不良反应，更好</w:t>
            </w:r>
            <w:r>
              <w:rPr>
                <w:rFonts w:hint="eastAsia"/>
                <w:szCs w:val="24"/>
                <w:shd w:val="clear" w:color="auto" w:fill="auto"/>
              </w:rPr>
              <w:t>地满足临床需求。</w:t>
            </w:r>
            <w:r>
              <w:rPr>
                <w:szCs w:val="24"/>
                <w:shd w:val="clear" w:color="auto" w:fill="auto"/>
              </w:rPr>
              <w:t>目前珮金的销售工作正按计划有序推进，</w:t>
            </w:r>
            <w:r>
              <w:rPr>
                <w:rFonts w:hint="eastAsia"/>
                <w:szCs w:val="24"/>
                <w:shd w:val="clear" w:color="auto" w:fill="auto"/>
              </w:rPr>
              <w:t>公司相信真正具备临床价值的产品，未来将会有不错的业绩表现。</w:t>
            </w:r>
          </w:p>
          <w:p w:rsidR="004B730A" w:rsidRDefault="004B730A" w:rsidP="004B730A">
            <w:pPr>
              <w:pStyle w:val="af5"/>
              <w:spacing w:beforeLines="50" w:before="156" w:afterLines="50" w:after="156"/>
              <w:ind w:firstLine="480"/>
              <w:rPr>
                <w:szCs w:val="24"/>
                <w:shd w:val="clear" w:color="auto" w:fill="auto"/>
              </w:rPr>
            </w:pPr>
          </w:p>
        </w:tc>
      </w:tr>
      <w:tr w:rsidR="00EB410A" w:rsidTr="004B730A">
        <w:trPr>
          <w:trHeight w:val="2098"/>
          <w:jc w:val="center"/>
        </w:trPr>
        <w:tc>
          <w:tcPr>
            <w:tcW w:w="1437" w:type="pct"/>
            <w:vAlign w:val="center"/>
          </w:tcPr>
          <w:p w:rsidR="00EB410A" w:rsidRDefault="003225B2">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63" w:type="pct"/>
            <w:vAlign w:val="center"/>
          </w:tcPr>
          <w:p w:rsidR="00EB410A" w:rsidRDefault="003225B2">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接待过程中，公司与投资者进行了充分的交流与沟通，并严格按照公司《信息披露管理制度》等规定，保证信息披露的真实、准确、完整、及时、公平，没有出现未公开重大信息泄露等情况。</w:t>
            </w:r>
          </w:p>
        </w:tc>
      </w:tr>
      <w:tr w:rsidR="00EB410A" w:rsidTr="004B730A">
        <w:trPr>
          <w:trHeight w:val="567"/>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63" w:type="pct"/>
            <w:vAlign w:val="center"/>
          </w:tcPr>
          <w:p w:rsidR="00EB410A" w:rsidRDefault="003225B2">
            <w:pPr>
              <w:jc w:val="left"/>
              <w:rPr>
                <w:rFonts w:ascii="宋体" w:hAnsi="宋体" w:cs="黑体"/>
                <w:color w:val="000000"/>
                <w:kern w:val="0"/>
                <w:sz w:val="24"/>
              </w:rPr>
            </w:pPr>
            <w:r>
              <w:rPr>
                <w:rFonts w:ascii="宋体" w:hAnsi="宋体" w:cs="黑体" w:hint="eastAsia"/>
                <w:color w:val="000000"/>
                <w:kern w:val="0"/>
                <w:sz w:val="24"/>
              </w:rPr>
              <w:t>无</w:t>
            </w:r>
          </w:p>
        </w:tc>
      </w:tr>
      <w:tr w:rsidR="00EB410A" w:rsidTr="004B730A">
        <w:trPr>
          <w:trHeight w:val="567"/>
          <w:jc w:val="center"/>
        </w:trPr>
        <w:tc>
          <w:tcPr>
            <w:tcW w:w="1437" w:type="pct"/>
            <w:vAlign w:val="center"/>
          </w:tcPr>
          <w:p w:rsidR="00EB410A" w:rsidRDefault="003225B2">
            <w:pPr>
              <w:autoSpaceDE w:val="0"/>
              <w:autoSpaceDN w:val="0"/>
              <w:adjustRightInd w:val="0"/>
              <w:jc w:val="center"/>
              <w:rPr>
                <w:color w:val="000000"/>
                <w:kern w:val="0"/>
                <w:sz w:val="24"/>
              </w:rPr>
            </w:pPr>
            <w:r>
              <w:rPr>
                <w:rFonts w:hint="eastAsia"/>
                <w:color w:val="000000"/>
                <w:kern w:val="0"/>
                <w:sz w:val="24"/>
              </w:rPr>
              <w:t>日期</w:t>
            </w:r>
          </w:p>
        </w:tc>
        <w:tc>
          <w:tcPr>
            <w:tcW w:w="3563" w:type="pct"/>
            <w:vAlign w:val="center"/>
          </w:tcPr>
          <w:p w:rsidR="00EB410A" w:rsidRDefault="003225B2">
            <w:pPr>
              <w:autoSpaceDE w:val="0"/>
              <w:autoSpaceDN w:val="0"/>
              <w:adjustRightInd w:val="0"/>
              <w:rPr>
                <w:color w:val="000000"/>
                <w:kern w:val="0"/>
                <w:sz w:val="24"/>
              </w:rPr>
            </w:pPr>
            <w:r>
              <w:rPr>
                <w:rFonts w:hint="eastAsia"/>
                <w:kern w:val="0"/>
                <w:sz w:val="24"/>
              </w:rPr>
              <w:t>2024</w:t>
            </w:r>
            <w:r>
              <w:rPr>
                <w:rFonts w:hint="eastAsia"/>
                <w:kern w:val="0"/>
                <w:sz w:val="24"/>
              </w:rPr>
              <w:t>年</w:t>
            </w:r>
            <w:r>
              <w:rPr>
                <w:rFonts w:hint="eastAsia"/>
                <w:kern w:val="0"/>
                <w:sz w:val="24"/>
              </w:rPr>
              <w:t>8</w:t>
            </w:r>
            <w:r>
              <w:rPr>
                <w:rFonts w:hint="eastAsia"/>
                <w:kern w:val="0"/>
                <w:sz w:val="24"/>
              </w:rPr>
              <w:t>月</w:t>
            </w:r>
            <w:r>
              <w:rPr>
                <w:rFonts w:hint="eastAsia"/>
                <w:kern w:val="0"/>
                <w:sz w:val="24"/>
              </w:rPr>
              <w:t>23</w:t>
            </w:r>
            <w:r>
              <w:rPr>
                <w:rFonts w:hint="eastAsia"/>
                <w:kern w:val="0"/>
                <w:sz w:val="24"/>
              </w:rPr>
              <w:t>日</w:t>
            </w:r>
          </w:p>
        </w:tc>
      </w:tr>
    </w:tbl>
    <w:p w:rsidR="00EB410A" w:rsidRDefault="00EB410A">
      <w:pPr>
        <w:rPr>
          <w:rFonts w:ascii="黑体" w:eastAsia="黑体" w:cs="黑体"/>
          <w:color w:val="000000"/>
          <w:kern w:val="0"/>
          <w:sz w:val="28"/>
          <w:szCs w:val="28"/>
        </w:rPr>
      </w:pPr>
    </w:p>
    <w:sectPr w:rsidR="00EB410A">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D7" w:rsidRDefault="009038D7">
      <w:r>
        <w:separator/>
      </w:r>
    </w:p>
  </w:endnote>
  <w:endnote w:type="continuationSeparator" w:id="0">
    <w:p w:rsidR="009038D7" w:rsidRDefault="0090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EB410A" w:rsidRDefault="003225B2">
        <w:pPr>
          <w:pStyle w:val="a7"/>
          <w:jc w:val="center"/>
        </w:pPr>
        <w:r>
          <w:fldChar w:fldCharType="begin"/>
        </w:r>
        <w:r>
          <w:instrText>PAGE   \* MERGEFORMAT</w:instrText>
        </w:r>
        <w:r>
          <w:fldChar w:fldCharType="separate"/>
        </w:r>
        <w:r w:rsidR="005B61A1" w:rsidRPr="005B61A1">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D7" w:rsidRDefault="009038D7">
      <w:r>
        <w:separator/>
      </w:r>
    </w:p>
  </w:footnote>
  <w:footnote w:type="continuationSeparator" w:id="0">
    <w:p w:rsidR="009038D7" w:rsidRDefault="0090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0A" w:rsidRDefault="00EB410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2CB"/>
    <w:rsid w:val="00001E48"/>
    <w:rsid w:val="0000227C"/>
    <w:rsid w:val="00002DB6"/>
    <w:rsid w:val="000065CA"/>
    <w:rsid w:val="0000707E"/>
    <w:rsid w:val="000125BA"/>
    <w:rsid w:val="000127EB"/>
    <w:rsid w:val="0001294D"/>
    <w:rsid w:val="00014319"/>
    <w:rsid w:val="00014F74"/>
    <w:rsid w:val="00017945"/>
    <w:rsid w:val="00017B4C"/>
    <w:rsid w:val="00020913"/>
    <w:rsid w:val="00026FD9"/>
    <w:rsid w:val="000275E4"/>
    <w:rsid w:val="00031559"/>
    <w:rsid w:val="000325E1"/>
    <w:rsid w:val="00033EB1"/>
    <w:rsid w:val="0004604E"/>
    <w:rsid w:val="00046AD4"/>
    <w:rsid w:val="000502E7"/>
    <w:rsid w:val="00055922"/>
    <w:rsid w:val="00057E8D"/>
    <w:rsid w:val="00062C74"/>
    <w:rsid w:val="0006362C"/>
    <w:rsid w:val="00063A49"/>
    <w:rsid w:val="00066671"/>
    <w:rsid w:val="00066A51"/>
    <w:rsid w:val="00070AFC"/>
    <w:rsid w:val="00070C9B"/>
    <w:rsid w:val="00072AED"/>
    <w:rsid w:val="000737BD"/>
    <w:rsid w:val="000770BC"/>
    <w:rsid w:val="0008251C"/>
    <w:rsid w:val="00083E24"/>
    <w:rsid w:val="00090199"/>
    <w:rsid w:val="00093E67"/>
    <w:rsid w:val="00096874"/>
    <w:rsid w:val="000A0063"/>
    <w:rsid w:val="000A16EE"/>
    <w:rsid w:val="000A4DEB"/>
    <w:rsid w:val="000A6FB9"/>
    <w:rsid w:val="000B2347"/>
    <w:rsid w:val="000B4BA6"/>
    <w:rsid w:val="000C128B"/>
    <w:rsid w:val="000D0FCA"/>
    <w:rsid w:val="000D3B07"/>
    <w:rsid w:val="000D5717"/>
    <w:rsid w:val="000D7902"/>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B106B"/>
    <w:rsid w:val="001B1A85"/>
    <w:rsid w:val="001B6563"/>
    <w:rsid w:val="001B7C46"/>
    <w:rsid w:val="001D22FC"/>
    <w:rsid w:val="001D5417"/>
    <w:rsid w:val="001D6E7A"/>
    <w:rsid w:val="001E353D"/>
    <w:rsid w:val="001E6D9B"/>
    <w:rsid w:val="001F203F"/>
    <w:rsid w:val="001F2C7A"/>
    <w:rsid w:val="001F4868"/>
    <w:rsid w:val="001F4A2A"/>
    <w:rsid w:val="001F6BF6"/>
    <w:rsid w:val="001F7D9F"/>
    <w:rsid w:val="00200BD3"/>
    <w:rsid w:val="00201EB5"/>
    <w:rsid w:val="00203129"/>
    <w:rsid w:val="0020488A"/>
    <w:rsid w:val="00205A14"/>
    <w:rsid w:val="00207C3C"/>
    <w:rsid w:val="002108EC"/>
    <w:rsid w:val="00210C4F"/>
    <w:rsid w:val="0021285C"/>
    <w:rsid w:val="00215CFB"/>
    <w:rsid w:val="00217358"/>
    <w:rsid w:val="00217450"/>
    <w:rsid w:val="00220430"/>
    <w:rsid w:val="002234D7"/>
    <w:rsid w:val="00223A87"/>
    <w:rsid w:val="0022450C"/>
    <w:rsid w:val="00227138"/>
    <w:rsid w:val="002339A8"/>
    <w:rsid w:val="00234FC8"/>
    <w:rsid w:val="00235084"/>
    <w:rsid w:val="00244884"/>
    <w:rsid w:val="00250812"/>
    <w:rsid w:val="00251625"/>
    <w:rsid w:val="00254F2F"/>
    <w:rsid w:val="002550D4"/>
    <w:rsid w:val="002553FA"/>
    <w:rsid w:val="00261E76"/>
    <w:rsid w:val="00263F6C"/>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94A4C"/>
    <w:rsid w:val="003A2057"/>
    <w:rsid w:val="003A2322"/>
    <w:rsid w:val="003C420F"/>
    <w:rsid w:val="003C5B56"/>
    <w:rsid w:val="003D089D"/>
    <w:rsid w:val="003D0A0D"/>
    <w:rsid w:val="003D1771"/>
    <w:rsid w:val="003D5D16"/>
    <w:rsid w:val="003D6191"/>
    <w:rsid w:val="003D67F2"/>
    <w:rsid w:val="003D7BBB"/>
    <w:rsid w:val="003E5DEA"/>
    <w:rsid w:val="003E7443"/>
    <w:rsid w:val="003F35EE"/>
    <w:rsid w:val="003F6281"/>
    <w:rsid w:val="003F651B"/>
    <w:rsid w:val="00405028"/>
    <w:rsid w:val="004169A2"/>
    <w:rsid w:val="00416AA1"/>
    <w:rsid w:val="0041710A"/>
    <w:rsid w:val="004233CD"/>
    <w:rsid w:val="00430DD0"/>
    <w:rsid w:val="00433274"/>
    <w:rsid w:val="00434A39"/>
    <w:rsid w:val="00434E51"/>
    <w:rsid w:val="00441212"/>
    <w:rsid w:val="00441CC4"/>
    <w:rsid w:val="00442C6B"/>
    <w:rsid w:val="004437D2"/>
    <w:rsid w:val="00445B7B"/>
    <w:rsid w:val="00456023"/>
    <w:rsid w:val="00460FE1"/>
    <w:rsid w:val="0046300F"/>
    <w:rsid w:val="00466DB7"/>
    <w:rsid w:val="00467D0F"/>
    <w:rsid w:val="00471C62"/>
    <w:rsid w:val="004725BF"/>
    <w:rsid w:val="0047771C"/>
    <w:rsid w:val="0048081E"/>
    <w:rsid w:val="004825D1"/>
    <w:rsid w:val="00487103"/>
    <w:rsid w:val="00487BE4"/>
    <w:rsid w:val="00495AB7"/>
    <w:rsid w:val="00495FA1"/>
    <w:rsid w:val="00496FAA"/>
    <w:rsid w:val="0049713B"/>
    <w:rsid w:val="004A4039"/>
    <w:rsid w:val="004A54F9"/>
    <w:rsid w:val="004B1618"/>
    <w:rsid w:val="004B1EFB"/>
    <w:rsid w:val="004B3754"/>
    <w:rsid w:val="004B56DD"/>
    <w:rsid w:val="004B5789"/>
    <w:rsid w:val="004B6536"/>
    <w:rsid w:val="004B730A"/>
    <w:rsid w:val="004B7507"/>
    <w:rsid w:val="004C7620"/>
    <w:rsid w:val="004D0B61"/>
    <w:rsid w:val="004D1B89"/>
    <w:rsid w:val="004E36D1"/>
    <w:rsid w:val="004E39D6"/>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3FCE"/>
    <w:rsid w:val="00524345"/>
    <w:rsid w:val="005245A8"/>
    <w:rsid w:val="00524F23"/>
    <w:rsid w:val="00533765"/>
    <w:rsid w:val="005427CD"/>
    <w:rsid w:val="005518C5"/>
    <w:rsid w:val="00554239"/>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715"/>
    <w:rsid w:val="00597BCB"/>
    <w:rsid w:val="005B1CC0"/>
    <w:rsid w:val="005B61A1"/>
    <w:rsid w:val="005C038F"/>
    <w:rsid w:val="005C2CD3"/>
    <w:rsid w:val="005C3888"/>
    <w:rsid w:val="005C740E"/>
    <w:rsid w:val="005C7C13"/>
    <w:rsid w:val="005D36A7"/>
    <w:rsid w:val="005D6D21"/>
    <w:rsid w:val="005E4BE4"/>
    <w:rsid w:val="005F0AA7"/>
    <w:rsid w:val="005F35E0"/>
    <w:rsid w:val="005F3D34"/>
    <w:rsid w:val="005F500A"/>
    <w:rsid w:val="005F5B65"/>
    <w:rsid w:val="00600B43"/>
    <w:rsid w:val="00600D7F"/>
    <w:rsid w:val="006010B6"/>
    <w:rsid w:val="006028F5"/>
    <w:rsid w:val="00604E74"/>
    <w:rsid w:val="00605514"/>
    <w:rsid w:val="006060BF"/>
    <w:rsid w:val="00606753"/>
    <w:rsid w:val="00606C0E"/>
    <w:rsid w:val="00613784"/>
    <w:rsid w:val="006206DF"/>
    <w:rsid w:val="006218D4"/>
    <w:rsid w:val="00621C1A"/>
    <w:rsid w:val="00622E68"/>
    <w:rsid w:val="00624174"/>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7A82"/>
    <w:rsid w:val="006623CA"/>
    <w:rsid w:val="006628B5"/>
    <w:rsid w:val="0066408C"/>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A6ADD"/>
    <w:rsid w:val="006A7E87"/>
    <w:rsid w:val="006B0B15"/>
    <w:rsid w:val="006B3051"/>
    <w:rsid w:val="006C0103"/>
    <w:rsid w:val="006C17FF"/>
    <w:rsid w:val="006C39CB"/>
    <w:rsid w:val="006C4DD9"/>
    <w:rsid w:val="006D1871"/>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64CB"/>
    <w:rsid w:val="00730D84"/>
    <w:rsid w:val="00731507"/>
    <w:rsid w:val="00737C74"/>
    <w:rsid w:val="00737EFF"/>
    <w:rsid w:val="00742C75"/>
    <w:rsid w:val="00745302"/>
    <w:rsid w:val="007466D0"/>
    <w:rsid w:val="00746751"/>
    <w:rsid w:val="007523A6"/>
    <w:rsid w:val="00757953"/>
    <w:rsid w:val="007579D2"/>
    <w:rsid w:val="00757E25"/>
    <w:rsid w:val="00761692"/>
    <w:rsid w:val="00764742"/>
    <w:rsid w:val="00764C22"/>
    <w:rsid w:val="007667BE"/>
    <w:rsid w:val="00772C51"/>
    <w:rsid w:val="00772F30"/>
    <w:rsid w:val="00775837"/>
    <w:rsid w:val="00776728"/>
    <w:rsid w:val="00781DBF"/>
    <w:rsid w:val="00783979"/>
    <w:rsid w:val="00793087"/>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7B75"/>
    <w:rsid w:val="0086069F"/>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8D7"/>
    <w:rsid w:val="009039A1"/>
    <w:rsid w:val="009063DE"/>
    <w:rsid w:val="00906EC6"/>
    <w:rsid w:val="0091048F"/>
    <w:rsid w:val="009143A5"/>
    <w:rsid w:val="00922CCC"/>
    <w:rsid w:val="0092301E"/>
    <w:rsid w:val="00925519"/>
    <w:rsid w:val="00937A6B"/>
    <w:rsid w:val="00941E0F"/>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2897"/>
    <w:rsid w:val="009E3A69"/>
    <w:rsid w:val="009E72F7"/>
    <w:rsid w:val="009F0322"/>
    <w:rsid w:val="00A00D67"/>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35EF"/>
    <w:rsid w:val="00AF0792"/>
    <w:rsid w:val="00AF2564"/>
    <w:rsid w:val="00AF395D"/>
    <w:rsid w:val="00AF7C45"/>
    <w:rsid w:val="00B03441"/>
    <w:rsid w:val="00B07C96"/>
    <w:rsid w:val="00B14993"/>
    <w:rsid w:val="00B15588"/>
    <w:rsid w:val="00B20355"/>
    <w:rsid w:val="00B20CB0"/>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491C"/>
    <w:rsid w:val="00B865C9"/>
    <w:rsid w:val="00B974B4"/>
    <w:rsid w:val="00BA0477"/>
    <w:rsid w:val="00BA05E6"/>
    <w:rsid w:val="00BA1575"/>
    <w:rsid w:val="00BA30C8"/>
    <w:rsid w:val="00BA6711"/>
    <w:rsid w:val="00BB4BB5"/>
    <w:rsid w:val="00BB5301"/>
    <w:rsid w:val="00BB657D"/>
    <w:rsid w:val="00BB7C8C"/>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12C6"/>
    <w:rsid w:val="00C664D6"/>
    <w:rsid w:val="00C7019F"/>
    <w:rsid w:val="00C72DDC"/>
    <w:rsid w:val="00C7371C"/>
    <w:rsid w:val="00C83BF2"/>
    <w:rsid w:val="00C90D7D"/>
    <w:rsid w:val="00C91D41"/>
    <w:rsid w:val="00C9310D"/>
    <w:rsid w:val="00C93BF8"/>
    <w:rsid w:val="00C955AD"/>
    <w:rsid w:val="00C96FFD"/>
    <w:rsid w:val="00CA08F5"/>
    <w:rsid w:val="00CB027D"/>
    <w:rsid w:val="00CB0B28"/>
    <w:rsid w:val="00CB318E"/>
    <w:rsid w:val="00CB3F99"/>
    <w:rsid w:val="00CB7579"/>
    <w:rsid w:val="00CC08E3"/>
    <w:rsid w:val="00CC5AE7"/>
    <w:rsid w:val="00CD1AF6"/>
    <w:rsid w:val="00CD3967"/>
    <w:rsid w:val="00CF173A"/>
    <w:rsid w:val="00CF365D"/>
    <w:rsid w:val="00CF4BE4"/>
    <w:rsid w:val="00CF6510"/>
    <w:rsid w:val="00CF6CDC"/>
    <w:rsid w:val="00CF7445"/>
    <w:rsid w:val="00D024FE"/>
    <w:rsid w:val="00D030A3"/>
    <w:rsid w:val="00D042B8"/>
    <w:rsid w:val="00D049E2"/>
    <w:rsid w:val="00D06C79"/>
    <w:rsid w:val="00D07D55"/>
    <w:rsid w:val="00D118CD"/>
    <w:rsid w:val="00D12AA6"/>
    <w:rsid w:val="00D142FC"/>
    <w:rsid w:val="00D15640"/>
    <w:rsid w:val="00D218ED"/>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AB6"/>
    <w:rsid w:val="00D808C9"/>
    <w:rsid w:val="00D82CD3"/>
    <w:rsid w:val="00D83BAE"/>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F5AA9"/>
    <w:rsid w:val="00DF77A0"/>
    <w:rsid w:val="00E022BD"/>
    <w:rsid w:val="00E02EC1"/>
    <w:rsid w:val="00E03494"/>
    <w:rsid w:val="00E04FD8"/>
    <w:rsid w:val="00E055E3"/>
    <w:rsid w:val="00E05BDB"/>
    <w:rsid w:val="00E10267"/>
    <w:rsid w:val="00E12F79"/>
    <w:rsid w:val="00E17E84"/>
    <w:rsid w:val="00E2483C"/>
    <w:rsid w:val="00E25A6E"/>
    <w:rsid w:val="00E2638A"/>
    <w:rsid w:val="00E2717F"/>
    <w:rsid w:val="00E31546"/>
    <w:rsid w:val="00E32E31"/>
    <w:rsid w:val="00E3346D"/>
    <w:rsid w:val="00E339F8"/>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71F08"/>
    <w:rsid w:val="00E72408"/>
    <w:rsid w:val="00E733EC"/>
    <w:rsid w:val="00E74F22"/>
    <w:rsid w:val="00E76D22"/>
    <w:rsid w:val="00E906A6"/>
    <w:rsid w:val="00E927FD"/>
    <w:rsid w:val="00E94DDD"/>
    <w:rsid w:val="00E95F4F"/>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D7630"/>
    <w:rsid w:val="00EE3986"/>
    <w:rsid w:val="00EE6500"/>
    <w:rsid w:val="00EF2BD1"/>
    <w:rsid w:val="00EF36B7"/>
    <w:rsid w:val="00EF3FDB"/>
    <w:rsid w:val="00EF6B3D"/>
    <w:rsid w:val="00EF6C6E"/>
    <w:rsid w:val="00F00607"/>
    <w:rsid w:val="00F04C6C"/>
    <w:rsid w:val="00F130CE"/>
    <w:rsid w:val="00F23109"/>
    <w:rsid w:val="00F262C7"/>
    <w:rsid w:val="00F30253"/>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B0278"/>
    <w:rsid w:val="00FB39D0"/>
    <w:rsid w:val="00FB4966"/>
    <w:rsid w:val="00FB4CB6"/>
    <w:rsid w:val="00FB4DE0"/>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E433D8F"/>
    <w:rsid w:val="1C5D665B"/>
    <w:rsid w:val="1CBD53FA"/>
    <w:rsid w:val="1FDE283D"/>
    <w:rsid w:val="23C8760C"/>
    <w:rsid w:val="2DFFACD4"/>
    <w:rsid w:val="2E6B73DF"/>
    <w:rsid w:val="2FE5083E"/>
    <w:rsid w:val="39B22528"/>
    <w:rsid w:val="3D9787ED"/>
    <w:rsid w:val="3EA30D63"/>
    <w:rsid w:val="3EFE5DB0"/>
    <w:rsid w:val="3FF49A49"/>
    <w:rsid w:val="3FF77CA5"/>
    <w:rsid w:val="3FFB46EC"/>
    <w:rsid w:val="3FFF8DDB"/>
    <w:rsid w:val="3FFFA9F3"/>
    <w:rsid w:val="438B1486"/>
    <w:rsid w:val="44FECC3D"/>
    <w:rsid w:val="451C1DA9"/>
    <w:rsid w:val="48FFD267"/>
    <w:rsid w:val="4AAF17C9"/>
    <w:rsid w:val="4CB55BC5"/>
    <w:rsid w:val="4D75CE6C"/>
    <w:rsid w:val="4EF7B269"/>
    <w:rsid w:val="4F7A8BDA"/>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B9D6E"/>
  <w15:docId w15:val="{96008857-25C0-4235-8712-000FC974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semiHidden/>
    <w:unhideWhenUsed/>
    <w:pPr>
      <w:ind w:leftChars="600" w:left="1260"/>
    </w:pPr>
  </w:style>
  <w:style w:type="paragraph" w:styleId="20">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rPr>
      <w:rFonts w:ascii="Times New Roman" w:hAnsi="Times New Roman" w:cs="宋体"/>
      <w:color w:val="000000"/>
      <w:sz w:val="21"/>
      <w:szCs w:val="24"/>
    </w:rPr>
  </w:style>
  <w:style w:type="character" w:customStyle="1" w:styleId="af4">
    <w:name w:val="列出段落 字符"/>
    <w:link w:val="af3"/>
    <w:uiPriority w:val="34"/>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rPr>
      <w:rFonts w:ascii="Times New Roman" w:hAnsi="Times New Roman"/>
      <w:b/>
      <w:bCs/>
      <w:kern w:val="2"/>
      <w:sz w:val="21"/>
      <w:szCs w:val="24"/>
    </w:rPr>
  </w:style>
  <w:style w:type="paragraph" w:customStyle="1" w:styleId="21">
    <w:name w:val="样式2"/>
    <w:basedOn w:val="a"/>
    <w:link w:val="22"/>
    <w:qFormat/>
    <w:pPr>
      <w:spacing w:line="460" w:lineRule="exact"/>
      <w:ind w:firstLineChars="200" w:firstLine="200"/>
      <w:outlineLvl w:val="1"/>
    </w:pPr>
    <w:rPr>
      <w:b/>
      <w:sz w:val="24"/>
    </w:rPr>
  </w:style>
  <w:style w:type="character" w:customStyle="1" w:styleId="22">
    <w:name w:val="样式2 字符"/>
    <w:link w:val="21"/>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8121">
      <w:bodyDiv w:val="1"/>
      <w:marLeft w:val="0"/>
      <w:marRight w:val="0"/>
      <w:marTop w:val="0"/>
      <w:marBottom w:val="0"/>
      <w:divBdr>
        <w:top w:val="none" w:sz="0" w:space="0" w:color="auto"/>
        <w:left w:val="none" w:sz="0" w:space="0" w:color="auto"/>
        <w:bottom w:val="none" w:sz="0" w:space="0" w:color="auto"/>
        <w:right w:val="none" w:sz="0" w:space="0" w:color="auto"/>
      </w:divBdr>
      <w:divsChild>
        <w:div w:id="797408286">
          <w:marLeft w:val="0"/>
          <w:marRight w:val="0"/>
          <w:marTop w:val="0"/>
          <w:marBottom w:val="0"/>
          <w:divBdr>
            <w:top w:val="none" w:sz="0" w:space="0" w:color="auto"/>
            <w:left w:val="none" w:sz="0" w:space="0" w:color="auto"/>
            <w:bottom w:val="none" w:sz="0" w:space="0" w:color="auto"/>
            <w:right w:val="none" w:sz="0" w:space="0" w:color="auto"/>
          </w:divBdr>
        </w:div>
      </w:divsChild>
    </w:div>
    <w:div w:id="1848983948">
      <w:bodyDiv w:val="1"/>
      <w:marLeft w:val="0"/>
      <w:marRight w:val="0"/>
      <w:marTop w:val="0"/>
      <w:marBottom w:val="0"/>
      <w:divBdr>
        <w:top w:val="none" w:sz="0" w:space="0" w:color="auto"/>
        <w:left w:val="none" w:sz="0" w:space="0" w:color="auto"/>
        <w:bottom w:val="none" w:sz="0" w:space="0" w:color="auto"/>
        <w:right w:val="none" w:sz="0" w:space="0" w:color="auto"/>
      </w:divBdr>
      <w:divsChild>
        <w:div w:id="1916864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C10CE63-476F-4BBF-B535-9DB065C6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760</Words>
  <Characters>4332</Characters>
  <Application>Microsoft Office Word</Application>
  <DocSecurity>0</DocSecurity>
  <Lines>36</Lines>
  <Paragraphs>10</Paragraphs>
  <ScaleCrop>false</ScaleCrop>
  <Company>微软中国</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Administrator</cp:lastModifiedBy>
  <cp:revision>10</cp:revision>
  <dcterms:created xsi:type="dcterms:W3CDTF">2024-05-26T01:26:00Z</dcterms:created>
  <dcterms:modified xsi:type="dcterms:W3CDTF">2024-08-26T10:44:00Z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