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9601" w14:textId="77777777" w:rsidR="00176858" w:rsidRPr="003A7099" w:rsidRDefault="00176858" w:rsidP="00176858">
      <w:pPr>
        <w:spacing w:beforeLines="50" w:before="156" w:afterLines="50" w:after="156" w:line="400" w:lineRule="exact"/>
        <w:rPr>
          <w:rFonts w:ascii="Times New Roman" w:hAnsi="Times New Roman" w:cs="Times New Roman"/>
          <w:bCs/>
          <w:iCs/>
          <w:color w:val="000000"/>
          <w:sz w:val="28"/>
        </w:rPr>
      </w:pP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>证券代码：艾力斯</w:t>
      </w: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 xml:space="preserve">                           </w:t>
      </w: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>证券简称：</w:t>
      </w: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>688578</w:t>
      </w:r>
    </w:p>
    <w:p w14:paraId="0C0689FE" w14:textId="77777777" w:rsidR="00176858" w:rsidRPr="003A7099" w:rsidRDefault="00176858" w:rsidP="00176858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bookmarkStart w:id="0" w:name="_GoBack"/>
      <w:bookmarkEnd w:id="0"/>
      <w:r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上海艾力斯医药科技股份有限公司投资者关系活动记录表</w:t>
      </w:r>
    </w:p>
    <w:p w14:paraId="37440A17" w14:textId="7DDE58CE" w:rsidR="00C73569" w:rsidRPr="003A7099" w:rsidRDefault="004F7D1A" w:rsidP="00176858">
      <w:pPr>
        <w:spacing w:beforeLines="50" w:before="156" w:afterLines="50" w:after="156"/>
        <w:jc w:val="center"/>
        <w:rPr>
          <w:rFonts w:ascii="Times New Roman" w:hAnsi="Times New Roman" w:cs="Times New Roman"/>
          <w:bCs/>
          <w:iCs/>
          <w:color w:val="000000"/>
          <w:sz w:val="24"/>
        </w:rPr>
      </w:pPr>
      <w:r w:rsidRPr="004F7D1A"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（</w:t>
      </w:r>
      <w:r w:rsidRPr="004F7D1A"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2024</w:t>
      </w:r>
      <w:r w:rsidRPr="004F7D1A"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年</w:t>
      </w:r>
      <w:r w:rsidRPr="004F7D1A"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8</w:t>
      </w:r>
      <w:r w:rsidRPr="004F7D1A"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月）</w:t>
      </w:r>
      <w:r w:rsidR="00176858" w:rsidRPr="004F7D1A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  </w:t>
      </w:r>
      <w:r w:rsidR="00176858" w:rsidRPr="003A7099">
        <w:rPr>
          <w:rFonts w:ascii="Times New Roman" w:hAnsi="Times New Roman" w:cs="Times New Roman"/>
          <w:bCs/>
          <w:iCs/>
          <w:color w:val="000000"/>
          <w:sz w:val="24"/>
        </w:rPr>
        <w:t xml:space="preserve"> </w:t>
      </w:r>
      <w:r w:rsidR="00C73569" w:rsidRPr="003A7099"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6357"/>
      </w:tblGrid>
      <w:tr w:rsidR="00C73569" w:rsidRPr="003A7099" w14:paraId="337ADBA4" w14:textId="77777777" w:rsidTr="00DD535E">
        <w:trPr>
          <w:trHeight w:val="248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E1C2" w14:textId="77777777" w:rsidR="00C73569" w:rsidRPr="003A7099" w:rsidRDefault="00C73569" w:rsidP="0017685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6F389B4D" w14:textId="77777777" w:rsidR="00C73569" w:rsidRPr="003A7099" w:rsidRDefault="00C73569" w:rsidP="0017685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D248" w14:textId="77777777" w:rsidR="00C73569" w:rsidRPr="003A7099" w:rsidRDefault="00C73569" w:rsidP="00E30400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5951F0FE" w14:textId="77777777" w:rsidR="00C73569" w:rsidRPr="003A7099" w:rsidRDefault="00C73569" w:rsidP="00E30400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B4F91"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37971C23" w14:textId="77777777" w:rsidR="00C73569" w:rsidRPr="003A7099" w:rsidRDefault="00C73569" w:rsidP="00E30400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3B1F38B7" w14:textId="77777777" w:rsidR="00C73569" w:rsidRPr="003A7099" w:rsidRDefault="00C73569" w:rsidP="00E304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14:paraId="37CFA1B1" w14:textId="7679B42F" w:rsidR="00C73569" w:rsidRPr="003A7099" w:rsidRDefault="00A160CB" w:rsidP="00E30400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0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投资者</w:t>
            </w:r>
            <w:r w:rsidR="00123A5C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电话</w:t>
            </w:r>
            <w:r w:rsidRPr="003A70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交流会</w:t>
            </w:r>
          </w:p>
        </w:tc>
      </w:tr>
      <w:tr w:rsidR="001C49A5" w:rsidRPr="003A7099" w14:paraId="288B81B6" w14:textId="77777777" w:rsidTr="000C76F3">
        <w:trPr>
          <w:trHeight w:val="41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0257" w14:textId="77777777" w:rsidR="001C49A5" w:rsidRPr="003A7099" w:rsidRDefault="001C49A5" w:rsidP="001C49A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293" w14:textId="77777777" w:rsidR="001C49A5" w:rsidRPr="001E237E" w:rsidRDefault="001C49A5" w:rsidP="001C49A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E237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2024</w:t>
            </w:r>
            <w:r w:rsidRPr="001E237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年</w:t>
            </w:r>
            <w:r w:rsidRPr="001E237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</w:t>
            </w:r>
            <w:r w:rsidRPr="001E237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月</w:t>
            </w:r>
            <w:r w:rsidRPr="001E237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21</w:t>
            </w:r>
            <w:r w:rsidRPr="001E237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日</w:t>
            </w:r>
            <w:r w:rsidRPr="001E237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15:00-16:00 </w:t>
            </w:r>
          </w:p>
          <w:p w14:paraId="2AA4668F" w14:textId="534C5B80" w:rsidR="001C49A5" w:rsidRPr="001E237E" w:rsidRDefault="001C49A5" w:rsidP="001C49A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E237E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线上</w:t>
            </w:r>
            <w:r w:rsidRPr="001E237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参会投资者</w:t>
            </w:r>
            <w:r w:rsidR="00DF6EDA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：</w:t>
            </w:r>
          </w:p>
          <w:p w14:paraId="070D6940" w14:textId="495EBEED" w:rsidR="001C49A5" w:rsidRPr="003A7099" w:rsidRDefault="001C49A5" w:rsidP="001C49A5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3W 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一位；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AIHC </w:t>
            </w:r>
            <w:r w:rsidR="005252E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两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位；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Anatole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一位；</w:t>
            </w:r>
            <w:proofErr w:type="spellStart"/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Ariose</w:t>
            </w:r>
            <w:proofErr w:type="spellEnd"/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Capital 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一位；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KIM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韩国投信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一位；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LMR 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一位；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Pinpoint 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一位；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Point72 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一位；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SCHP 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一位；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Superstring Capital 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一位；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Temasek Fullerton Alpha Pte Ltd 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一位；安和投资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一位；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安信基金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一位；安中投资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一位；奥博医疗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一位；奥博资本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一位；柏骏资本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一位；宝盈基金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一位；保银投资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一位；彼得明奇基金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一位；博道基金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一位；博鸿投资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一位；博普资产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一位；博时基金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一位；博衍基金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一位；博裕资本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一位；渤海人寿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一位；财达证券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一位；财通基金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一位；财通证券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三位；财通资管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一位；呈瑞投资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一位；崇山投资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一位；创金合信基金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一位；丹羿投资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两位；淡水泉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两位；德邦基金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一位；东北证券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三位；东方财富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一位；东方证券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一位；东方资管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两位；东海基金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两位；东海证券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一位；东吴基金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两位；东吴证券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四位</w:t>
            </w:r>
            <w:r w:rsidR="00815E3A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东吴资管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一位；敦和资管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一位；峰境基金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一位；蜂巢基金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一位；富达基金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QFII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一位；高盛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三位；格林基金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一位；工银瑞信基金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一位；共青城宇嬴私募基金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一位；古曲基金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一位；固禾资产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一位；光大保德信基金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两位；广发基金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一位；广发证券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广高科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一位；国华兴益资产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两位；国金医药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一位；国君证券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一位；国联基金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两位；国任财产保险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一位；国泰基金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三位；国泰君安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一位；国投证券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一位；国新证券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一位；海富通基金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一位；海南涌瑞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一位；海通证券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一位；行健资产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一位；合众易晟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一位；河清资本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一位；鹤禧投资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一位；黑极资产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一位；恒生前海基金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一位；红筹投资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一位；红马投资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一位；红土创新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一位；红周刊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两位；宏利资管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两位；泓澄投资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两位；华安证券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一位；华创证券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一位；华福证券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一位；华金证券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一位；华能贵诚信托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一位；华西证券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三位；华夏基金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一位；华夏未来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一位；华鑫证券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一位；汇丰晋信基金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两位；汇丰资管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(HK)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一位；汇升投资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一位；混沌投资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一位；火星资管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一位；季胜投资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两位；嘉实基金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三位；金百镕投资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一位；金鹰基金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一位；金舆资产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景泰利丰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一位；玖鹏资产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一位；君阳私募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一位；开思私募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3A">
              <w:rPr>
                <w:rFonts w:ascii="Times New Roman" w:hAnsi="Times New Roman" w:cs="Times New Roman" w:hint="eastAsia"/>
                <w:sz w:val="24"/>
                <w:szCs w:val="24"/>
              </w:rPr>
              <w:t>两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位；开源证券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一位；凯思博投资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一位；礼来投资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一位；盟洋投资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一位；幂方资本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一位；民生证券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一位；名禹资产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一位；明汯投资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一位；摩根基金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三位；南土资管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一位；诺安基金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一位；诺鼎资产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一位；盘京投资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</w:t>
            </w:r>
            <w:r w:rsidR="00815E3A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鹏华基金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一位；鹏扬基金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一位；平安基金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一位；平安养老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一位；平安资管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两位；普华永道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一位；齐熙资产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一位；启明维创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一位；千宜投资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一位；勤远投资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一位；青榕资产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一位；人保资产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一位；融创智富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一位；瑞华投资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一位；瑞银资管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RQFII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三位；睿策投资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一位；上海珍恒商贸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一位；上海证券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一位；尚诚资产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一位；慎知资产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一位；世诚投资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三位；庶达资产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一位；双赢资本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一位；思晔投资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一位；四川龙蟒集团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一位；太保资产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一位；太平资产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一位；泰康基金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一位；泰霖投资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一位；陶朱资本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一位；天虫资本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一位；天风证券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一位；天弘基金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两位；天厚基金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一位；天治基金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两位；彤源投资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一位；途灵资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一位；顽岩资产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一位；万海资本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一位；万家基金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一位；万葵资产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一位；西部利得基金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EDA">
              <w:rPr>
                <w:rFonts w:ascii="Times New Roman" w:hAnsi="Times New Roman" w:cs="Times New Roman" w:hint="eastAsia"/>
                <w:sz w:val="24"/>
                <w:szCs w:val="24"/>
              </w:rPr>
              <w:t>两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位；西证投资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一位；禧弘投资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一位；相聚资本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一位；新伯霖私募基金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一位；信达澳亚基金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一位；兴合基金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一位；兴全基金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一位；兴业基金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一位；兴业证券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一位；兴银理财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一位；雪石资产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一位；循远资产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一位；阳光资产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一位；益和源资产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一位；逸原达投资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一位；翼虎投资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两位；银河证券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一位；英大基金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一位；永赢基金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两位；永域资产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一位；甬兴证券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两位；涌容资产香港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一位；誉辉资本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一位；原点资产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一位；远桥私募基金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一位；远惟投资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一位；泽源基金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一位；泽源资产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一位；长安基金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一位；长城财富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两位；长城国瑞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两位；长城证券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一位；长江养老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一位；长盛基金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两位；长信基金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三位；招商基金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一位；肇万资产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一位；浙商医药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一位；浙商证券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一位；浙商资管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一位；正德泰投资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一位；知合基金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一位；中安汇富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一位；中庚基金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一位；中国人寿养老保险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一位；中航基金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一位；中加基金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一位；中科沃土基金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一位；中泰证券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一位；中信保诚基金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一位；中信股衍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两位；中信建投（国际）金融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一位；中信建投证券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两位；中信里昂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三位；中信证金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一位；中信证券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三位</w:t>
            </w:r>
            <w:r w:rsidR="000864F0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中信资管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一位；中银国际证券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一位；中银资管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一位；中邮创业基金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一位；中邮人寿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一位；中原资管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一位；其他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7E">
              <w:rPr>
                <w:rFonts w:ascii="Times New Roman" w:hAnsi="Times New Roman" w:cs="Times New Roman"/>
                <w:sz w:val="24"/>
                <w:szCs w:val="24"/>
              </w:rPr>
              <w:t>十二位。</w:t>
            </w:r>
          </w:p>
        </w:tc>
      </w:tr>
      <w:tr w:rsidR="001C49A5" w:rsidRPr="003A7099" w14:paraId="7608EAE5" w14:textId="77777777" w:rsidTr="00DD535E">
        <w:trPr>
          <w:trHeight w:val="611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E535" w14:textId="77777777" w:rsidR="001C49A5" w:rsidRPr="003A7099" w:rsidRDefault="001C49A5" w:rsidP="001C49A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DAB" w14:textId="232FD5EC" w:rsidR="001C49A5" w:rsidRPr="003A7099" w:rsidRDefault="001C49A5" w:rsidP="001C49A5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日（周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三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15:00-16:00</w:t>
            </w:r>
          </w:p>
        </w:tc>
      </w:tr>
      <w:tr w:rsidR="001C49A5" w:rsidRPr="003A7099" w14:paraId="1351165A" w14:textId="77777777" w:rsidTr="00B307BD">
        <w:trPr>
          <w:trHeight w:val="605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441C" w14:textId="77777777" w:rsidR="001C49A5" w:rsidRPr="003A7099" w:rsidRDefault="001C49A5" w:rsidP="001C49A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B5D2" w14:textId="0D443DE1" w:rsidR="001C49A5" w:rsidRPr="003A7099" w:rsidRDefault="001C49A5" w:rsidP="001C49A5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1C49A5" w:rsidRPr="003A7099" w14:paraId="6BB8DBF6" w14:textId="77777777" w:rsidTr="003F7E5E">
        <w:trPr>
          <w:trHeight w:val="74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451A" w14:textId="77777777" w:rsidR="001C49A5" w:rsidRPr="003A7099" w:rsidRDefault="001C49A5" w:rsidP="001C49A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B815" w14:textId="68AA7AB2" w:rsidR="001C49A5" w:rsidRPr="003A7099" w:rsidRDefault="001C49A5" w:rsidP="001C49A5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胡捷、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黄晨、王林、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李硕</w:t>
            </w:r>
          </w:p>
        </w:tc>
      </w:tr>
      <w:tr w:rsidR="001C49A5" w:rsidRPr="003A7099" w14:paraId="727D761F" w14:textId="77777777" w:rsidTr="00143F43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082" w14:textId="77777777" w:rsidR="001C49A5" w:rsidRPr="003A7099" w:rsidRDefault="001C49A5" w:rsidP="001C49A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541223AE" w14:textId="77777777" w:rsidR="001C49A5" w:rsidRPr="003A7099" w:rsidRDefault="001C49A5" w:rsidP="001C49A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FCC" w14:textId="4075FD80" w:rsidR="001C49A5" w:rsidRPr="0034674A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2024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半年度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主要业绩情况：</w:t>
            </w:r>
          </w:p>
          <w:p w14:paraId="6A833BA9" w14:textId="3F465EE9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上半年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，公司实现营业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总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收入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15.76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亿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元，同比增长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110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57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%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，主要为报告期内</w:t>
            </w:r>
            <w:proofErr w:type="gramStart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伏美替尼实现</w:t>
            </w:r>
            <w:proofErr w:type="gramEnd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产品销售收入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15.55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亿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F4220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销售团队及渠道的逐步完善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促进销量持续增长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。报告期内公司实现归属于母公司所有者的净利润为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6.56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亿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元，同比增长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214.82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%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；实现归属于母公司所有者的扣除非经常性损益的净利润为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6.47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亿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元，同比增长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251.49%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公司上半年经营效率进一步提高，销售费用、管理费用和研发费用分别为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6.22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亿元、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874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万元及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1.31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亿元。公司资产状况稳健，公司上半年末的净资产和总资产分别为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45.12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亿元及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49.54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亿元，较上半年度末增长约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13%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048F37D9" w14:textId="7B55E0BB" w:rsidR="001C49A5" w:rsidRPr="0034674A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年上半年，公司主要完成以下工作：</w:t>
            </w:r>
          </w:p>
          <w:p w14:paraId="54969B78" w14:textId="58561423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研发管线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方面，公司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持续开发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的临床优势，不断扩大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尼的临床适用范围。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月，</w:t>
            </w:r>
            <w:proofErr w:type="gramStart"/>
            <w:r w:rsidRPr="0045344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Pr="0045344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一线治疗</w:t>
            </w:r>
            <w:r w:rsidRPr="0045344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EGFR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5344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Pr="0045344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外显子插入突变晚期</w:t>
            </w:r>
            <w:r w:rsidRPr="0045344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NSCLC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被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DE</w:t>
            </w:r>
            <w:r w:rsidRPr="0045344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纳入突破性治疗品种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月，</w:t>
            </w:r>
            <w:proofErr w:type="gramStart"/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伏美替尼用于</w:t>
            </w:r>
            <w:proofErr w:type="gramEnd"/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治疗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EGFR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敏感突变阳性的非鳞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NSCLC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伴脑转移患者的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III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期临床试验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IND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获得批准。</w:t>
            </w:r>
            <w:r w:rsidRPr="00BB78E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此外，</w:t>
            </w:r>
            <w:proofErr w:type="gramStart"/>
            <w:r w:rsidRPr="00BB78E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Pr="00BB78E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术后辅助治疗适应症</w:t>
            </w:r>
            <w:r w:rsidRPr="00BB78E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III </w:t>
            </w:r>
            <w:r w:rsidRPr="00BB78E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注册临床研究进展顺利，已于上半年完成患者入组。</w:t>
            </w:r>
          </w:p>
          <w:p w14:paraId="77B221D2" w14:textId="74AD1800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与此同时，</w:t>
            </w:r>
            <w:r w:rsidRPr="00BB78E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公司持续深化与</w:t>
            </w:r>
            <w:proofErr w:type="spellStart"/>
            <w:r w:rsidRPr="00BB78E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ArriVent</w:t>
            </w:r>
            <w:proofErr w:type="spellEnd"/>
            <w:r w:rsidRPr="00BB78E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的合作，加速推进</w:t>
            </w:r>
            <w:proofErr w:type="gramStart"/>
            <w:r w:rsidRPr="00BB78E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Pr="00BB78E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全球化临床研发。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由公司与</w:t>
            </w:r>
            <w:proofErr w:type="spell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rriVent</w:t>
            </w:r>
            <w:proofErr w:type="spell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联合发起的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FURTHER 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研究的期中分析数据将于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今年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月在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WCLC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（世界肺癌大会）上以主席研讨会（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Presidential Symposium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）的形式公布，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FURTHER 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研究是一项国际多中心随机研究，旨在评估</w:t>
            </w:r>
            <w:proofErr w:type="gramStart"/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两个剂量组对未经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TKI 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治疗的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EGFR PACC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突变晚期或转移性非小细胞肺癌（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NSCLC</w:t>
            </w:r>
            <w:r w:rsidRPr="00515A5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）患者的疗效和安全性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7A78D9B2" w14:textId="794F7115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除核心产品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伏美替尼外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，在早期产品研发管线方面，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2024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月，公司自主研发的具有全球知识产权的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 G12D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选择性抑制剂——注射用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AST2169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脂质体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I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期临床研究获得药物临床试验批准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目前全球范围内尚无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KRAS 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 xml:space="preserve">G12D 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抑制剂获批上市。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同时，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公司已递交新一代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EGFR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口服小分子抑制剂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AST2303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ABK3376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）的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IND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申请，该产品为公司从上海和</w:t>
            </w:r>
            <w:proofErr w:type="gramStart"/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誉生物</w:t>
            </w:r>
            <w:proofErr w:type="gramEnd"/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医药科技有限公司引进的口服小分子抑制剂，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主要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用于携带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EGFR C797S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突变的晚期非小细胞肺癌成人患者的治疗。</w:t>
            </w:r>
          </w:p>
          <w:p w14:paraId="5C27CE65" w14:textId="77777777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在人才建设方面，公司高度重视人才队伍的建设和培养，积极引进具有突出能力的人才。在销售团队方面，人数由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年初的约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900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人扩充到了目前约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950</w:t>
            </w:r>
            <w:r w:rsidRPr="001D646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都具有肿瘤</w:t>
            </w:r>
            <w:proofErr w:type="gramStart"/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靶向药和</w:t>
            </w:r>
            <w:proofErr w:type="gramEnd"/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创新</w:t>
            </w:r>
            <w:proofErr w:type="gramStart"/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药领</w:t>
            </w:r>
            <w:proofErr w:type="gramEnd"/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域的专业知识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及丰富的产品营销经验。在研发人才方面，公司</w:t>
            </w:r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引进了具有深厚从业经验的大分子研发团队，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不断完善公司</w:t>
            </w:r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研发团队技术知识结构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，促进新药研发工作高效开展</w:t>
            </w:r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71FB334D" w14:textId="6E45C50B" w:rsidR="001C49A5" w:rsidRPr="001D6462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在生产建设方面，</w:t>
            </w:r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公司加速推进建设新增年产</w:t>
            </w:r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1.5</w:t>
            </w:r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亿片甲磺酸</w:t>
            </w:r>
            <w:proofErr w:type="gramStart"/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伏美替尼片</w:t>
            </w:r>
            <w:proofErr w:type="gramEnd"/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固体制剂生产线项目，为</w:t>
            </w:r>
            <w:proofErr w:type="gramStart"/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</w:t>
            </w:r>
            <w:proofErr w:type="gramEnd"/>
            <w:r w:rsidRPr="0095568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尼的销售及商业化建设提供坚实保障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5D405316" w14:textId="77777777" w:rsidR="001C49A5" w:rsidRPr="0034674A" w:rsidRDefault="001C49A5" w:rsidP="001C49A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2E801B78" w14:textId="1FE5EA82" w:rsidR="001C49A5" w:rsidRPr="0034674A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问题</w:t>
            </w:r>
            <w:proofErr w:type="gramStart"/>
            <w:r w:rsidRPr="003467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一</w:t>
            </w:r>
            <w:proofErr w:type="gramEnd"/>
            <w:r w:rsidRPr="003467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：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后续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产品引进方面的思路和策略？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CA2E8CB" w14:textId="72A99FE1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团队积极贯彻公司整体的发展战略，</w:t>
            </w:r>
            <w:r w:rsidRPr="0071736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始终坚持以患者为中心，以创新为战略基石，以满足全球医药市场未被满足的临床需求为导向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，在为公司创造利润、为投资者创造价值的同时，不断为患者带来更多更好的治疗方案，从而提升患者的健康水平和生活质量。</w:t>
            </w:r>
          </w:p>
          <w:p w14:paraId="2B534B9D" w14:textId="4B5C2531" w:rsidR="001C49A5" w:rsidRPr="0034674A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团队在开展业务时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秉承着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积极、冷静、审慎、严谨的态度，多年的经营使得团队对制药行业的形势、自身优势、合作方的需求及合作价值都有了非常深入的了解。基于公司的资源优势，目前公司重点关注的领域仍然是肺癌靶向产品，同时也积极拓展其他的肿瘤治疗领域。</w:t>
            </w:r>
          </w:p>
          <w:p w14:paraId="0D867B65" w14:textId="71B610DA" w:rsidR="001C49A5" w:rsidRPr="00717368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F2163CC" w14:textId="656BA91C" w:rsidR="001C49A5" w:rsidRPr="0034674A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问题二：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如何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看待第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三代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GFR-TKI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的竞争格局？未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来公司将如何维持增量？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276B645C" w14:textId="087498B9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目</w:t>
            </w:r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前国内三代</w:t>
            </w:r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EGFR-TKI</w:t>
            </w:r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已达到超百亿的市场规模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。基于明显的疗效优势，三代产品正逐步替代</w:t>
            </w:r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一、二代</w:t>
            </w:r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EGFR-TKI </w:t>
            </w:r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在一线治疗领域的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市场份额。同时</w:t>
            </w:r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随着三代药物的一线治疗适应症被纳入国家</w:t>
            </w:r>
            <w:proofErr w:type="gramStart"/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医</w:t>
            </w:r>
            <w:proofErr w:type="gramEnd"/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保目录报销范围，大幅提高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了</w:t>
            </w:r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患者对三代药物的可及性，三代药物逐渐成为一线治疗标准疗法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，第三代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GFR-TKI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市场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容量预期</w:t>
            </w:r>
            <w:r w:rsidRPr="00AA40A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未来仍将继续保持向上增长趋势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21E56244" w14:textId="00D8BD2F" w:rsidR="001E7D58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是公司自主研发的第三代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EGFR-TKI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，相较于其他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EGFR-TKI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，具有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“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脑转强效、疗效优异、安全性佳、治疗窗宽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”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的差异化竞争优势。针对已获批的一线治疗、二线治疗，</w:t>
            </w:r>
            <w:proofErr w:type="gramStart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在主要终点方面均表现优异，其中，</w:t>
            </w:r>
            <w:proofErr w:type="gramStart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伏美替</w:t>
            </w:r>
            <w:proofErr w:type="gramEnd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尼一线治疗晚期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NSCLC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的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PFS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（无进展生存期）达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20.8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个月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二线治疗晚期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NSCLC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的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ORR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（客观缓解率）达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74%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；针对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EGFR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突变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NSCLC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高发的脑转移病灶，</w:t>
            </w:r>
            <w:proofErr w:type="gramStart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双倍剂量组（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160mg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）的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CNS ORR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达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84.6%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、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CNS DCR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达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、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CNS PFS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达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19.3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个月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372D7500" w14:textId="65A673FC" w:rsidR="001C49A5" w:rsidRPr="00BF2FA6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针对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EGFR 20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外显子插入突变，</w:t>
            </w:r>
            <w:proofErr w:type="gramStart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240mg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一线治疗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EGFR Ex20ins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突变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NSCLC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，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ORR 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达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78.6%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，</w:t>
            </w:r>
            <w:proofErr w:type="spellStart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mDOR</w:t>
            </w:r>
            <w:proofErr w:type="spellEnd"/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达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15.2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个月，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DCR 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达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100%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，在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倍常规剂量既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240mg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每天的用药剂量下，</w:t>
            </w:r>
            <w:proofErr w:type="gramStart"/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</w:t>
            </w:r>
            <w:proofErr w:type="gramEnd"/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尼仍然展现出了良好的安全性，这也说明了</w:t>
            </w:r>
            <w:proofErr w:type="gramStart"/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</w:t>
            </w:r>
            <w:proofErr w:type="gramEnd"/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尼的安全性出众。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针对</w:t>
            </w:r>
            <w:proofErr w:type="gramEnd"/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外显子插入突变、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PACC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突变展现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出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了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良好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的治疗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潜力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，这也是其他三代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E</w:t>
            </w:r>
            <w:r w:rsidR="001E7D5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GFR-TKI</w:t>
            </w:r>
            <w:r w:rsidR="001E7D5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所不具备的优势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7025D82" w14:textId="374A625D" w:rsidR="001C49A5" w:rsidRPr="00BF2FA6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目前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伏美替尼针对</w:t>
            </w:r>
            <w:proofErr w:type="gramEnd"/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辅助治疗、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外显子插入突变一线治疗、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 PACC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的研究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目前均处于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III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期临床试验阶段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，同时，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伴脑转移成人患者的一线治疗的已获得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III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期临床试验批准。随着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相关适应症在未来陆续获批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proofErr w:type="gramStart"/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的市场空间会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进一步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扩大，</w:t>
            </w:r>
            <w:r w:rsidRPr="00BF2FA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也为以后的销售提供了新的业绩</w:t>
            </w:r>
            <w:r w:rsidRPr="00BF2FA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增长点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。未来，公司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将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持续拓展</w:t>
            </w:r>
            <w:proofErr w:type="gramStart"/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</w:t>
            </w:r>
            <w:proofErr w:type="gramEnd"/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的适用范围，进一步提升公司在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EGFR</w:t>
            </w:r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靶</w:t>
            </w:r>
            <w:proofErr w:type="gramStart"/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向治</w:t>
            </w:r>
            <w:proofErr w:type="gramEnd"/>
            <w:r w:rsidRPr="00BF2FA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疗方面的竞争优势。</w:t>
            </w:r>
          </w:p>
          <w:p w14:paraId="2AC62552" w14:textId="2DF8F851" w:rsidR="001C49A5" w:rsidRPr="0034674A" w:rsidRDefault="001C49A5" w:rsidP="001C49A5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3F775D97" w14:textId="1DCE92A4" w:rsidR="001C49A5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问题三：公司上半年经营业绩亮眼，请问业绩增量的主要驱动或方向是什么？</w:t>
            </w:r>
          </w:p>
          <w:p w14:paraId="093CB505" w14:textId="24A92462" w:rsidR="001C49A5" w:rsidRPr="00823E2C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Pr="00823E2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除了前面已经介绍到的三代药物的市场空间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广阔</w:t>
            </w:r>
            <w:r w:rsidRPr="00823E2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和</w:t>
            </w:r>
            <w:proofErr w:type="gramStart"/>
            <w:r w:rsidRPr="00823E2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药物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本身的差异化优势外，公司销售业绩的增长也源于医院和科室的扩容。今年，公司进一步扩充营销团队，</w:t>
            </w:r>
            <w:r w:rsidRPr="004016C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团队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人员由今</w:t>
            </w:r>
            <w:r w:rsidRPr="004016C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年年初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约</w:t>
            </w:r>
            <w:r w:rsidRPr="004016C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900</w:t>
            </w:r>
            <w:r w:rsidRPr="004016C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人的基础上增加到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目前约</w:t>
            </w:r>
            <w:r w:rsidRPr="004016C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950</w:t>
            </w:r>
            <w:r w:rsidRPr="004016C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。同时，</w:t>
            </w:r>
            <w:r w:rsidRPr="004016C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公司覆盖的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市场范围也进一步扩大，目前公司已覆盖</w:t>
            </w:r>
            <w:r w:rsidRPr="004016C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超过</w:t>
            </w:r>
            <w:r w:rsidRPr="004016C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5C340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8</w:t>
            </w:r>
            <w:r w:rsidRPr="004016C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00</w:t>
            </w:r>
            <w:r w:rsidRPr="004016C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目标医院。</w:t>
            </w:r>
          </w:p>
          <w:p w14:paraId="67293F96" w14:textId="77777777" w:rsidR="001C49A5" w:rsidRPr="00823E2C" w:rsidRDefault="001C49A5" w:rsidP="001C49A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15EA3ECC" w14:textId="2AD76A9F" w:rsidR="001C49A5" w:rsidRPr="0034674A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问题四：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公司利润增长表现优异，请问如何预期未来的利润增速？</w:t>
            </w:r>
          </w:p>
          <w:p w14:paraId="52D6D2A4" w14:textId="3DBC783E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从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年第一季度起，公司每个季度整体营收都呈稳定增长趋势，目前已连续增长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个季度。同时，公司净利润与营业收入保持同步增长，甚至呈现更快的增速。公司相信在未来几年净利润会持续保持稳健增长的态势。</w:t>
            </w:r>
          </w:p>
          <w:p w14:paraId="6C2C9434" w14:textId="04E08F46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利润增长的驱动主要有以下几点：首先，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伏美替尼具有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广阔的市场空间，随着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尼新的适应症不断拓展，如辅助治疗、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外显子插入突变一线、二线治疗适应症等，未来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2-3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年将会产生更多的营业收入。其次是来自于海外市场的收入预期，根据</w:t>
            </w:r>
            <w:r w:rsidRPr="00DB4CEC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公司与</w:t>
            </w:r>
            <w:proofErr w:type="spellStart"/>
            <w:r w:rsidRPr="00DB4CEC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ArriVent</w:t>
            </w:r>
            <w:proofErr w:type="spellEnd"/>
            <w:r w:rsidRPr="00DB4CEC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达成</w:t>
            </w:r>
            <w:proofErr w:type="gramStart"/>
            <w:r w:rsidRPr="00DB4CEC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伏美替尼海外</w:t>
            </w:r>
            <w:proofErr w:type="gramEnd"/>
            <w:r w:rsidRPr="00DB4CEC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授权合作合作协议，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除了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4</w:t>
            </w:r>
            <w:r w:rsidR="001E7D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万美元的首付款外，</w:t>
            </w:r>
            <w:r w:rsidRPr="00DB4CEC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公司还将获得最高达</w:t>
            </w:r>
            <w:r w:rsidRPr="00DB4CEC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7.65</w:t>
            </w:r>
            <w:r w:rsidRPr="00DB4CEC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亿美元的里程碑付款、高个位数至两位数百分比的销售提成，以及</w:t>
            </w:r>
            <w:proofErr w:type="spellStart"/>
            <w:r w:rsidRPr="00DB4CEC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ArriVent</w:t>
            </w:r>
            <w:proofErr w:type="spellEnd"/>
            <w:r w:rsidRPr="00DB4CEC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部分股权。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伏美替尼海外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临床研究进展顺利，待其海外获批上市销售后，预计未来也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将给艾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力斯带来可观的收益。第三，公司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团队在不断引进新的产品，比如普吉华的独家推广等，逐渐丰富的产品管线将提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供更多元化的营业收入。与此同时，公司将合理控制各项费用的支出，以确保净利润可以稳定的增长。</w:t>
            </w:r>
          </w:p>
          <w:p w14:paraId="435B0561" w14:textId="4E20A8CD" w:rsidR="001C49A5" w:rsidRDefault="001C49A5" w:rsidP="001C49A5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3B4AD77F" w14:textId="2863E670" w:rsidR="001C49A5" w:rsidRPr="0034674A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 w:hint="eastAsia"/>
                <w:b/>
                <w:bCs/>
                <w:iCs/>
                <w:sz w:val="24"/>
                <w:szCs w:val="24"/>
              </w:rPr>
              <w:t>五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：</w:t>
            </w:r>
            <w:proofErr w:type="gramStart"/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辅助治疗适应症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目前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的临床进展情况？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4139F8EE" w14:textId="77777777" w:rsidR="001C49A5" w:rsidRPr="0034674A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proofErr w:type="gramStart"/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伏美替尼</w:t>
            </w:r>
            <w:proofErr w:type="gramEnd"/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辅助治疗适应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症的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期临床研究进展顺利，目前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已完成患者入组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。该研究是一项</w:t>
            </w: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随机、双盲、安慰剂对照、多中心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III</w:t>
            </w:r>
            <w:proofErr w:type="gramStart"/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期注册</w:t>
            </w:r>
            <w:proofErr w:type="gramEnd"/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临床研究，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纳入了更多早期患者，覆盖人群范围更加广泛。公司将按计划有序推进临床进度，争取早日获批惠及更多肺癌患者。</w:t>
            </w:r>
          </w:p>
          <w:p w14:paraId="55F88D20" w14:textId="77777777" w:rsidR="001C49A5" w:rsidRPr="00DB3469" w:rsidRDefault="001C49A5" w:rsidP="001C49A5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FD52CCA" w14:textId="1D7486AB" w:rsidR="001C49A5" w:rsidRPr="0034674A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六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：公司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下半年对研发费用和销售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费用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的规划？</w:t>
            </w:r>
          </w:p>
          <w:p w14:paraId="74870AD4" w14:textId="32155329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答：公司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始终贯彻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着降本增效的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理念，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持续优化各项费用控制，努力提高公司整体运营效率。</w:t>
            </w: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在研发费用方面，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随着新的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临床项目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展开，包括</w:t>
            </w:r>
            <w:r w:rsidRPr="003F341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Pr="003F341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外显子插入突变二线治疗适应症、</w:t>
            </w:r>
            <w:r w:rsidR="001E7D58" w:rsidRPr="003F341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="001E7D58" w:rsidRPr="003F341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外显子插入突变</w:t>
            </w:r>
            <w:r w:rsidRPr="003F341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一线治疗适应症、</w:t>
            </w:r>
            <w:r w:rsidRPr="003F341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PACC</w:t>
            </w:r>
            <w:r w:rsidRPr="003F341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罕见突变、</w:t>
            </w:r>
            <w:r w:rsidRPr="003F341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 G12D</w:t>
            </w:r>
            <w:r w:rsidRPr="003F341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等临床研究的陆续铺开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，以及公司新成立的大分子研发团队未来可能会启动新的研发项目，下半年的研发费用投入预计将高于上半年，但随着营业收入的增长将使得整体研发费用率将控制在合理的区间。在销售费用方面，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年上半年销售费用绝对值增长，但</w:t>
            </w:r>
            <w:r w:rsidRPr="004C020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销售</w:t>
            </w:r>
            <w:proofErr w:type="gramStart"/>
            <w:r w:rsidRPr="004C020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费用占营收</w:t>
            </w:r>
            <w:proofErr w:type="gramEnd"/>
            <w:r w:rsidRPr="004C020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比重呈下降趋势，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说明</w:t>
            </w:r>
            <w:r w:rsidRPr="004C020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</w:t>
            </w:r>
            <w:proofErr w:type="gramStart"/>
            <w:r w:rsidRPr="004C020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践</w:t>
            </w:r>
            <w:proofErr w:type="gramEnd"/>
            <w:r w:rsidRPr="004C020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行降本增效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成效明显</w:t>
            </w:r>
            <w:r w:rsidRPr="004C020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。未来，公司将合理控制人员的增长，不断提高销售人员的人均产出。</w:t>
            </w:r>
          </w:p>
          <w:p w14:paraId="7CC8E0B1" w14:textId="77777777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6AAA9417" w14:textId="008F21DD" w:rsidR="001C49A5" w:rsidRPr="00C355CC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355CC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七</w:t>
            </w:r>
            <w:r w:rsidRPr="00C355CC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：</w:t>
            </w:r>
            <w:proofErr w:type="gramStart"/>
            <w:r w:rsidRPr="00C355CC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伏美替尼海外</w:t>
            </w:r>
            <w:proofErr w:type="gramEnd"/>
            <w:r w:rsidRPr="00C355CC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最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新</w:t>
            </w:r>
            <w:r w:rsidRPr="00C355CC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临床进展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情况</w:t>
            </w:r>
            <w:r w:rsidRPr="00C355CC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0815532C" w14:textId="77242B46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53AE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答：公司与海外合作方</w:t>
            </w:r>
            <w:proofErr w:type="spellStart"/>
            <w:r w:rsidRPr="00353AE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ArriVent</w:t>
            </w:r>
            <w:proofErr w:type="spell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合作进展顺利，公司与</w:t>
            </w:r>
            <w:proofErr w:type="spell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rriVent</w:t>
            </w:r>
            <w:proofErr w:type="spellEnd"/>
            <w:r w:rsidRPr="00353AE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已经开展了多项探索性临床和一项注册临床。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其中，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由公司与</w:t>
            </w:r>
            <w:proofErr w:type="spellStart"/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ArriVent</w:t>
            </w:r>
            <w:proofErr w:type="spellEnd"/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联合发起的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FURTHER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研究的期中分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析数据将于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WCLC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（世界肺癌大会）上以主席研讨会（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Presidential Symposium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）的形式公布，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FURTHER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研究是一项国际多中心随机研究，旨在评估</w:t>
            </w:r>
            <w:proofErr w:type="gramStart"/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两个剂量组对未经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TKI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治疗的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EGFR PACC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突变晚期或转移性非小细胞肺癌（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NSCLC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）患者的疗效和安全性。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相关数据将于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日在</w:t>
            </w:r>
            <w:r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加利福尼亚州圣地亚哥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公布</w:t>
            </w:r>
            <w:r w:rsidR="00F865E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F865EB" w:rsidRPr="00416E1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主席研讨会</w:t>
            </w:r>
            <w:r w:rsidR="00F865E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历来是</w:t>
            </w:r>
            <w:r w:rsidR="00F865E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W</w:t>
            </w:r>
            <w:r w:rsidR="00F865E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CLC</w:t>
            </w:r>
            <w:r w:rsidR="00F865E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展现具有独创性和突破性研究数据的专题会议，能够于主席研讨会环节公布相关数据，也表明了大会对于</w:t>
            </w:r>
            <w:r w:rsidR="00F865E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FURTHER</w:t>
            </w:r>
            <w:r w:rsidR="00F865E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研究数据的认可与重视。</w:t>
            </w:r>
          </w:p>
          <w:p w14:paraId="5AB4AFB3" w14:textId="419D2566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另外，</w:t>
            </w:r>
            <w:proofErr w:type="gramStart"/>
            <w:r w:rsidRPr="00353AE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伏美替尼针对</w:t>
            </w:r>
            <w:proofErr w:type="gramEnd"/>
            <w:r w:rsidRPr="00353AE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Pr="00353AE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外显子插入突变一线治疗适应症的国际、多中心、</w:t>
            </w:r>
            <w:r w:rsidRPr="00353AE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III </w:t>
            </w:r>
            <w:r w:rsidRPr="00353AE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期临床研究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进展顺利</w:t>
            </w:r>
            <w:r w:rsidRPr="00353AE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。该研究已在中国、美国、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加拿大、</w:t>
            </w:r>
            <w:r w:rsidRPr="00353AE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法国、日本、韩国等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全球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多个中心同步入组</w:t>
            </w:r>
            <w:r w:rsidRPr="00353AE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。该适应症已经先后在美国、中国取得</w:t>
            </w:r>
            <w:r w:rsidRPr="00CB0ECB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了</w:t>
            </w:r>
            <w:r w:rsidRPr="00CB0EC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“突破性疗法认定”，这将加速</w:t>
            </w:r>
            <w:proofErr w:type="gramStart"/>
            <w:r w:rsidRPr="00CB0EC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Pr="00CB0EC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全球化探索的开发进程。</w:t>
            </w:r>
          </w:p>
          <w:p w14:paraId="43BA56B0" w14:textId="77777777" w:rsidR="001C49A5" w:rsidRDefault="001C49A5" w:rsidP="001C49A5">
            <w:pPr>
              <w:spacing w:line="360" w:lineRule="auto"/>
              <w:ind w:firstLineChars="200" w:firstLine="420"/>
              <w:rPr>
                <w:rFonts w:ascii="Arial" w:eastAsia="黑体" w:hAnsi="Arial" w:cs="Arial"/>
              </w:rPr>
            </w:pPr>
          </w:p>
          <w:p w14:paraId="737D8DDB" w14:textId="7FEDC830" w:rsidR="001C49A5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八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公司与基石药业合作的</w:t>
            </w:r>
            <w:r w:rsidRPr="00C355CC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RET</w:t>
            </w:r>
            <w:r w:rsidRPr="00C355CC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抑制剂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普吉华</w:t>
            </w:r>
            <w:r w:rsidRPr="00903993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  <w:vertAlign w:val="superscript"/>
              </w:rPr>
              <w:t>®</w:t>
            </w:r>
            <w:r w:rsidRPr="00C355CC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合作</w:t>
            </w:r>
            <w:r w:rsidRPr="00C355CC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情况如何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52B6B961" w14:textId="63C641E8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C355C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公司与基石药业于</w:t>
            </w:r>
            <w:r w:rsidRPr="00C355C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2023</w:t>
            </w:r>
            <w:r w:rsidRPr="00C355C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C355C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 w:rsidRPr="00C355C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月达成商业战略合作，</w:t>
            </w:r>
            <w:r w:rsidRPr="00C355C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2023</w:t>
            </w:r>
            <w:r w:rsidRPr="00C355C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C355C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12</w:t>
            </w:r>
            <w:r w:rsidRPr="00C355C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月开始全面交付由公司营销团队进行商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业化</w:t>
            </w:r>
            <w:r w:rsidRPr="00C355C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推广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普吉华</w:t>
            </w:r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  <w:vertAlign w:val="superscript"/>
              </w:rPr>
              <w:t>®</w:t>
            </w:r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是中国大陆</w:t>
            </w:r>
            <w:proofErr w:type="gramStart"/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首款获批</w:t>
            </w:r>
            <w:proofErr w:type="gramEnd"/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上市的</w:t>
            </w:r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RET</w:t>
            </w:r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抑制剂，目前在中、</w:t>
            </w:r>
            <w:proofErr w:type="gramStart"/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美均获</w:t>
            </w:r>
            <w:proofErr w:type="gramEnd"/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得了一线、</w:t>
            </w:r>
            <w:proofErr w:type="gramStart"/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二线</w:t>
            </w:r>
            <w:proofErr w:type="gramEnd"/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非小细胞肺癌适应症的完全批准，并同时覆盖甲状腺癌。相关临床结果显示，普吉华对相关肿瘤具有强效和持久的抗肿瘤活性，整体安全可控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。普吉华的产品疗效优势结合公司</w:t>
            </w:r>
            <w:r w:rsidRPr="0090399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专业学术推广能力出色的商业化团队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，使得普吉华的市场覆盖范围逐渐提升。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47DB5ABD" w14:textId="4534EF5C" w:rsidR="00A36F0C" w:rsidRDefault="00A36F0C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1ACF6913" w14:textId="6F2BB522" w:rsidR="00A36F0C" w:rsidRDefault="00A36F0C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6F0C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问题九：公司</w:t>
            </w:r>
            <w:r w:rsidRPr="00A36F0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KRAS G12D</w:t>
            </w:r>
            <w:r w:rsidRPr="00A36F0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抑制剂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目前的临床进展情况？</w:t>
            </w:r>
          </w:p>
          <w:p w14:paraId="50794BB9" w14:textId="74E1CB0E" w:rsidR="00D10DE9" w:rsidRPr="00D10DE9" w:rsidRDefault="00A36F0C" w:rsidP="00A36F0C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答：</w:t>
            </w:r>
            <w:r w:rsidR="00D10DE9" w:rsidRPr="00D10DE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公司自主研发的</w:t>
            </w:r>
            <w:r w:rsidR="00D10DE9" w:rsidRPr="00D10DE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 G12D</w:t>
            </w:r>
            <w:r w:rsidR="00D10DE9" w:rsidRPr="00D10DE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选择性抑制剂</w:t>
            </w:r>
            <w:r w:rsidR="00D10DE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是今年</w:t>
            </w:r>
            <w:r w:rsidR="00D10DE9" w:rsidRPr="00D10DE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3</w:t>
            </w:r>
            <w:r w:rsidR="00D10DE9" w:rsidRPr="00D10DE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月获批</w:t>
            </w:r>
            <w:r w:rsidR="00B307B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D10DE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I</w:t>
            </w:r>
            <w:r w:rsidR="00D10DE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ND</w:t>
            </w:r>
            <w:r w:rsidR="00D10DE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，目前正在多家中心开展</w:t>
            </w:r>
            <w:r w:rsidR="00D10DE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I</w:t>
            </w:r>
            <w:r w:rsidR="00D10DE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期剂量爬坡临床研究。</w:t>
            </w:r>
          </w:p>
          <w:p w14:paraId="011C34B1" w14:textId="0C8D5196" w:rsidR="00A36F0C" w:rsidRDefault="00DC40DF" w:rsidP="00D10DE9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是常见发生突变的驱动基因，癌症患者中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突变发生率为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14%-30%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 G12D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突变是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突变的一种常见的亚型，存在于非小细胞肺癌、结直肠癌、胰腺癌等多种类型癌症中，在大约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30%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的胰腺癌、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12%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的结直肠癌和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4%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的非小细胞肺癌中可检测出。目前全球范围内尚无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KRAS G12D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抑制剂获批上市，该治疗领域存在巨大的未被满足的临床需求，市场空间广阔。公司自主研发的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AST2169</w:t>
            </w:r>
            <w:proofErr w:type="gramStart"/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是靶向</w:t>
            </w:r>
            <w:proofErr w:type="gramEnd"/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药物，临床前研究显示出“疗效佳、安全性好、给药频次低”的优势，公司将全速推进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AST2169</w:t>
            </w:r>
            <w:r w:rsidRPr="00DC40D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的临床研究进度，积极探索其在肺癌、胰腺癌、结直肠癌中的治疗效果。</w:t>
            </w:r>
          </w:p>
          <w:p w14:paraId="49ED3B82" w14:textId="77777777" w:rsidR="00A36F0C" w:rsidRPr="00C355CC" w:rsidRDefault="00A36F0C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19F21E8F" w14:textId="4D3292BA" w:rsidR="001C49A5" w:rsidRDefault="001C49A5" w:rsidP="001C49A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 w:rsidR="00325075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十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公司与复星医药的仲裁事项进展？后续对利润表的影响如何？</w:t>
            </w:r>
          </w:p>
          <w:p w14:paraId="20C8C26E" w14:textId="5D564756" w:rsidR="001C49A5" w:rsidRDefault="001C49A5" w:rsidP="001C49A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363E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答：公司与江苏复星在</w:t>
            </w:r>
            <w:r w:rsidRPr="001363E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2022</w:t>
            </w:r>
            <w:r w:rsidR="00F865E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1363E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签订了《独家推广协议》，约定由江苏复星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在指定</w:t>
            </w:r>
            <w:r w:rsidRPr="001363E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区域内独家推广</w:t>
            </w:r>
            <w:proofErr w:type="gramStart"/>
            <w:r w:rsidRPr="001363E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。在合作的过程中，公司发现</w:t>
            </w:r>
            <w:r w:rsidRPr="001363E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江苏复星具有多项违反《独家推广协议》的行为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，为了维护公司及股东的利益，公司决定从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日起终止与江苏复星的独家推广合作，公司现已聘请专业律师团队处理该仲裁案件。</w:t>
            </w:r>
          </w:p>
          <w:p w14:paraId="471101C3" w14:textId="1C6A7DC6" w:rsidR="001C49A5" w:rsidRPr="001C49A5" w:rsidRDefault="001C49A5" w:rsidP="00B307B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在利润表的影响方面，公司已于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年年底计提江苏复星的推广服务费及保证金，相关费用已在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年年度报告中反映。由于目前还处在仲裁阶段，尚未正式开庭，目前没有直接的证据表明公司需要承担更高金额的赔偿。</w:t>
            </w:r>
          </w:p>
        </w:tc>
      </w:tr>
      <w:tr w:rsidR="001C49A5" w:rsidRPr="003A7099" w14:paraId="6773D77C" w14:textId="77777777" w:rsidTr="001C5965">
        <w:trPr>
          <w:trHeight w:val="49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6CC3" w14:textId="77777777" w:rsidR="001C49A5" w:rsidRPr="003A7099" w:rsidRDefault="001C49A5" w:rsidP="001C49A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1A3E4517" w14:textId="77777777" w:rsidR="001C49A5" w:rsidRPr="003A7099" w:rsidRDefault="001C49A5" w:rsidP="001C49A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B6F" w14:textId="77777777" w:rsidR="001C49A5" w:rsidRPr="003A7099" w:rsidRDefault="001C49A5" w:rsidP="001C49A5">
            <w:pPr>
              <w:spacing w:line="48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1C49A5" w:rsidRPr="003A7099" w14:paraId="5FF52011" w14:textId="77777777" w:rsidTr="00B307BD">
        <w:trPr>
          <w:trHeight w:val="6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9B0B" w14:textId="77777777" w:rsidR="001C49A5" w:rsidRPr="003A7099" w:rsidRDefault="001C49A5" w:rsidP="001C49A5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DD85" w14:textId="742F3257" w:rsidR="001C49A5" w:rsidRPr="003A7099" w:rsidRDefault="001C49A5" w:rsidP="001C49A5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3483234" w14:textId="19820F59" w:rsidR="00B23B83" w:rsidRPr="003A7099" w:rsidRDefault="00B23B83" w:rsidP="00FB2540">
      <w:pPr>
        <w:spacing w:line="360" w:lineRule="auto"/>
        <w:rPr>
          <w:rFonts w:ascii="Times New Roman" w:hAnsi="Times New Roman" w:cs="Times New Roman" w:hint="eastAsia"/>
        </w:rPr>
      </w:pPr>
    </w:p>
    <w:sectPr w:rsidR="00B23B83" w:rsidRPr="003A709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FA45" w14:textId="77777777" w:rsidR="00F83E3F" w:rsidRDefault="00F83E3F" w:rsidP="002A12A1">
      <w:r>
        <w:separator/>
      </w:r>
    </w:p>
  </w:endnote>
  <w:endnote w:type="continuationSeparator" w:id="0">
    <w:p w14:paraId="076068BB" w14:textId="77777777" w:rsidR="00F83E3F" w:rsidRDefault="00F83E3F" w:rsidP="002A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18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181A7C78" w14:textId="77777777" w:rsidR="00DB4CEC" w:rsidRPr="004C656F" w:rsidRDefault="00DB4CE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C656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C656F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C656F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C656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C656F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5BC45" w14:textId="77777777" w:rsidR="00DB4CEC" w:rsidRDefault="00DB4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9E5E8" w14:textId="77777777" w:rsidR="00F83E3F" w:rsidRDefault="00F83E3F" w:rsidP="002A12A1">
      <w:r>
        <w:separator/>
      </w:r>
    </w:p>
  </w:footnote>
  <w:footnote w:type="continuationSeparator" w:id="0">
    <w:p w14:paraId="01A655E9" w14:textId="77777777" w:rsidR="00F83E3F" w:rsidRDefault="00F83E3F" w:rsidP="002A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D017"/>
      </v:shape>
    </w:pict>
  </w:numPicBullet>
  <w:abstractNum w:abstractNumId="0" w15:restartNumberingAfterBreak="0">
    <w:nsid w:val="784B2BD1"/>
    <w:multiLevelType w:val="hybridMultilevel"/>
    <w:tmpl w:val="48DCAE0E"/>
    <w:lvl w:ilvl="0" w:tplc="04090007">
      <w:start w:val="1"/>
      <w:numFmt w:val="bullet"/>
      <w:lvlText w:val=""/>
      <w:lvlPicBulletId w:val="0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28"/>
    <w:rsid w:val="000027D9"/>
    <w:rsid w:val="00002E9C"/>
    <w:rsid w:val="000031A5"/>
    <w:rsid w:val="000032A6"/>
    <w:rsid w:val="00003EBD"/>
    <w:rsid w:val="00005CBF"/>
    <w:rsid w:val="00007BBC"/>
    <w:rsid w:val="000101C0"/>
    <w:rsid w:val="00010825"/>
    <w:rsid w:val="00010D58"/>
    <w:rsid w:val="000116BA"/>
    <w:rsid w:val="000135CC"/>
    <w:rsid w:val="00013F6B"/>
    <w:rsid w:val="00014A04"/>
    <w:rsid w:val="00015260"/>
    <w:rsid w:val="00015864"/>
    <w:rsid w:val="00015F3A"/>
    <w:rsid w:val="00015F8E"/>
    <w:rsid w:val="00020B03"/>
    <w:rsid w:val="00021ECA"/>
    <w:rsid w:val="000228A4"/>
    <w:rsid w:val="00022B61"/>
    <w:rsid w:val="00023879"/>
    <w:rsid w:val="00024093"/>
    <w:rsid w:val="00024C67"/>
    <w:rsid w:val="00026EC2"/>
    <w:rsid w:val="00027155"/>
    <w:rsid w:val="000276E7"/>
    <w:rsid w:val="000304C4"/>
    <w:rsid w:val="0003141B"/>
    <w:rsid w:val="000348B4"/>
    <w:rsid w:val="0003554C"/>
    <w:rsid w:val="000371C7"/>
    <w:rsid w:val="000406EA"/>
    <w:rsid w:val="0004262C"/>
    <w:rsid w:val="000426D0"/>
    <w:rsid w:val="00043EF2"/>
    <w:rsid w:val="00047A4C"/>
    <w:rsid w:val="00050025"/>
    <w:rsid w:val="00052A14"/>
    <w:rsid w:val="000543CB"/>
    <w:rsid w:val="00054CA2"/>
    <w:rsid w:val="000550AE"/>
    <w:rsid w:val="000577AE"/>
    <w:rsid w:val="000577B6"/>
    <w:rsid w:val="00057D00"/>
    <w:rsid w:val="0006249D"/>
    <w:rsid w:val="00062B15"/>
    <w:rsid w:val="000640E1"/>
    <w:rsid w:val="00064AF9"/>
    <w:rsid w:val="000678AD"/>
    <w:rsid w:val="000719E5"/>
    <w:rsid w:val="000720E8"/>
    <w:rsid w:val="00072699"/>
    <w:rsid w:val="000729A6"/>
    <w:rsid w:val="000734C6"/>
    <w:rsid w:val="00076B97"/>
    <w:rsid w:val="00076DAB"/>
    <w:rsid w:val="00077D75"/>
    <w:rsid w:val="00077D88"/>
    <w:rsid w:val="000805F4"/>
    <w:rsid w:val="00084538"/>
    <w:rsid w:val="0008646F"/>
    <w:rsid w:val="000864F0"/>
    <w:rsid w:val="000865EF"/>
    <w:rsid w:val="00090F43"/>
    <w:rsid w:val="00093F70"/>
    <w:rsid w:val="00095E09"/>
    <w:rsid w:val="00097CA1"/>
    <w:rsid w:val="000A109B"/>
    <w:rsid w:val="000A1CCE"/>
    <w:rsid w:val="000A73DD"/>
    <w:rsid w:val="000A74C7"/>
    <w:rsid w:val="000B0B85"/>
    <w:rsid w:val="000B15A4"/>
    <w:rsid w:val="000B1D7E"/>
    <w:rsid w:val="000B5BF2"/>
    <w:rsid w:val="000B78B6"/>
    <w:rsid w:val="000C14E1"/>
    <w:rsid w:val="000C3548"/>
    <w:rsid w:val="000C59C1"/>
    <w:rsid w:val="000C5AE1"/>
    <w:rsid w:val="000C66CA"/>
    <w:rsid w:val="000C76F3"/>
    <w:rsid w:val="000C788E"/>
    <w:rsid w:val="000D10A9"/>
    <w:rsid w:val="000D1B26"/>
    <w:rsid w:val="000D3B05"/>
    <w:rsid w:val="000D3C15"/>
    <w:rsid w:val="000D741C"/>
    <w:rsid w:val="000D7B84"/>
    <w:rsid w:val="000E063D"/>
    <w:rsid w:val="000E32D7"/>
    <w:rsid w:val="000E46E9"/>
    <w:rsid w:val="000E573B"/>
    <w:rsid w:val="000E6850"/>
    <w:rsid w:val="000F1444"/>
    <w:rsid w:val="000F2D36"/>
    <w:rsid w:val="000F34C8"/>
    <w:rsid w:val="000F427D"/>
    <w:rsid w:val="001007F9"/>
    <w:rsid w:val="00101B64"/>
    <w:rsid w:val="001036E5"/>
    <w:rsid w:val="001039F4"/>
    <w:rsid w:val="00107821"/>
    <w:rsid w:val="00110F6E"/>
    <w:rsid w:val="001134C9"/>
    <w:rsid w:val="00113F2A"/>
    <w:rsid w:val="00114088"/>
    <w:rsid w:val="00114F6E"/>
    <w:rsid w:val="0011565E"/>
    <w:rsid w:val="00115B3C"/>
    <w:rsid w:val="00120EB2"/>
    <w:rsid w:val="0012170B"/>
    <w:rsid w:val="0012284D"/>
    <w:rsid w:val="00122ED0"/>
    <w:rsid w:val="001235B9"/>
    <w:rsid w:val="00123821"/>
    <w:rsid w:val="00123A5C"/>
    <w:rsid w:val="00123FAA"/>
    <w:rsid w:val="001247E7"/>
    <w:rsid w:val="00125EDF"/>
    <w:rsid w:val="001306FD"/>
    <w:rsid w:val="00130DD0"/>
    <w:rsid w:val="0013191D"/>
    <w:rsid w:val="00132A77"/>
    <w:rsid w:val="00134E4A"/>
    <w:rsid w:val="001363E6"/>
    <w:rsid w:val="0013717D"/>
    <w:rsid w:val="00140473"/>
    <w:rsid w:val="00140DBA"/>
    <w:rsid w:val="00141B52"/>
    <w:rsid w:val="0014219A"/>
    <w:rsid w:val="001431D4"/>
    <w:rsid w:val="0014321C"/>
    <w:rsid w:val="00143633"/>
    <w:rsid w:val="00143F43"/>
    <w:rsid w:val="00145A17"/>
    <w:rsid w:val="00145B68"/>
    <w:rsid w:val="00146905"/>
    <w:rsid w:val="0015227A"/>
    <w:rsid w:val="001541B3"/>
    <w:rsid w:val="001571E2"/>
    <w:rsid w:val="001574C9"/>
    <w:rsid w:val="001575AC"/>
    <w:rsid w:val="00161862"/>
    <w:rsid w:val="00162C97"/>
    <w:rsid w:val="001630D5"/>
    <w:rsid w:val="00163CD6"/>
    <w:rsid w:val="00163FD3"/>
    <w:rsid w:val="00164ED3"/>
    <w:rsid w:val="001662F8"/>
    <w:rsid w:val="00166CB1"/>
    <w:rsid w:val="001703DB"/>
    <w:rsid w:val="00173EC7"/>
    <w:rsid w:val="001754A2"/>
    <w:rsid w:val="00176858"/>
    <w:rsid w:val="00176923"/>
    <w:rsid w:val="00177373"/>
    <w:rsid w:val="00177735"/>
    <w:rsid w:val="00181053"/>
    <w:rsid w:val="001843C3"/>
    <w:rsid w:val="00185572"/>
    <w:rsid w:val="00185780"/>
    <w:rsid w:val="00186910"/>
    <w:rsid w:val="00187D3F"/>
    <w:rsid w:val="001913F2"/>
    <w:rsid w:val="00192754"/>
    <w:rsid w:val="00196D3F"/>
    <w:rsid w:val="001A477F"/>
    <w:rsid w:val="001A6DEA"/>
    <w:rsid w:val="001B0046"/>
    <w:rsid w:val="001B0171"/>
    <w:rsid w:val="001B1CDE"/>
    <w:rsid w:val="001B1D7D"/>
    <w:rsid w:val="001B3AB2"/>
    <w:rsid w:val="001B40AF"/>
    <w:rsid w:val="001B4F91"/>
    <w:rsid w:val="001B67E2"/>
    <w:rsid w:val="001B72DA"/>
    <w:rsid w:val="001B7CB3"/>
    <w:rsid w:val="001C0076"/>
    <w:rsid w:val="001C058C"/>
    <w:rsid w:val="001C0FD3"/>
    <w:rsid w:val="001C2BC1"/>
    <w:rsid w:val="001C4293"/>
    <w:rsid w:val="001C496C"/>
    <w:rsid w:val="001C49A5"/>
    <w:rsid w:val="001C5965"/>
    <w:rsid w:val="001C6DC7"/>
    <w:rsid w:val="001C6FDD"/>
    <w:rsid w:val="001D0778"/>
    <w:rsid w:val="001D1392"/>
    <w:rsid w:val="001D2BF7"/>
    <w:rsid w:val="001D3121"/>
    <w:rsid w:val="001D5678"/>
    <w:rsid w:val="001D6462"/>
    <w:rsid w:val="001D72A9"/>
    <w:rsid w:val="001D7876"/>
    <w:rsid w:val="001D7FD0"/>
    <w:rsid w:val="001E1C0B"/>
    <w:rsid w:val="001E2633"/>
    <w:rsid w:val="001E2783"/>
    <w:rsid w:val="001E7863"/>
    <w:rsid w:val="001E7D58"/>
    <w:rsid w:val="001F0E2A"/>
    <w:rsid w:val="001F200F"/>
    <w:rsid w:val="001F2BBB"/>
    <w:rsid w:val="001F3E7A"/>
    <w:rsid w:val="001F6600"/>
    <w:rsid w:val="0020206C"/>
    <w:rsid w:val="0020271E"/>
    <w:rsid w:val="002031B8"/>
    <w:rsid w:val="002041AF"/>
    <w:rsid w:val="00204998"/>
    <w:rsid w:val="0020725C"/>
    <w:rsid w:val="00207CB0"/>
    <w:rsid w:val="00210430"/>
    <w:rsid w:val="00210EAB"/>
    <w:rsid w:val="002114A6"/>
    <w:rsid w:val="002117F7"/>
    <w:rsid w:val="00214C9C"/>
    <w:rsid w:val="002161BE"/>
    <w:rsid w:val="00216223"/>
    <w:rsid w:val="00216E69"/>
    <w:rsid w:val="00217DCE"/>
    <w:rsid w:val="002219BD"/>
    <w:rsid w:val="00222724"/>
    <w:rsid w:val="00222E24"/>
    <w:rsid w:val="00222FFF"/>
    <w:rsid w:val="00226588"/>
    <w:rsid w:val="00226B82"/>
    <w:rsid w:val="00227604"/>
    <w:rsid w:val="00233230"/>
    <w:rsid w:val="00235D1D"/>
    <w:rsid w:val="00235F5A"/>
    <w:rsid w:val="00236362"/>
    <w:rsid w:val="00236937"/>
    <w:rsid w:val="00241C71"/>
    <w:rsid w:val="00244590"/>
    <w:rsid w:val="00245D45"/>
    <w:rsid w:val="00246A81"/>
    <w:rsid w:val="0024794E"/>
    <w:rsid w:val="00247CF0"/>
    <w:rsid w:val="002512C1"/>
    <w:rsid w:val="00251B27"/>
    <w:rsid w:val="0025317D"/>
    <w:rsid w:val="0025366C"/>
    <w:rsid w:val="00253DF3"/>
    <w:rsid w:val="00255EFB"/>
    <w:rsid w:val="00256443"/>
    <w:rsid w:val="002600F7"/>
    <w:rsid w:val="00260FB3"/>
    <w:rsid w:val="0026361C"/>
    <w:rsid w:val="00263796"/>
    <w:rsid w:val="00263BA2"/>
    <w:rsid w:val="00263C13"/>
    <w:rsid w:val="00263D71"/>
    <w:rsid w:val="0026573C"/>
    <w:rsid w:val="00266B71"/>
    <w:rsid w:val="00267C30"/>
    <w:rsid w:val="002713E2"/>
    <w:rsid w:val="002743C2"/>
    <w:rsid w:val="00276526"/>
    <w:rsid w:val="00280A70"/>
    <w:rsid w:val="00280A9D"/>
    <w:rsid w:val="002822AB"/>
    <w:rsid w:val="00282B6E"/>
    <w:rsid w:val="002845EB"/>
    <w:rsid w:val="002849D2"/>
    <w:rsid w:val="00285D0F"/>
    <w:rsid w:val="00292684"/>
    <w:rsid w:val="00292A31"/>
    <w:rsid w:val="002945B2"/>
    <w:rsid w:val="002948C1"/>
    <w:rsid w:val="00294DDD"/>
    <w:rsid w:val="00294FBD"/>
    <w:rsid w:val="00295051"/>
    <w:rsid w:val="002A12A1"/>
    <w:rsid w:val="002A32AD"/>
    <w:rsid w:val="002A43ED"/>
    <w:rsid w:val="002A6845"/>
    <w:rsid w:val="002B1F9C"/>
    <w:rsid w:val="002B231F"/>
    <w:rsid w:val="002B51FA"/>
    <w:rsid w:val="002B7A2B"/>
    <w:rsid w:val="002C033A"/>
    <w:rsid w:val="002C05F1"/>
    <w:rsid w:val="002C10DF"/>
    <w:rsid w:val="002C115D"/>
    <w:rsid w:val="002C2513"/>
    <w:rsid w:val="002C5862"/>
    <w:rsid w:val="002D146F"/>
    <w:rsid w:val="002D5487"/>
    <w:rsid w:val="002D5D97"/>
    <w:rsid w:val="002D64D1"/>
    <w:rsid w:val="002E01EC"/>
    <w:rsid w:val="002E0874"/>
    <w:rsid w:val="002E09A3"/>
    <w:rsid w:val="002E0A20"/>
    <w:rsid w:val="002E107E"/>
    <w:rsid w:val="002E3252"/>
    <w:rsid w:val="002F16EB"/>
    <w:rsid w:val="002F2B7B"/>
    <w:rsid w:val="002F3FF7"/>
    <w:rsid w:val="002F420B"/>
    <w:rsid w:val="002F5D75"/>
    <w:rsid w:val="002F6618"/>
    <w:rsid w:val="0030169F"/>
    <w:rsid w:val="00301A35"/>
    <w:rsid w:val="00301D7F"/>
    <w:rsid w:val="00301F1D"/>
    <w:rsid w:val="003036CE"/>
    <w:rsid w:val="003044D6"/>
    <w:rsid w:val="00304C76"/>
    <w:rsid w:val="003057B2"/>
    <w:rsid w:val="00310DD0"/>
    <w:rsid w:val="00310FC4"/>
    <w:rsid w:val="00311DF3"/>
    <w:rsid w:val="003121E8"/>
    <w:rsid w:val="003124C7"/>
    <w:rsid w:val="003125F7"/>
    <w:rsid w:val="00312825"/>
    <w:rsid w:val="003149D3"/>
    <w:rsid w:val="00315E01"/>
    <w:rsid w:val="003166CE"/>
    <w:rsid w:val="00316A61"/>
    <w:rsid w:val="0031742D"/>
    <w:rsid w:val="00317672"/>
    <w:rsid w:val="00320F5E"/>
    <w:rsid w:val="00320F78"/>
    <w:rsid w:val="00322007"/>
    <w:rsid w:val="00322912"/>
    <w:rsid w:val="0032353D"/>
    <w:rsid w:val="00324131"/>
    <w:rsid w:val="00325075"/>
    <w:rsid w:val="00327A52"/>
    <w:rsid w:val="00327D75"/>
    <w:rsid w:val="003324D6"/>
    <w:rsid w:val="00332D30"/>
    <w:rsid w:val="00333967"/>
    <w:rsid w:val="00333B35"/>
    <w:rsid w:val="003344B1"/>
    <w:rsid w:val="003346DA"/>
    <w:rsid w:val="0033486E"/>
    <w:rsid w:val="00334C06"/>
    <w:rsid w:val="00336C77"/>
    <w:rsid w:val="003402C1"/>
    <w:rsid w:val="00340622"/>
    <w:rsid w:val="00342D99"/>
    <w:rsid w:val="003434D1"/>
    <w:rsid w:val="00346222"/>
    <w:rsid w:val="0034674A"/>
    <w:rsid w:val="003503B0"/>
    <w:rsid w:val="003512B6"/>
    <w:rsid w:val="0035260E"/>
    <w:rsid w:val="00353AEF"/>
    <w:rsid w:val="003543C9"/>
    <w:rsid w:val="00354816"/>
    <w:rsid w:val="00354E10"/>
    <w:rsid w:val="00356DA3"/>
    <w:rsid w:val="003606E1"/>
    <w:rsid w:val="003616CC"/>
    <w:rsid w:val="00363CE4"/>
    <w:rsid w:val="0036524C"/>
    <w:rsid w:val="0036737E"/>
    <w:rsid w:val="0037151F"/>
    <w:rsid w:val="00374D8B"/>
    <w:rsid w:val="003755AF"/>
    <w:rsid w:val="003762FC"/>
    <w:rsid w:val="003764EF"/>
    <w:rsid w:val="00376E73"/>
    <w:rsid w:val="00377599"/>
    <w:rsid w:val="00377A35"/>
    <w:rsid w:val="00377C29"/>
    <w:rsid w:val="003800D0"/>
    <w:rsid w:val="003841A3"/>
    <w:rsid w:val="003843B6"/>
    <w:rsid w:val="0038623B"/>
    <w:rsid w:val="00386D1E"/>
    <w:rsid w:val="00387AA9"/>
    <w:rsid w:val="003916D6"/>
    <w:rsid w:val="00391BD4"/>
    <w:rsid w:val="00392B55"/>
    <w:rsid w:val="003955EF"/>
    <w:rsid w:val="0039712F"/>
    <w:rsid w:val="003A0E52"/>
    <w:rsid w:val="003A247A"/>
    <w:rsid w:val="003A3007"/>
    <w:rsid w:val="003A409B"/>
    <w:rsid w:val="003A52F4"/>
    <w:rsid w:val="003A7099"/>
    <w:rsid w:val="003A736A"/>
    <w:rsid w:val="003A7900"/>
    <w:rsid w:val="003A792A"/>
    <w:rsid w:val="003B1379"/>
    <w:rsid w:val="003B19CF"/>
    <w:rsid w:val="003B2E27"/>
    <w:rsid w:val="003B2EDC"/>
    <w:rsid w:val="003B34E6"/>
    <w:rsid w:val="003B3761"/>
    <w:rsid w:val="003B4635"/>
    <w:rsid w:val="003B4923"/>
    <w:rsid w:val="003B6B6F"/>
    <w:rsid w:val="003C0B05"/>
    <w:rsid w:val="003C275A"/>
    <w:rsid w:val="003C3203"/>
    <w:rsid w:val="003C67F3"/>
    <w:rsid w:val="003C6C4D"/>
    <w:rsid w:val="003D0775"/>
    <w:rsid w:val="003D0920"/>
    <w:rsid w:val="003D2591"/>
    <w:rsid w:val="003D34F8"/>
    <w:rsid w:val="003D351E"/>
    <w:rsid w:val="003D4339"/>
    <w:rsid w:val="003D5C41"/>
    <w:rsid w:val="003D63F3"/>
    <w:rsid w:val="003D6AE7"/>
    <w:rsid w:val="003D6B3F"/>
    <w:rsid w:val="003D74FC"/>
    <w:rsid w:val="003E27AE"/>
    <w:rsid w:val="003E4620"/>
    <w:rsid w:val="003E6D82"/>
    <w:rsid w:val="003E768C"/>
    <w:rsid w:val="003F0FE7"/>
    <w:rsid w:val="003F14B0"/>
    <w:rsid w:val="003F1540"/>
    <w:rsid w:val="003F31BC"/>
    <w:rsid w:val="003F341A"/>
    <w:rsid w:val="003F380E"/>
    <w:rsid w:val="003F6576"/>
    <w:rsid w:val="003F7E5E"/>
    <w:rsid w:val="004008CC"/>
    <w:rsid w:val="004016CF"/>
    <w:rsid w:val="00402AD9"/>
    <w:rsid w:val="00403DD3"/>
    <w:rsid w:val="0040507C"/>
    <w:rsid w:val="004067A9"/>
    <w:rsid w:val="004069EA"/>
    <w:rsid w:val="004106BE"/>
    <w:rsid w:val="0041130D"/>
    <w:rsid w:val="00411792"/>
    <w:rsid w:val="00416E1C"/>
    <w:rsid w:val="004205F9"/>
    <w:rsid w:val="004213A3"/>
    <w:rsid w:val="00421DB5"/>
    <w:rsid w:val="00422901"/>
    <w:rsid w:val="004241F0"/>
    <w:rsid w:val="004250D1"/>
    <w:rsid w:val="004268F4"/>
    <w:rsid w:val="00427326"/>
    <w:rsid w:val="004314AE"/>
    <w:rsid w:val="00431A7A"/>
    <w:rsid w:val="00432D54"/>
    <w:rsid w:val="0043536D"/>
    <w:rsid w:val="0043654E"/>
    <w:rsid w:val="00436AA8"/>
    <w:rsid w:val="00443993"/>
    <w:rsid w:val="004453B7"/>
    <w:rsid w:val="00445743"/>
    <w:rsid w:val="00445F5C"/>
    <w:rsid w:val="00447648"/>
    <w:rsid w:val="00450459"/>
    <w:rsid w:val="00451B71"/>
    <w:rsid w:val="00452019"/>
    <w:rsid w:val="00452071"/>
    <w:rsid w:val="0045344C"/>
    <w:rsid w:val="00453B4E"/>
    <w:rsid w:val="0045486A"/>
    <w:rsid w:val="00454949"/>
    <w:rsid w:val="0045619A"/>
    <w:rsid w:val="004565AF"/>
    <w:rsid w:val="004606BC"/>
    <w:rsid w:val="0046188B"/>
    <w:rsid w:val="00461B47"/>
    <w:rsid w:val="00462DE7"/>
    <w:rsid w:val="00462FF6"/>
    <w:rsid w:val="00463186"/>
    <w:rsid w:val="00465E0C"/>
    <w:rsid w:val="00466C67"/>
    <w:rsid w:val="004736E0"/>
    <w:rsid w:val="00473B22"/>
    <w:rsid w:val="00473F56"/>
    <w:rsid w:val="004753DE"/>
    <w:rsid w:val="004761B2"/>
    <w:rsid w:val="00476E65"/>
    <w:rsid w:val="0047719B"/>
    <w:rsid w:val="004776E6"/>
    <w:rsid w:val="004839EA"/>
    <w:rsid w:val="0048417C"/>
    <w:rsid w:val="00484440"/>
    <w:rsid w:val="0048468D"/>
    <w:rsid w:val="00490451"/>
    <w:rsid w:val="00490499"/>
    <w:rsid w:val="00490B22"/>
    <w:rsid w:val="004914B6"/>
    <w:rsid w:val="00491C0F"/>
    <w:rsid w:val="00491E7D"/>
    <w:rsid w:val="00492F6B"/>
    <w:rsid w:val="004952CB"/>
    <w:rsid w:val="00495C1B"/>
    <w:rsid w:val="00495D20"/>
    <w:rsid w:val="004965DD"/>
    <w:rsid w:val="004A05DB"/>
    <w:rsid w:val="004A23BA"/>
    <w:rsid w:val="004A3547"/>
    <w:rsid w:val="004A42A9"/>
    <w:rsid w:val="004A4B54"/>
    <w:rsid w:val="004A6B06"/>
    <w:rsid w:val="004A73FF"/>
    <w:rsid w:val="004A7D99"/>
    <w:rsid w:val="004B0927"/>
    <w:rsid w:val="004B1FAB"/>
    <w:rsid w:val="004B32B3"/>
    <w:rsid w:val="004B3679"/>
    <w:rsid w:val="004B39E3"/>
    <w:rsid w:val="004B3A4B"/>
    <w:rsid w:val="004B60F4"/>
    <w:rsid w:val="004B6833"/>
    <w:rsid w:val="004C020F"/>
    <w:rsid w:val="004C0E72"/>
    <w:rsid w:val="004C1283"/>
    <w:rsid w:val="004C1398"/>
    <w:rsid w:val="004C3883"/>
    <w:rsid w:val="004C3CB0"/>
    <w:rsid w:val="004C46E8"/>
    <w:rsid w:val="004C656F"/>
    <w:rsid w:val="004C65D4"/>
    <w:rsid w:val="004C6B80"/>
    <w:rsid w:val="004D0F5F"/>
    <w:rsid w:val="004D3230"/>
    <w:rsid w:val="004D3608"/>
    <w:rsid w:val="004D3A8F"/>
    <w:rsid w:val="004D3B69"/>
    <w:rsid w:val="004D51A1"/>
    <w:rsid w:val="004D6860"/>
    <w:rsid w:val="004D70EF"/>
    <w:rsid w:val="004D7B15"/>
    <w:rsid w:val="004E0102"/>
    <w:rsid w:val="004E0C08"/>
    <w:rsid w:val="004E1C06"/>
    <w:rsid w:val="004E285A"/>
    <w:rsid w:val="004E2B8D"/>
    <w:rsid w:val="004E3B6C"/>
    <w:rsid w:val="004E53D4"/>
    <w:rsid w:val="004E5B5A"/>
    <w:rsid w:val="004E5F01"/>
    <w:rsid w:val="004F25FD"/>
    <w:rsid w:val="004F3D08"/>
    <w:rsid w:val="004F43B2"/>
    <w:rsid w:val="004F4F3B"/>
    <w:rsid w:val="004F4F66"/>
    <w:rsid w:val="004F7124"/>
    <w:rsid w:val="004F7D1A"/>
    <w:rsid w:val="00500D59"/>
    <w:rsid w:val="00502431"/>
    <w:rsid w:val="005036FC"/>
    <w:rsid w:val="00503D61"/>
    <w:rsid w:val="005063FE"/>
    <w:rsid w:val="00506492"/>
    <w:rsid w:val="0050677A"/>
    <w:rsid w:val="0051103D"/>
    <w:rsid w:val="0051295A"/>
    <w:rsid w:val="00513444"/>
    <w:rsid w:val="0051361B"/>
    <w:rsid w:val="00515987"/>
    <w:rsid w:val="00515A5F"/>
    <w:rsid w:val="00515E0E"/>
    <w:rsid w:val="00516F43"/>
    <w:rsid w:val="005200D8"/>
    <w:rsid w:val="00521CD6"/>
    <w:rsid w:val="0052232D"/>
    <w:rsid w:val="00522B00"/>
    <w:rsid w:val="00523E21"/>
    <w:rsid w:val="005242EA"/>
    <w:rsid w:val="00524852"/>
    <w:rsid w:val="005252E7"/>
    <w:rsid w:val="00525F91"/>
    <w:rsid w:val="00533C27"/>
    <w:rsid w:val="0054052C"/>
    <w:rsid w:val="00540BF4"/>
    <w:rsid w:val="005458FA"/>
    <w:rsid w:val="0054797B"/>
    <w:rsid w:val="005479CA"/>
    <w:rsid w:val="005502CF"/>
    <w:rsid w:val="00550494"/>
    <w:rsid w:val="0055118C"/>
    <w:rsid w:val="005511E3"/>
    <w:rsid w:val="005543B8"/>
    <w:rsid w:val="00556184"/>
    <w:rsid w:val="005579CA"/>
    <w:rsid w:val="00560227"/>
    <w:rsid w:val="005608CD"/>
    <w:rsid w:val="005657BD"/>
    <w:rsid w:val="00565933"/>
    <w:rsid w:val="00565F28"/>
    <w:rsid w:val="0057008F"/>
    <w:rsid w:val="00570C0F"/>
    <w:rsid w:val="00571A9F"/>
    <w:rsid w:val="00575727"/>
    <w:rsid w:val="005764C5"/>
    <w:rsid w:val="00581C58"/>
    <w:rsid w:val="00581D77"/>
    <w:rsid w:val="00584F27"/>
    <w:rsid w:val="0058504F"/>
    <w:rsid w:val="00585618"/>
    <w:rsid w:val="00586CD8"/>
    <w:rsid w:val="005875D9"/>
    <w:rsid w:val="00590DFB"/>
    <w:rsid w:val="00591650"/>
    <w:rsid w:val="00592193"/>
    <w:rsid w:val="00593B38"/>
    <w:rsid w:val="00595048"/>
    <w:rsid w:val="00595EB4"/>
    <w:rsid w:val="00595FA6"/>
    <w:rsid w:val="005960D1"/>
    <w:rsid w:val="00596841"/>
    <w:rsid w:val="005A12BE"/>
    <w:rsid w:val="005A1EED"/>
    <w:rsid w:val="005A2346"/>
    <w:rsid w:val="005A2876"/>
    <w:rsid w:val="005A2C45"/>
    <w:rsid w:val="005A3A31"/>
    <w:rsid w:val="005A3BF1"/>
    <w:rsid w:val="005A3CC8"/>
    <w:rsid w:val="005A3DC1"/>
    <w:rsid w:val="005B04A3"/>
    <w:rsid w:val="005B15B9"/>
    <w:rsid w:val="005B1B3A"/>
    <w:rsid w:val="005B1EAE"/>
    <w:rsid w:val="005B2DA6"/>
    <w:rsid w:val="005B3BFD"/>
    <w:rsid w:val="005B4397"/>
    <w:rsid w:val="005B469D"/>
    <w:rsid w:val="005B6770"/>
    <w:rsid w:val="005B72FC"/>
    <w:rsid w:val="005C1923"/>
    <w:rsid w:val="005C1AE0"/>
    <w:rsid w:val="005C1C09"/>
    <w:rsid w:val="005C27BA"/>
    <w:rsid w:val="005C29C5"/>
    <w:rsid w:val="005C340C"/>
    <w:rsid w:val="005C44FD"/>
    <w:rsid w:val="005C5834"/>
    <w:rsid w:val="005D4505"/>
    <w:rsid w:val="005D483A"/>
    <w:rsid w:val="005D5AC3"/>
    <w:rsid w:val="005D728F"/>
    <w:rsid w:val="005E1326"/>
    <w:rsid w:val="005E19C4"/>
    <w:rsid w:val="005E2383"/>
    <w:rsid w:val="005E2D06"/>
    <w:rsid w:val="005E47A0"/>
    <w:rsid w:val="005E5053"/>
    <w:rsid w:val="005E580E"/>
    <w:rsid w:val="005F0F6A"/>
    <w:rsid w:val="005F18E1"/>
    <w:rsid w:val="005F30A5"/>
    <w:rsid w:val="005F30CB"/>
    <w:rsid w:val="005F3384"/>
    <w:rsid w:val="005F63B5"/>
    <w:rsid w:val="005F6A44"/>
    <w:rsid w:val="005F6C2C"/>
    <w:rsid w:val="00600678"/>
    <w:rsid w:val="00600B0B"/>
    <w:rsid w:val="00600FEF"/>
    <w:rsid w:val="00603A92"/>
    <w:rsid w:val="00605907"/>
    <w:rsid w:val="006102B8"/>
    <w:rsid w:val="00611666"/>
    <w:rsid w:val="00612BE0"/>
    <w:rsid w:val="00612D1D"/>
    <w:rsid w:val="0061427E"/>
    <w:rsid w:val="0061719A"/>
    <w:rsid w:val="00617C15"/>
    <w:rsid w:val="00620083"/>
    <w:rsid w:val="006202AC"/>
    <w:rsid w:val="0062149D"/>
    <w:rsid w:val="00621E17"/>
    <w:rsid w:val="00622D71"/>
    <w:rsid w:val="00624795"/>
    <w:rsid w:val="00626473"/>
    <w:rsid w:val="00627492"/>
    <w:rsid w:val="0063117B"/>
    <w:rsid w:val="00631C11"/>
    <w:rsid w:val="0063471B"/>
    <w:rsid w:val="00635D07"/>
    <w:rsid w:val="0063621E"/>
    <w:rsid w:val="00637031"/>
    <w:rsid w:val="00641CAD"/>
    <w:rsid w:val="0064289E"/>
    <w:rsid w:val="0064295D"/>
    <w:rsid w:val="006449F7"/>
    <w:rsid w:val="00646971"/>
    <w:rsid w:val="00650270"/>
    <w:rsid w:val="00650919"/>
    <w:rsid w:val="006515B4"/>
    <w:rsid w:val="006531F5"/>
    <w:rsid w:val="00655C39"/>
    <w:rsid w:val="00655F21"/>
    <w:rsid w:val="006606BD"/>
    <w:rsid w:val="006608FC"/>
    <w:rsid w:val="00660E45"/>
    <w:rsid w:val="00661B37"/>
    <w:rsid w:val="00662650"/>
    <w:rsid w:val="00663A2A"/>
    <w:rsid w:val="0066521B"/>
    <w:rsid w:val="00666846"/>
    <w:rsid w:val="006719A4"/>
    <w:rsid w:val="006727D8"/>
    <w:rsid w:val="00676905"/>
    <w:rsid w:val="00676AC3"/>
    <w:rsid w:val="00680C28"/>
    <w:rsid w:val="00683EDC"/>
    <w:rsid w:val="00683EDE"/>
    <w:rsid w:val="006851B0"/>
    <w:rsid w:val="006852CF"/>
    <w:rsid w:val="006872B8"/>
    <w:rsid w:val="00687772"/>
    <w:rsid w:val="00687CCD"/>
    <w:rsid w:val="0069017E"/>
    <w:rsid w:val="00690541"/>
    <w:rsid w:val="00690BA1"/>
    <w:rsid w:val="00692B09"/>
    <w:rsid w:val="00695688"/>
    <w:rsid w:val="00695E79"/>
    <w:rsid w:val="006A495A"/>
    <w:rsid w:val="006A6DAB"/>
    <w:rsid w:val="006B12C0"/>
    <w:rsid w:val="006B271E"/>
    <w:rsid w:val="006B4661"/>
    <w:rsid w:val="006B4FEE"/>
    <w:rsid w:val="006B7351"/>
    <w:rsid w:val="006B7BBE"/>
    <w:rsid w:val="006B7DCD"/>
    <w:rsid w:val="006B7E86"/>
    <w:rsid w:val="006C27A4"/>
    <w:rsid w:val="006C28AF"/>
    <w:rsid w:val="006C28F1"/>
    <w:rsid w:val="006C364B"/>
    <w:rsid w:val="006C4C28"/>
    <w:rsid w:val="006C4D4C"/>
    <w:rsid w:val="006C52A8"/>
    <w:rsid w:val="006C55EE"/>
    <w:rsid w:val="006C5E36"/>
    <w:rsid w:val="006C766D"/>
    <w:rsid w:val="006D02AF"/>
    <w:rsid w:val="006D1459"/>
    <w:rsid w:val="006D2781"/>
    <w:rsid w:val="006D2F1B"/>
    <w:rsid w:val="006D4FC7"/>
    <w:rsid w:val="006D6EC9"/>
    <w:rsid w:val="006D7465"/>
    <w:rsid w:val="006D7BB4"/>
    <w:rsid w:val="006E2662"/>
    <w:rsid w:val="006E2CBE"/>
    <w:rsid w:val="006E4142"/>
    <w:rsid w:val="006E4563"/>
    <w:rsid w:val="006F0BC7"/>
    <w:rsid w:val="006F3D0F"/>
    <w:rsid w:val="006F42DF"/>
    <w:rsid w:val="006F5E5B"/>
    <w:rsid w:val="006F6C9B"/>
    <w:rsid w:val="0070098A"/>
    <w:rsid w:val="00701BFB"/>
    <w:rsid w:val="00702555"/>
    <w:rsid w:val="00703910"/>
    <w:rsid w:val="00703C8C"/>
    <w:rsid w:val="0070478E"/>
    <w:rsid w:val="007047FF"/>
    <w:rsid w:val="00705AD3"/>
    <w:rsid w:val="00706BB8"/>
    <w:rsid w:val="00706BC9"/>
    <w:rsid w:val="007109C3"/>
    <w:rsid w:val="00710DE6"/>
    <w:rsid w:val="00711DE1"/>
    <w:rsid w:val="00713E59"/>
    <w:rsid w:val="00714D2A"/>
    <w:rsid w:val="00715107"/>
    <w:rsid w:val="00715174"/>
    <w:rsid w:val="00715E3C"/>
    <w:rsid w:val="00717368"/>
    <w:rsid w:val="007203DA"/>
    <w:rsid w:val="00721088"/>
    <w:rsid w:val="0072226B"/>
    <w:rsid w:val="007229FD"/>
    <w:rsid w:val="00723B97"/>
    <w:rsid w:val="00724689"/>
    <w:rsid w:val="0072506D"/>
    <w:rsid w:val="007270B6"/>
    <w:rsid w:val="0073079D"/>
    <w:rsid w:val="007321BD"/>
    <w:rsid w:val="0073229B"/>
    <w:rsid w:val="00734590"/>
    <w:rsid w:val="007348E1"/>
    <w:rsid w:val="00737FF1"/>
    <w:rsid w:val="00741F3D"/>
    <w:rsid w:val="00741F6B"/>
    <w:rsid w:val="0074255D"/>
    <w:rsid w:val="00743BB8"/>
    <w:rsid w:val="00744DB5"/>
    <w:rsid w:val="00746E5B"/>
    <w:rsid w:val="00750F4E"/>
    <w:rsid w:val="0075385B"/>
    <w:rsid w:val="007552B4"/>
    <w:rsid w:val="007554F7"/>
    <w:rsid w:val="00755591"/>
    <w:rsid w:val="00755ADF"/>
    <w:rsid w:val="007560FF"/>
    <w:rsid w:val="0075679E"/>
    <w:rsid w:val="00757555"/>
    <w:rsid w:val="00757D4E"/>
    <w:rsid w:val="007603EF"/>
    <w:rsid w:val="00760AA8"/>
    <w:rsid w:val="00760D69"/>
    <w:rsid w:val="0076180A"/>
    <w:rsid w:val="0076255C"/>
    <w:rsid w:val="00764E83"/>
    <w:rsid w:val="0076562A"/>
    <w:rsid w:val="00766A26"/>
    <w:rsid w:val="0077075E"/>
    <w:rsid w:val="0077130E"/>
    <w:rsid w:val="00773C58"/>
    <w:rsid w:val="0077506F"/>
    <w:rsid w:val="00775B23"/>
    <w:rsid w:val="00775B2C"/>
    <w:rsid w:val="00777EAD"/>
    <w:rsid w:val="00780468"/>
    <w:rsid w:val="0078061D"/>
    <w:rsid w:val="00780DCA"/>
    <w:rsid w:val="00780F22"/>
    <w:rsid w:val="007810C9"/>
    <w:rsid w:val="007810EB"/>
    <w:rsid w:val="00781905"/>
    <w:rsid w:val="007839B9"/>
    <w:rsid w:val="00785074"/>
    <w:rsid w:val="007850C8"/>
    <w:rsid w:val="0078564D"/>
    <w:rsid w:val="0078619A"/>
    <w:rsid w:val="00790F05"/>
    <w:rsid w:val="007921B9"/>
    <w:rsid w:val="00793643"/>
    <w:rsid w:val="0079570A"/>
    <w:rsid w:val="007973B3"/>
    <w:rsid w:val="00797D45"/>
    <w:rsid w:val="007A1328"/>
    <w:rsid w:val="007A19DA"/>
    <w:rsid w:val="007A1A2A"/>
    <w:rsid w:val="007A1A9C"/>
    <w:rsid w:val="007A2E4F"/>
    <w:rsid w:val="007A37DA"/>
    <w:rsid w:val="007A4038"/>
    <w:rsid w:val="007A57F1"/>
    <w:rsid w:val="007A6444"/>
    <w:rsid w:val="007A64ED"/>
    <w:rsid w:val="007A7498"/>
    <w:rsid w:val="007A76A7"/>
    <w:rsid w:val="007B0D53"/>
    <w:rsid w:val="007B4846"/>
    <w:rsid w:val="007B5FDC"/>
    <w:rsid w:val="007B707A"/>
    <w:rsid w:val="007B7E7B"/>
    <w:rsid w:val="007C0095"/>
    <w:rsid w:val="007C1E97"/>
    <w:rsid w:val="007C287E"/>
    <w:rsid w:val="007C36D4"/>
    <w:rsid w:val="007C3E69"/>
    <w:rsid w:val="007C4504"/>
    <w:rsid w:val="007C48B9"/>
    <w:rsid w:val="007C6070"/>
    <w:rsid w:val="007C65D5"/>
    <w:rsid w:val="007C674C"/>
    <w:rsid w:val="007D2313"/>
    <w:rsid w:val="007D3660"/>
    <w:rsid w:val="007D4F5B"/>
    <w:rsid w:val="007D518E"/>
    <w:rsid w:val="007D712E"/>
    <w:rsid w:val="007D71E2"/>
    <w:rsid w:val="007D7A4C"/>
    <w:rsid w:val="007D7D03"/>
    <w:rsid w:val="007E205D"/>
    <w:rsid w:val="007E628A"/>
    <w:rsid w:val="007E634E"/>
    <w:rsid w:val="007E6498"/>
    <w:rsid w:val="007F0790"/>
    <w:rsid w:val="007F1424"/>
    <w:rsid w:val="007F1AAA"/>
    <w:rsid w:val="007F2ADE"/>
    <w:rsid w:val="007F38BD"/>
    <w:rsid w:val="007F4313"/>
    <w:rsid w:val="007F454C"/>
    <w:rsid w:val="007F5DF6"/>
    <w:rsid w:val="007F62EE"/>
    <w:rsid w:val="007F7D08"/>
    <w:rsid w:val="0080146D"/>
    <w:rsid w:val="00801DE5"/>
    <w:rsid w:val="00804812"/>
    <w:rsid w:val="00804976"/>
    <w:rsid w:val="00805CAB"/>
    <w:rsid w:val="00810C54"/>
    <w:rsid w:val="00812950"/>
    <w:rsid w:val="00813511"/>
    <w:rsid w:val="00813774"/>
    <w:rsid w:val="00813984"/>
    <w:rsid w:val="00814A14"/>
    <w:rsid w:val="00815E3A"/>
    <w:rsid w:val="008166D8"/>
    <w:rsid w:val="00817498"/>
    <w:rsid w:val="0082053D"/>
    <w:rsid w:val="00820DAF"/>
    <w:rsid w:val="00820FAD"/>
    <w:rsid w:val="00821580"/>
    <w:rsid w:val="00821B6B"/>
    <w:rsid w:val="008221F0"/>
    <w:rsid w:val="00823E2C"/>
    <w:rsid w:val="00823EB0"/>
    <w:rsid w:val="008243CC"/>
    <w:rsid w:val="00825012"/>
    <w:rsid w:val="008308D0"/>
    <w:rsid w:val="00831CA0"/>
    <w:rsid w:val="0083282C"/>
    <w:rsid w:val="00833F45"/>
    <w:rsid w:val="00834064"/>
    <w:rsid w:val="00834BA5"/>
    <w:rsid w:val="0083541B"/>
    <w:rsid w:val="00835A24"/>
    <w:rsid w:val="00835D23"/>
    <w:rsid w:val="00836526"/>
    <w:rsid w:val="00836A39"/>
    <w:rsid w:val="00837D11"/>
    <w:rsid w:val="00837D14"/>
    <w:rsid w:val="008401F3"/>
    <w:rsid w:val="00840E6E"/>
    <w:rsid w:val="00843011"/>
    <w:rsid w:val="008504AD"/>
    <w:rsid w:val="0085242E"/>
    <w:rsid w:val="00852459"/>
    <w:rsid w:val="00852575"/>
    <w:rsid w:val="008525C6"/>
    <w:rsid w:val="00852F73"/>
    <w:rsid w:val="00854239"/>
    <w:rsid w:val="00855E62"/>
    <w:rsid w:val="008567D3"/>
    <w:rsid w:val="00856C6D"/>
    <w:rsid w:val="00860EC2"/>
    <w:rsid w:val="00861B85"/>
    <w:rsid w:val="00862337"/>
    <w:rsid w:val="00862C01"/>
    <w:rsid w:val="00866355"/>
    <w:rsid w:val="00866E7E"/>
    <w:rsid w:val="00870A4B"/>
    <w:rsid w:val="008730C0"/>
    <w:rsid w:val="00875663"/>
    <w:rsid w:val="0087706A"/>
    <w:rsid w:val="00877389"/>
    <w:rsid w:val="00877EA4"/>
    <w:rsid w:val="00880E46"/>
    <w:rsid w:val="0088144E"/>
    <w:rsid w:val="008814E7"/>
    <w:rsid w:val="0088193E"/>
    <w:rsid w:val="00882296"/>
    <w:rsid w:val="00883CBB"/>
    <w:rsid w:val="00885477"/>
    <w:rsid w:val="008855DD"/>
    <w:rsid w:val="00885DC2"/>
    <w:rsid w:val="008902F2"/>
    <w:rsid w:val="0089041F"/>
    <w:rsid w:val="00891C09"/>
    <w:rsid w:val="00891CC7"/>
    <w:rsid w:val="00892810"/>
    <w:rsid w:val="00894111"/>
    <w:rsid w:val="00897088"/>
    <w:rsid w:val="00897365"/>
    <w:rsid w:val="008A0CD0"/>
    <w:rsid w:val="008A0E0D"/>
    <w:rsid w:val="008A1F1D"/>
    <w:rsid w:val="008A2008"/>
    <w:rsid w:val="008A2535"/>
    <w:rsid w:val="008A30A7"/>
    <w:rsid w:val="008A5F7B"/>
    <w:rsid w:val="008A7463"/>
    <w:rsid w:val="008B750D"/>
    <w:rsid w:val="008B7972"/>
    <w:rsid w:val="008C16F6"/>
    <w:rsid w:val="008C5B12"/>
    <w:rsid w:val="008C66F1"/>
    <w:rsid w:val="008D0607"/>
    <w:rsid w:val="008D1EEA"/>
    <w:rsid w:val="008D267C"/>
    <w:rsid w:val="008D3475"/>
    <w:rsid w:val="008D3A62"/>
    <w:rsid w:val="008D52F8"/>
    <w:rsid w:val="008E0078"/>
    <w:rsid w:val="008E1F14"/>
    <w:rsid w:val="008E2B51"/>
    <w:rsid w:val="008E4A65"/>
    <w:rsid w:val="008E4CA3"/>
    <w:rsid w:val="008E5B84"/>
    <w:rsid w:val="008E7F0A"/>
    <w:rsid w:val="008F026E"/>
    <w:rsid w:val="008F2D84"/>
    <w:rsid w:val="008F4DD4"/>
    <w:rsid w:val="008F664E"/>
    <w:rsid w:val="008F6CD0"/>
    <w:rsid w:val="008F73EF"/>
    <w:rsid w:val="008F7590"/>
    <w:rsid w:val="008F7A72"/>
    <w:rsid w:val="008F7D7B"/>
    <w:rsid w:val="009018B6"/>
    <w:rsid w:val="0090287A"/>
    <w:rsid w:val="009028A5"/>
    <w:rsid w:val="00902CCD"/>
    <w:rsid w:val="00903080"/>
    <w:rsid w:val="00903660"/>
    <w:rsid w:val="00903993"/>
    <w:rsid w:val="00905809"/>
    <w:rsid w:val="00905B1B"/>
    <w:rsid w:val="009066FE"/>
    <w:rsid w:val="009077C6"/>
    <w:rsid w:val="0091056D"/>
    <w:rsid w:val="0091153F"/>
    <w:rsid w:val="00912B54"/>
    <w:rsid w:val="00913E7E"/>
    <w:rsid w:val="0091496D"/>
    <w:rsid w:val="009211EA"/>
    <w:rsid w:val="00922E21"/>
    <w:rsid w:val="00922F6F"/>
    <w:rsid w:val="009237E5"/>
    <w:rsid w:val="0092397B"/>
    <w:rsid w:val="00926D13"/>
    <w:rsid w:val="00930FA5"/>
    <w:rsid w:val="0093184F"/>
    <w:rsid w:val="00932AB6"/>
    <w:rsid w:val="009344D5"/>
    <w:rsid w:val="00934905"/>
    <w:rsid w:val="00934C46"/>
    <w:rsid w:val="00934CD7"/>
    <w:rsid w:val="009364FA"/>
    <w:rsid w:val="00942749"/>
    <w:rsid w:val="00942D67"/>
    <w:rsid w:val="00944CCC"/>
    <w:rsid w:val="009472AC"/>
    <w:rsid w:val="00951421"/>
    <w:rsid w:val="00952B37"/>
    <w:rsid w:val="00954655"/>
    <w:rsid w:val="009548F0"/>
    <w:rsid w:val="00955684"/>
    <w:rsid w:val="009604B0"/>
    <w:rsid w:val="00960CF9"/>
    <w:rsid w:val="00961488"/>
    <w:rsid w:val="009615FC"/>
    <w:rsid w:val="0096166B"/>
    <w:rsid w:val="00964599"/>
    <w:rsid w:val="0096526B"/>
    <w:rsid w:val="00965889"/>
    <w:rsid w:val="009661D9"/>
    <w:rsid w:val="009667DF"/>
    <w:rsid w:val="009667E8"/>
    <w:rsid w:val="009678B8"/>
    <w:rsid w:val="00967CBB"/>
    <w:rsid w:val="0097084F"/>
    <w:rsid w:val="00970E54"/>
    <w:rsid w:val="009718E0"/>
    <w:rsid w:val="009723A2"/>
    <w:rsid w:val="00972FC8"/>
    <w:rsid w:val="00973273"/>
    <w:rsid w:val="009748EE"/>
    <w:rsid w:val="00975C57"/>
    <w:rsid w:val="009805BF"/>
    <w:rsid w:val="00983F1C"/>
    <w:rsid w:val="00984195"/>
    <w:rsid w:val="009843F1"/>
    <w:rsid w:val="00984DAC"/>
    <w:rsid w:val="00985778"/>
    <w:rsid w:val="00985EA9"/>
    <w:rsid w:val="0098622E"/>
    <w:rsid w:val="00990296"/>
    <w:rsid w:val="00990DC6"/>
    <w:rsid w:val="00993EBA"/>
    <w:rsid w:val="00994E22"/>
    <w:rsid w:val="00995D9F"/>
    <w:rsid w:val="00996686"/>
    <w:rsid w:val="00997E82"/>
    <w:rsid w:val="009A0245"/>
    <w:rsid w:val="009A3479"/>
    <w:rsid w:val="009A4476"/>
    <w:rsid w:val="009A47F8"/>
    <w:rsid w:val="009A4AB2"/>
    <w:rsid w:val="009A4F9E"/>
    <w:rsid w:val="009A64A3"/>
    <w:rsid w:val="009A69C7"/>
    <w:rsid w:val="009A79E0"/>
    <w:rsid w:val="009B0A9F"/>
    <w:rsid w:val="009B2F10"/>
    <w:rsid w:val="009B4391"/>
    <w:rsid w:val="009B43B6"/>
    <w:rsid w:val="009B4BC8"/>
    <w:rsid w:val="009B5E28"/>
    <w:rsid w:val="009B5F6C"/>
    <w:rsid w:val="009B6969"/>
    <w:rsid w:val="009C11B5"/>
    <w:rsid w:val="009C24B5"/>
    <w:rsid w:val="009C336B"/>
    <w:rsid w:val="009C36E5"/>
    <w:rsid w:val="009C65CB"/>
    <w:rsid w:val="009D04B3"/>
    <w:rsid w:val="009D5E8A"/>
    <w:rsid w:val="009D6364"/>
    <w:rsid w:val="009D6943"/>
    <w:rsid w:val="009D7862"/>
    <w:rsid w:val="009E0653"/>
    <w:rsid w:val="009E2CA4"/>
    <w:rsid w:val="009E3114"/>
    <w:rsid w:val="009E43C1"/>
    <w:rsid w:val="009E5095"/>
    <w:rsid w:val="009E603E"/>
    <w:rsid w:val="009E7027"/>
    <w:rsid w:val="009E704F"/>
    <w:rsid w:val="009F04B9"/>
    <w:rsid w:val="009F166D"/>
    <w:rsid w:val="009F29A1"/>
    <w:rsid w:val="009F2BC7"/>
    <w:rsid w:val="009F2F64"/>
    <w:rsid w:val="009F3326"/>
    <w:rsid w:val="009F3854"/>
    <w:rsid w:val="009F54E7"/>
    <w:rsid w:val="009F627F"/>
    <w:rsid w:val="009F7FCB"/>
    <w:rsid w:val="00A008CA"/>
    <w:rsid w:val="00A0163E"/>
    <w:rsid w:val="00A037BD"/>
    <w:rsid w:val="00A03EBC"/>
    <w:rsid w:val="00A04DC6"/>
    <w:rsid w:val="00A05CAB"/>
    <w:rsid w:val="00A076E4"/>
    <w:rsid w:val="00A103A7"/>
    <w:rsid w:val="00A114DC"/>
    <w:rsid w:val="00A157CA"/>
    <w:rsid w:val="00A160CB"/>
    <w:rsid w:val="00A169E4"/>
    <w:rsid w:val="00A1723A"/>
    <w:rsid w:val="00A17B5B"/>
    <w:rsid w:val="00A22FEB"/>
    <w:rsid w:val="00A23D90"/>
    <w:rsid w:val="00A258F5"/>
    <w:rsid w:val="00A25977"/>
    <w:rsid w:val="00A25CD4"/>
    <w:rsid w:val="00A31EFC"/>
    <w:rsid w:val="00A320AA"/>
    <w:rsid w:val="00A35FF7"/>
    <w:rsid w:val="00A36F0C"/>
    <w:rsid w:val="00A4175D"/>
    <w:rsid w:val="00A42223"/>
    <w:rsid w:val="00A434A3"/>
    <w:rsid w:val="00A436A6"/>
    <w:rsid w:val="00A4567A"/>
    <w:rsid w:val="00A46377"/>
    <w:rsid w:val="00A4680C"/>
    <w:rsid w:val="00A474C3"/>
    <w:rsid w:val="00A47EB9"/>
    <w:rsid w:val="00A50F47"/>
    <w:rsid w:val="00A51FBD"/>
    <w:rsid w:val="00A5259C"/>
    <w:rsid w:val="00A5290E"/>
    <w:rsid w:val="00A535B7"/>
    <w:rsid w:val="00A55D54"/>
    <w:rsid w:val="00A57063"/>
    <w:rsid w:val="00A575A2"/>
    <w:rsid w:val="00A60081"/>
    <w:rsid w:val="00A60089"/>
    <w:rsid w:val="00A60ED8"/>
    <w:rsid w:val="00A6356A"/>
    <w:rsid w:val="00A63CA2"/>
    <w:rsid w:val="00A70717"/>
    <w:rsid w:val="00A71E40"/>
    <w:rsid w:val="00A73FFB"/>
    <w:rsid w:val="00A7476E"/>
    <w:rsid w:val="00A75392"/>
    <w:rsid w:val="00A776D4"/>
    <w:rsid w:val="00A80C43"/>
    <w:rsid w:val="00A81BFA"/>
    <w:rsid w:val="00A828E4"/>
    <w:rsid w:val="00A85418"/>
    <w:rsid w:val="00A85430"/>
    <w:rsid w:val="00A87416"/>
    <w:rsid w:val="00A87D55"/>
    <w:rsid w:val="00A90D70"/>
    <w:rsid w:val="00A92838"/>
    <w:rsid w:val="00A928F2"/>
    <w:rsid w:val="00A92A1E"/>
    <w:rsid w:val="00A94E18"/>
    <w:rsid w:val="00A95366"/>
    <w:rsid w:val="00A95471"/>
    <w:rsid w:val="00A967FA"/>
    <w:rsid w:val="00AA0C55"/>
    <w:rsid w:val="00AA1FA9"/>
    <w:rsid w:val="00AA2C49"/>
    <w:rsid w:val="00AA40AC"/>
    <w:rsid w:val="00AA4ABF"/>
    <w:rsid w:val="00AA5009"/>
    <w:rsid w:val="00AA50E9"/>
    <w:rsid w:val="00AA6186"/>
    <w:rsid w:val="00AA6916"/>
    <w:rsid w:val="00AB01E2"/>
    <w:rsid w:val="00AB1B1F"/>
    <w:rsid w:val="00AB227A"/>
    <w:rsid w:val="00AB2504"/>
    <w:rsid w:val="00AB2E5D"/>
    <w:rsid w:val="00AB30DC"/>
    <w:rsid w:val="00AB349E"/>
    <w:rsid w:val="00AB35E2"/>
    <w:rsid w:val="00AB567C"/>
    <w:rsid w:val="00AB57E2"/>
    <w:rsid w:val="00AB6D0D"/>
    <w:rsid w:val="00AB7B6D"/>
    <w:rsid w:val="00AC07D5"/>
    <w:rsid w:val="00AC0D64"/>
    <w:rsid w:val="00AC1B2E"/>
    <w:rsid w:val="00AC35BD"/>
    <w:rsid w:val="00AC6995"/>
    <w:rsid w:val="00AC7167"/>
    <w:rsid w:val="00AC73FA"/>
    <w:rsid w:val="00AC7E8F"/>
    <w:rsid w:val="00AD0B13"/>
    <w:rsid w:val="00AD0D96"/>
    <w:rsid w:val="00AD2BA5"/>
    <w:rsid w:val="00AD2F6B"/>
    <w:rsid w:val="00AD3238"/>
    <w:rsid w:val="00AD3A1C"/>
    <w:rsid w:val="00AD3F81"/>
    <w:rsid w:val="00AD6E0C"/>
    <w:rsid w:val="00AD7AA8"/>
    <w:rsid w:val="00AD7C47"/>
    <w:rsid w:val="00AE1002"/>
    <w:rsid w:val="00AE151F"/>
    <w:rsid w:val="00AE3327"/>
    <w:rsid w:val="00AE3357"/>
    <w:rsid w:val="00AE3A5A"/>
    <w:rsid w:val="00AE48DD"/>
    <w:rsid w:val="00AE4CC5"/>
    <w:rsid w:val="00AF18B2"/>
    <w:rsid w:val="00AF3C0C"/>
    <w:rsid w:val="00AF5FB2"/>
    <w:rsid w:val="00AF6AC2"/>
    <w:rsid w:val="00AF741F"/>
    <w:rsid w:val="00AF79B6"/>
    <w:rsid w:val="00AF7B5A"/>
    <w:rsid w:val="00B00813"/>
    <w:rsid w:val="00B01621"/>
    <w:rsid w:val="00B040BF"/>
    <w:rsid w:val="00B04590"/>
    <w:rsid w:val="00B04BA9"/>
    <w:rsid w:val="00B05D87"/>
    <w:rsid w:val="00B0698A"/>
    <w:rsid w:val="00B07FE8"/>
    <w:rsid w:val="00B10B96"/>
    <w:rsid w:val="00B116C0"/>
    <w:rsid w:val="00B126B0"/>
    <w:rsid w:val="00B14627"/>
    <w:rsid w:val="00B151A7"/>
    <w:rsid w:val="00B16954"/>
    <w:rsid w:val="00B17B0F"/>
    <w:rsid w:val="00B17CE2"/>
    <w:rsid w:val="00B205A0"/>
    <w:rsid w:val="00B2065A"/>
    <w:rsid w:val="00B210F0"/>
    <w:rsid w:val="00B2148C"/>
    <w:rsid w:val="00B227FE"/>
    <w:rsid w:val="00B2286A"/>
    <w:rsid w:val="00B23B83"/>
    <w:rsid w:val="00B25481"/>
    <w:rsid w:val="00B2660B"/>
    <w:rsid w:val="00B26BBF"/>
    <w:rsid w:val="00B26CCB"/>
    <w:rsid w:val="00B27554"/>
    <w:rsid w:val="00B276B7"/>
    <w:rsid w:val="00B27D61"/>
    <w:rsid w:val="00B307BD"/>
    <w:rsid w:val="00B3081D"/>
    <w:rsid w:val="00B31257"/>
    <w:rsid w:val="00B31F0F"/>
    <w:rsid w:val="00B35BA6"/>
    <w:rsid w:val="00B369E0"/>
    <w:rsid w:val="00B3729A"/>
    <w:rsid w:val="00B4077A"/>
    <w:rsid w:val="00B4186D"/>
    <w:rsid w:val="00B4268C"/>
    <w:rsid w:val="00B4330A"/>
    <w:rsid w:val="00B436C2"/>
    <w:rsid w:val="00B45C78"/>
    <w:rsid w:val="00B46AD5"/>
    <w:rsid w:val="00B4717B"/>
    <w:rsid w:val="00B47A3C"/>
    <w:rsid w:val="00B50991"/>
    <w:rsid w:val="00B51CD7"/>
    <w:rsid w:val="00B532B7"/>
    <w:rsid w:val="00B552E3"/>
    <w:rsid w:val="00B556EE"/>
    <w:rsid w:val="00B557DA"/>
    <w:rsid w:val="00B55818"/>
    <w:rsid w:val="00B55847"/>
    <w:rsid w:val="00B55E9F"/>
    <w:rsid w:val="00B56473"/>
    <w:rsid w:val="00B56A94"/>
    <w:rsid w:val="00B57341"/>
    <w:rsid w:val="00B6021D"/>
    <w:rsid w:val="00B63835"/>
    <w:rsid w:val="00B63A0F"/>
    <w:rsid w:val="00B6656E"/>
    <w:rsid w:val="00B710A0"/>
    <w:rsid w:val="00B716E0"/>
    <w:rsid w:val="00B72A0C"/>
    <w:rsid w:val="00B76F27"/>
    <w:rsid w:val="00B77B8E"/>
    <w:rsid w:val="00B81260"/>
    <w:rsid w:val="00B81447"/>
    <w:rsid w:val="00B831B3"/>
    <w:rsid w:val="00B8331F"/>
    <w:rsid w:val="00B83384"/>
    <w:rsid w:val="00B83573"/>
    <w:rsid w:val="00B84B4A"/>
    <w:rsid w:val="00B85B4C"/>
    <w:rsid w:val="00B86C68"/>
    <w:rsid w:val="00B962FF"/>
    <w:rsid w:val="00BA0B77"/>
    <w:rsid w:val="00BA0C34"/>
    <w:rsid w:val="00BA0DB2"/>
    <w:rsid w:val="00BA255B"/>
    <w:rsid w:val="00BA5AC9"/>
    <w:rsid w:val="00BA5D7C"/>
    <w:rsid w:val="00BB0B04"/>
    <w:rsid w:val="00BB293C"/>
    <w:rsid w:val="00BB456F"/>
    <w:rsid w:val="00BB4EBE"/>
    <w:rsid w:val="00BB78EA"/>
    <w:rsid w:val="00BC0166"/>
    <w:rsid w:val="00BC0BE5"/>
    <w:rsid w:val="00BC19B8"/>
    <w:rsid w:val="00BC2BC6"/>
    <w:rsid w:val="00BC3822"/>
    <w:rsid w:val="00BC3930"/>
    <w:rsid w:val="00BC6894"/>
    <w:rsid w:val="00BC6D61"/>
    <w:rsid w:val="00BD0CE7"/>
    <w:rsid w:val="00BD1B5E"/>
    <w:rsid w:val="00BD329A"/>
    <w:rsid w:val="00BD5553"/>
    <w:rsid w:val="00BD565F"/>
    <w:rsid w:val="00BD7D90"/>
    <w:rsid w:val="00BE2BAE"/>
    <w:rsid w:val="00BE31EA"/>
    <w:rsid w:val="00BE6437"/>
    <w:rsid w:val="00BE6A72"/>
    <w:rsid w:val="00BE7B65"/>
    <w:rsid w:val="00BF0379"/>
    <w:rsid w:val="00BF230E"/>
    <w:rsid w:val="00BF2802"/>
    <w:rsid w:val="00BF2FA6"/>
    <w:rsid w:val="00BF317E"/>
    <w:rsid w:val="00BF3CC3"/>
    <w:rsid w:val="00BF68CA"/>
    <w:rsid w:val="00BF69FC"/>
    <w:rsid w:val="00BF6A4E"/>
    <w:rsid w:val="00BF7CDC"/>
    <w:rsid w:val="00C00170"/>
    <w:rsid w:val="00C01C0E"/>
    <w:rsid w:val="00C0204E"/>
    <w:rsid w:val="00C03D41"/>
    <w:rsid w:val="00C0687A"/>
    <w:rsid w:val="00C0733C"/>
    <w:rsid w:val="00C106E7"/>
    <w:rsid w:val="00C10C19"/>
    <w:rsid w:val="00C13128"/>
    <w:rsid w:val="00C13510"/>
    <w:rsid w:val="00C14850"/>
    <w:rsid w:val="00C14E67"/>
    <w:rsid w:val="00C167E9"/>
    <w:rsid w:val="00C16D85"/>
    <w:rsid w:val="00C21013"/>
    <w:rsid w:val="00C2172C"/>
    <w:rsid w:val="00C22525"/>
    <w:rsid w:val="00C22705"/>
    <w:rsid w:val="00C228E8"/>
    <w:rsid w:val="00C2324A"/>
    <w:rsid w:val="00C244CB"/>
    <w:rsid w:val="00C2688E"/>
    <w:rsid w:val="00C26BCE"/>
    <w:rsid w:val="00C270DC"/>
    <w:rsid w:val="00C30C28"/>
    <w:rsid w:val="00C317BC"/>
    <w:rsid w:val="00C31EC8"/>
    <w:rsid w:val="00C333E0"/>
    <w:rsid w:val="00C3523B"/>
    <w:rsid w:val="00C355CC"/>
    <w:rsid w:val="00C35878"/>
    <w:rsid w:val="00C372D0"/>
    <w:rsid w:val="00C379B3"/>
    <w:rsid w:val="00C40462"/>
    <w:rsid w:val="00C40BE0"/>
    <w:rsid w:val="00C4203B"/>
    <w:rsid w:val="00C470EC"/>
    <w:rsid w:val="00C5071B"/>
    <w:rsid w:val="00C50E35"/>
    <w:rsid w:val="00C50E51"/>
    <w:rsid w:val="00C5239F"/>
    <w:rsid w:val="00C53AF9"/>
    <w:rsid w:val="00C54440"/>
    <w:rsid w:val="00C54E55"/>
    <w:rsid w:val="00C60816"/>
    <w:rsid w:val="00C61BBA"/>
    <w:rsid w:val="00C62ECC"/>
    <w:rsid w:val="00C63E8D"/>
    <w:rsid w:val="00C645D0"/>
    <w:rsid w:val="00C67843"/>
    <w:rsid w:val="00C67E82"/>
    <w:rsid w:val="00C70031"/>
    <w:rsid w:val="00C703DC"/>
    <w:rsid w:val="00C70629"/>
    <w:rsid w:val="00C70CB9"/>
    <w:rsid w:val="00C713F9"/>
    <w:rsid w:val="00C71912"/>
    <w:rsid w:val="00C72AE7"/>
    <w:rsid w:val="00C72FA9"/>
    <w:rsid w:val="00C73569"/>
    <w:rsid w:val="00C74DB6"/>
    <w:rsid w:val="00C7588F"/>
    <w:rsid w:val="00C75C02"/>
    <w:rsid w:val="00C771BF"/>
    <w:rsid w:val="00C77DEE"/>
    <w:rsid w:val="00C802FB"/>
    <w:rsid w:val="00C8063D"/>
    <w:rsid w:val="00C82F9F"/>
    <w:rsid w:val="00C86566"/>
    <w:rsid w:val="00C907A1"/>
    <w:rsid w:val="00C90C7B"/>
    <w:rsid w:val="00C914E4"/>
    <w:rsid w:val="00C94BF8"/>
    <w:rsid w:val="00C950ED"/>
    <w:rsid w:val="00C95167"/>
    <w:rsid w:val="00C96819"/>
    <w:rsid w:val="00C96EB2"/>
    <w:rsid w:val="00CA04B9"/>
    <w:rsid w:val="00CA2A6D"/>
    <w:rsid w:val="00CA3686"/>
    <w:rsid w:val="00CA3760"/>
    <w:rsid w:val="00CA405C"/>
    <w:rsid w:val="00CA4934"/>
    <w:rsid w:val="00CA49C5"/>
    <w:rsid w:val="00CA5A25"/>
    <w:rsid w:val="00CA6330"/>
    <w:rsid w:val="00CA727D"/>
    <w:rsid w:val="00CA7A25"/>
    <w:rsid w:val="00CB082E"/>
    <w:rsid w:val="00CB0ECB"/>
    <w:rsid w:val="00CB2FF5"/>
    <w:rsid w:val="00CB433E"/>
    <w:rsid w:val="00CB4A6C"/>
    <w:rsid w:val="00CB6C6E"/>
    <w:rsid w:val="00CB7693"/>
    <w:rsid w:val="00CC01B1"/>
    <w:rsid w:val="00CC12D7"/>
    <w:rsid w:val="00CC1831"/>
    <w:rsid w:val="00CC4195"/>
    <w:rsid w:val="00CC54C7"/>
    <w:rsid w:val="00CC56B5"/>
    <w:rsid w:val="00CC5C4B"/>
    <w:rsid w:val="00CC6364"/>
    <w:rsid w:val="00CC64A5"/>
    <w:rsid w:val="00CD24B3"/>
    <w:rsid w:val="00CD31D8"/>
    <w:rsid w:val="00CD3470"/>
    <w:rsid w:val="00CD457F"/>
    <w:rsid w:val="00CD5F92"/>
    <w:rsid w:val="00CD64C8"/>
    <w:rsid w:val="00CD731B"/>
    <w:rsid w:val="00CD7F3E"/>
    <w:rsid w:val="00CE0CE9"/>
    <w:rsid w:val="00CE1659"/>
    <w:rsid w:val="00CE24DF"/>
    <w:rsid w:val="00CE2985"/>
    <w:rsid w:val="00CE2DBB"/>
    <w:rsid w:val="00CE37A8"/>
    <w:rsid w:val="00CE5D34"/>
    <w:rsid w:val="00CE709D"/>
    <w:rsid w:val="00CF48D4"/>
    <w:rsid w:val="00CF7B7C"/>
    <w:rsid w:val="00D0022C"/>
    <w:rsid w:val="00D00DCF"/>
    <w:rsid w:val="00D04AD2"/>
    <w:rsid w:val="00D04CAA"/>
    <w:rsid w:val="00D05C9B"/>
    <w:rsid w:val="00D10DE9"/>
    <w:rsid w:val="00D10F9E"/>
    <w:rsid w:val="00D13161"/>
    <w:rsid w:val="00D14DBC"/>
    <w:rsid w:val="00D157D5"/>
    <w:rsid w:val="00D16C9A"/>
    <w:rsid w:val="00D16CC9"/>
    <w:rsid w:val="00D17588"/>
    <w:rsid w:val="00D178AA"/>
    <w:rsid w:val="00D201BA"/>
    <w:rsid w:val="00D21657"/>
    <w:rsid w:val="00D21669"/>
    <w:rsid w:val="00D22AE5"/>
    <w:rsid w:val="00D2370F"/>
    <w:rsid w:val="00D23DE6"/>
    <w:rsid w:val="00D25F88"/>
    <w:rsid w:val="00D264AB"/>
    <w:rsid w:val="00D307EE"/>
    <w:rsid w:val="00D32524"/>
    <w:rsid w:val="00D34850"/>
    <w:rsid w:val="00D3575D"/>
    <w:rsid w:val="00D36DFD"/>
    <w:rsid w:val="00D37127"/>
    <w:rsid w:val="00D378E9"/>
    <w:rsid w:val="00D40593"/>
    <w:rsid w:val="00D42970"/>
    <w:rsid w:val="00D4334D"/>
    <w:rsid w:val="00D46E69"/>
    <w:rsid w:val="00D50004"/>
    <w:rsid w:val="00D5081F"/>
    <w:rsid w:val="00D51595"/>
    <w:rsid w:val="00D523F5"/>
    <w:rsid w:val="00D52FF1"/>
    <w:rsid w:val="00D542B3"/>
    <w:rsid w:val="00D55772"/>
    <w:rsid w:val="00D55DE1"/>
    <w:rsid w:val="00D56AA9"/>
    <w:rsid w:val="00D57489"/>
    <w:rsid w:val="00D5770A"/>
    <w:rsid w:val="00D62C3D"/>
    <w:rsid w:val="00D634C0"/>
    <w:rsid w:val="00D64074"/>
    <w:rsid w:val="00D64C2A"/>
    <w:rsid w:val="00D65674"/>
    <w:rsid w:val="00D66D1B"/>
    <w:rsid w:val="00D677A4"/>
    <w:rsid w:val="00D67B1A"/>
    <w:rsid w:val="00D71270"/>
    <w:rsid w:val="00D712A2"/>
    <w:rsid w:val="00D72F82"/>
    <w:rsid w:val="00D74743"/>
    <w:rsid w:val="00D74933"/>
    <w:rsid w:val="00D753FB"/>
    <w:rsid w:val="00D76975"/>
    <w:rsid w:val="00D81D3B"/>
    <w:rsid w:val="00D82763"/>
    <w:rsid w:val="00D83C07"/>
    <w:rsid w:val="00D84088"/>
    <w:rsid w:val="00D85723"/>
    <w:rsid w:val="00D85E83"/>
    <w:rsid w:val="00D879BD"/>
    <w:rsid w:val="00D87D61"/>
    <w:rsid w:val="00D921B3"/>
    <w:rsid w:val="00D926D4"/>
    <w:rsid w:val="00D930B6"/>
    <w:rsid w:val="00D9329D"/>
    <w:rsid w:val="00D932B3"/>
    <w:rsid w:val="00D94132"/>
    <w:rsid w:val="00D94F4C"/>
    <w:rsid w:val="00D97F2A"/>
    <w:rsid w:val="00DA0A2E"/>
    <w:rsid w:val="00DA1D10"/>
    <w:rsid w:val="00DA1E4D"/>
    <w:rsid w:val="00DA1EA4"/>
    <w:rsid w:val="00DA1F5B"/>
    <w:rsid w:val="00DA242D"/>
    <w:rsid w:val="00DA3CF4"/>
    <w:rsid w:val="00DA5779"/>
    <w:rsid w:val="00DA57EB"/>
    <w:rsid w:val="00DA7CDF"/>
    <w:rsid w:val="00DB01CD"/>
    <w:rsid w:val="00DB2AE6"/>
    <w:rsid w:val="00DB3469"/>
    <w:rsid w:val="00DB4CEC"/>
    <w:rsid w:val="00DB61B7"/>
    <w:rsid w:val="00DB6F12"/>
    <w:rsid w:val="00DC165A"/>
    <w:rsid w:val="00DC1949"/>
    <w:rsid w:val="00DC2B2C"/>
    <w:rsid w:val="00DC40DF"/>
    <w:rsid w:val="00DC530C"/>
    <w:rsid w:val="00DD50EC"/>
    <w:rsid w:val="00DD535E"/>
    <w:rsid w:val="00DD5CAB"/>
    <w:rsid w:val="00DD61AE"/>
    <w:rsid w:val="00DE44DF"/>
    <w:rsid w:val="00DF08FE"/>
    <w:rsid w:val="00DF1159"/>
    <w:rsid w:val="00DF1C80"/>
    <w:rsid w:val="00DF3291"/>
    <w:rsid w:val="00DF4E81"/>
    <w:rsid w:val="00DF5EBB"/>
    <w:rsid w:val="00DF6EDA"/>
    <w:rsid w:val="00E00154"/>
    <w:rsid w:val="00E007FA"/>
    <w:rsid w:val="00E01D12"/>
    <w:rsid w:val="00E01D1E"/>
    <w:rsid w:val="00E02356"/>
    <w:rsid w:val="00E02D8C"/>
    <w:rsid w:val="00E02F00"/>
    <w:rsid w:val="00E03CD0"/>
    <w:rsid w:val="00E03F1E"/>
    <w:rsid w:val="00E05E0C"/>
    <w:rsid w:val="00E061FB"/>
    <w:rsid w:val="00E107F5"/>
    <w:rsid w:val="00E1249B"/>
    <w:rsid w:val="00E134C0"/>
    <w:rsid w:val="00E1383D"/>
    <w:rsid w:val="00E147C6"/>
    <w:rsid w:val="00E14953"/>
    <w:rsid w:val="00E14F8C"/>
    <w:rsid w:val="00E15F29"/>
    <w:rsid w:val="00E174A1"/>
    <w:rsid w:val="00E17618"/>
    <w:rsid w:val="00E20F51"/>
    <w:rsid w:val="00E229F1"/>
    <w:rsid w:val="00E232C6"/>
    <w:rsid w:val="00E252B5"/>
    <w:rsid w:val="00E26642"/>
    <w:rsid w:val="00E30400"/>
    <w:rsid w:val="00E3119C"/>
    <w:rsid w:val="00E3134B"/>
    <w:rsid w:val="00E32114"/>
    <w:rsid w:val="00E321A6"/>
    <w:rsid w:val="00E32DAF"/>
    <w:rsid w:val="00E33857"/>
    <w:rsid w:val="00E33CFA"/>
    <w:rsid w:val="00E34377"/>
    <w:rsid w:val="00E343FB"/>
    <w:rsid w:val="00E34C36"/>
    <w:rsid w:val="00E34E73"/>
    <w:rsid w:val="00E36142"/>
    <w:rsid w:val="00E371CA"/>
    <w:rsid w:val="00E40077"/>
    <w:rsid w:val="00E424BE"/>
    <w:rsid w:val="00E47875"/>
    <w:rsid w:val="00E5148A"/>
    <w:rsid w:val="00E524F1"/>
    <w:rsid w:val="00E52560"/>
    <w:rsid w:val="00E5295A"/>
    <w:rsid w:val="00E52FA4"/>
    <w:rsid w:val="00E54565"/>
    <w:rsid w:val="00E548D3"/>
    <w:rsid w:val="00E5503E"/>
    <w:rsid w:val="00E55F2E"/>
    <w:rsid w:val="00E56C9E"/>
    <w:rsid w:val="00E57189"/>
    <w:rsid w:val="00E619C0"/>
    <w:rsid w:val="00E625D3"/>
    <w:rsid w:val="00E63013"/>
    <w:rsid w:val="00E630E1"/>
    <w:rsid w:val="00E63C74"/>
    <w:rsid w:val="00E654BB"/>
    <w:rsid w:val="00E660D3"/>
    <w:rsid w:val="00E673FC"/>
    <w:rsid w:val="00E7001F"/>
    <w:rsid w:val="00E709AF"/>
    <w:rsid w:val="00E71C53"/>
    <w:rsid w:val="00E730FE"/>
    <w:rsid w:val="00E73546"/>
    <w:rsid w:val="00E73986"/>
    <w:rsid w:val="00E73E5B"/>
    <w:rsid w:val="00E7436C"/>
    <w:rsid w:val="00E754DB"/>
    <w:rsid w:val="00E75DEE"/>
    <w:rsid w:val="00E77B09"/>
    <w:rsid w:val="00E77CA1"/>
    <w:rsid w:val="00E77D21"/>
    <w:rsid w:val="00E8001E"/>
    <w:rsid w:val="00E80031"/>
    <w:rsid w:val="00E81D6C"/>
    <w:rsid w:val="00E8276D"/>
    <w:rsid w:val="00E82ABB"/>
    <w:rsid w:val="00E847B1"/>
    <w:rsid w:val="00E854F2"/>
    <w:rsid w:val="00E855CA"/>
    <w:rsid w:val="00E911B1"/>
    <w:rsid w:val="00E91B5E"/>
    <w:rsid w:val="00E91D3F"/>
    <w:rsid w:val="00E94FD7"/>
    <w:rsid w:val="00E97F2E"/>
    <w:rsid w:val="00EA0C40"/>
    <w:rsid w:val="00EA1D0A"/>
    <w:rsid w:val="00EA1EFB"/>
    <w:rsid w:val="00EA279B"/>
    <w:rsid w:val="00EA3755"/>
    <w:rsid w:val="00EA3E49"/>
    <w:rsid w:val="00EA4C4D"/>
    <w:rsid w:val="00EA4E7D"/>
    <w:rsid w:val="00EA4FEC"/>
    <w:rsid w:val="00EA5E61"/>
    <w:rsid w:val="00EA626B"/>
    <w:rsid w:val="00EA6AFA"/>
    <w:rsid w:val="00EB1804"/>
    <w:rsid w:val="00EB1A02"/>
    <w:rsid w:val="00EB2F52"/>
    <w:rsid w:val="00EB416C"/>
    <w:rsid w:val="00EB5C10"/>
    <w:rsid w:val="00EB6849"/>
    <w:rsid w:val="00EB74A0"/>
    <w:rsid w:val="00EB7565"/>
    <w:rsid w:val="00EC08E9"/>
    <w:rsid w:val="00EC0DE4"/>
    <w:rsid w:val="00EC0F48"/>
    <w:rsid w:val="00EC26B8"/>
    <w:rsid w:val="00EC275A"/>
    <w:rsid w:val="00EC396A"/>
    <w:rsid w:val="00EC42A3"/>
    <w:rsid w:val="00EC6311"/>
    <w:rsid w:val="00EC647F"/>
    <w:rsid w:val="00EC71D6"/>
    <w:rsid w:val="00ED1205"/>
    <w:rsid w:val="00ED1D32"/>
    <w:rsid w:val="00ED2B00"/>
    <w:rsid w:val="00ED3305"/>
    <w:rsid w:val="00ED37F6"/>
    <w:rsid w:val="00ED3CD9"/>
    <w:rsid w:val="00ED43EE"/>
    <w:rsid w:val="00ED52AB"/>
    <w:rsid w:val="00ED560D"/>
    <w:rsid w:val="00ED6428"/>
    <w:rsid w:val="00ED7B04"/>
    <w:rsid w:val="00EE0415"/>
    <w:rsid w:val="00EE1308"/>
    <w:rsid w:val="00EE1465"/>
    <w:rsid w:val="00EE5050"/>
    <w:rsid w:val="00EE743F"/>
    <w:rsid w:val="00EE74EF"/>
    <w:rsid w:val="00EF1501"/>
    <w:rsid w:val="00EF2605"/>
    <w:rsid w:val="00EF412E"/>
    <w:rsid w:val="00EF4AA2"/>
    <w:rsid w:val="00EF4F75"/>
    <w:rsid w:val="00EF70EA"/>
    <w:rsid w:val="00EF7E13"/>
    <w:rsid w:val="00F00386"/>
    <w:rsid w:val="00F00AA9"/>
    <w:rsid w:val="00F01EB3"/>
    <w:rsid w:val="00F02210"/>
    <w:rsid w:val="00F031A1"/>
    <w:rsid w:val="00F0459D"/>
    <w:rsid w:val="00F0472A"/>
    <w:rsid w:val="00F04B8C"/>
    <w:rsid w:val="00F05A5C"/>
    <w:rsid w:val="00F1122B"/>
    <w:rsid w:val="00F11348"/>
    <w:rsid w:val="00F11672"/>
    <w:rsid w:val="00F116B4"/>
    <w:rsid w:val="00F12427"/>
    <w:rsid w:val="00F13702"/>
    <w:rsid w:val="00F144F9"/>
    <w:rsid w:val="00F15DD0"/>
    <w:rsid w:val="00F174B0"/>
    <w:rsid w:val="00F20542"/>
    <w:rsid w:val="00F20588"/>
    <w:rsid w:val="00F20BD7"/>
    <w:rsid w:val="00F22738"/>
    <w:rsid w:val="00F22EFE"/>
    <w:rsid w:val="00F238D6"/>
    <w:rsid w:val="00F256F6"/>
    <w:rsid w:val="00F26073"/>
    <w:rsid w:val="00F26AB2"/>
    <w:rsid w:val="00F27337"/>
    <w:rsid w:val="00F27810"/>
    <w:rsid w:val="00F308A6"/>
    <w:rsid w:val="00F30F6D"/>
    <w:rsid w:val="00F31C01"/>
    <w:rsid w:val="00F31CE6"/>
    <w:rsid w:val="00F32586"/>
    <w:rsid w:val="00F3296A"/>
    <w:rsid w:val="00F338C2"/>
    <w:rsid w:val="00F379E2"/>
    <w:rsid w:val="00F37F86"/>
    <w:rsid w:val="00F4023E"/>
    <w:rsid w:val="00F40C1A"/>
    <w:rsid w:val="00F410DF"/>
    <w:rsid w:val="00F42202"/>
    <w:rsid w:val="00F4278A"/>
    <w:rsid w:val="00F43280"/>
    <w:rsid w:val="00F43458"/>
    <w:rsid w:val="00F43938"/>
    <w:rsid w:val="00F44818"/>
    <w:rsid w:val="00F44ADA"/>
    <w:rsid w:val="00F4602F"/>
    <w:rsid w:val="00F500D5"/>
    <w:rsid w:val="00F51149"/>
    <w:rsid w:val="00F5178D"/>
    <w:rsid w:val="00F51AEF"/>
    <w:rsid w:val="00F521A2"/>
    <w:rsid w:val="00F522D8"/>
    <w:rsid w:val="00F54742"/>
    <w:rsid w:val="00F54899"/>
    <w:rsid w:val="00F552EF"/>
    <w:rsid w:val="00F56AFF"/>
    <w:rsid w:val="00F57DC5"/>
    <w:rsid w:val="00F62FA0"/>
    <w:rsid w:val="00F635A4"/>
    <w:rsid w:val="00F6442D"/>
    <w:rsid w:val="00F65C1E"/>
    <w:rsid w:val="00F6644A"/>
    <w:rsid w:val="00F66999"/>
    <w:rsid w:val="00F7019D"/>
    <w:rsid w:val="00F70573"/>
    <w:rsid w:val="00F71B39"/>
    <w:rsid w:val="00F71BAA"/>
    <w:rsid w:val="00F725DF"/>
    <w:rsid w:val="00F72F14"/>
    <w:rsid w:val="00F73E20"/>
    <w:rsid w:val="00F74C39"/>
    <w:rsid w:val="00F7581D"/>
    <w:rsid w:val="00F7660D"/>
    <w:rsid w:val="00F77014"/>
    <w:rsid w:val="00F81FE5"/>
    <w:rsid w:val="00F832B2"/>
    <w:rsid w:val="00F83B42"/>
    <w:rsid w:val="00F83E3F"/>
    <w:rsid w:val="00F84532"/>
    <w:rsid w:val="00F85872"/>
    <w:rsid w:val="00F85F7B"/>
    <w:rsid w:val="00F865EB"/>
    <w:rsid w:val="00F9252F"/>
    <w:rsid w:val="00F933A3"/>
    <w:rsid w:val="00F9363B"/>
    <w:rsid w:val="00F978B3"/>
    <w:rsid w:val="00F97C7F"/>
    <w:rsid w:val="00FA11BB"/>
    <w:rsid w:val="00FA2C64"/>
    <w:rsid w:val="00FA32B4"/>
    <w:rsid w:val="00FA3921"/>
    <w:rsid w:val="00FA3E0E"/>
    <w:rsid w:val="00FA669E"/>
    <w:rsid w:val="00FB1424"/>
    <w:rsid w:val="00FB18DC"/>
    <w:rsid w:val="00FB2449"/>
    <w:rsid w:val="00FB2540"/>
    <w:rsid w:val="00FB50D7"/>
    <w:rsid w:val="00FC086F"/>
    <w:rsid w:val="00FC0BC0"/>
    <w:rsid w:val="00FC287C"/>
    <w:rsid w:val="00FC5ED2"/>
    <w:rsid w:val="00FC6639"/>
    <w:rsid w:val="00FC7ADF"/>
    <w:rsid w:val="00FC7C47"/>
    <w:rsid w:val="00FD4C2B"/>
    <w:rsid w:val="00FE3ABA"/>
    <w:rsid w:val="00FE64F2"/>
    <w:rsid w:val="00FF24C4"/>
    <w:rsid w:val="00FF2D01"/>
    <w:rsid w:val="00FF354D"/>
    <w:rsid w:val="00FF3BE9"/>
    <w:rsid w:val="00FF42BF"/>
    <w:rsid w:val="00FF670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3D34C"/>
  <w15:chartTrackingRefBased/>
  <w15:docId w15:val="{0ECEF6C0-8080-49B9-B71F-2C829D6C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5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F0221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2A1"/>
    <w:rPr>
      <w:sz w:val="18"/>
      <w:szCs w:val="18"/>
    </w:rPr>
  </w:style>
  <w:style w:type="character" w:styleId="a7">
    <w:name w:val="Hyperlink"/>
    <w:basedOn w:val="a0"/>
    <w:uiPriority w:val="99"/>
    <w:unhideWhenUsed/>
    <w:rsid w:val="001B4F9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B4F9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A405C"/>
    <w:pPr>
      <w:ind w:firstLineChars="200" w:firstLine="420"/>
    </w:pPr>
  </w:style>
  <w:style w:type="paragraph" w:customStyle="1" w:styleId="005">
    <w:name w:val="005正文"/>
    <w:basedOn w:val="a"/>
    <w:link w:val="005Char"/>
    <w:rsid w:val="00556184"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sid w:val="00556184"/>
    <w:rPr>
      <w:rFonts w:ascii="Times New Roman" w:eastAsia="宋体" w:hAnsi="Times New Roman" w:cs="Times New Roman"/>
      <w:sz w:val="24"/>
    </w:rPr>
  </w:style>
  <w:style w:type="character" w:customStyle="1" w:styleId="20">
    <w:name w:val="标题 2 字符"/>
    <w:basedOn w:val="a0"/>
    <w:link w:val="2"/>
    <w:uiPriority w:val="9"/>
    <w:rsid w:val="00F02210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4C3C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934CD7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978B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978B3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018B6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9018B6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9018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18B6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9018B6"/>
    <w:rPr>
      <w:b/>
      <w:bCs/>
    </w:rPr>
  </w:style>
  <w:style w:type="paragraph" w:styleId="af3">
    <w:name w:val="Body Text"/>
    <w:basedOn w:val="a"/>
    <w:link w:val="af4"/>
    <w:uiPriority w:val="1"/>
    <w:qFormat/>
    <w:rsid w:val="00BD1B5E"/>
    <w:pPr>
      <w:ind w:left="120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f4">
    <w:name w:val="正文文本 字符"/>
    <w:basedOn w:val="a0"/>
    <w:link w:val="af3"/>
    <w:uiPriority w:val="1"/>
    <w:rsid w:val="00BD1B5E"/>
    <w:rPr>
      <w:rFonts w:ascii="宋体" w:eastAsia="宋体" w:hAnsi="宋体"/>
      <w:kern w:val="0"/>
      <w:sz w:val="24"/>
      <w:szCs w:val="24"/>
      <w:lang w:eastAsia="en-US"/>
    </w:rPr>
  </w:style>
  <w:style w:type="character" w:styleId="af5">
    <w:name w:val="Strong"/>
    <w:basedOn w:val="a0"/>
    <w:uiPriority w:val="22"/>
    <w:qFormat/>
    <w:rsid w:val="001C2BC1"/>
    <w:rPr>
      <w:b/>
      <w:bCs/>
    </w:rPr>
  </w:style>
  <w:style w:type="paragraph" w:styleId="af6">
    <w:name w:val="No Spacing"/>
    <w:uiPriority w:val="1"/>
    <w:qFormat/>
    <w:rsid w:val="00432D5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">
    <w:name w:val="Default"/>
    <w:rsid w:val="00B47A3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129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812950"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944C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9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551BD9A001E479E0B05418F17870A" ma:contentTypeVersion="0" ma:contentTypeDescription="Create a new document." ma:contentTypeScope="" ma:versionID="fd94b2a1062c9f0cca66d2512e721b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f56e70525d15e42a9011006857c4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147F-B767-4D7D-8BC3-2F0E5AFB3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7338C9-2F8C-4726-9163-7AD2D1AC1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EFFCAD-6D70-4D92-9F41-49F426FD8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67AEE-AC11-42F8-8F6C-800D179F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1062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Fyt</dc:creator>
  <cp:keywords/>
  <dc:description/>
  <cp:lastModifiedBy>陆晓昕</cp:lastModifiedBy>
  <cp:revision>9</cp:revision>
  <dcterms:created xsi:type="dcterms:W3CDTF">2024-08-22T05:59:00Z</dcterms:created>
  <dcterms:modified xsi:type="dcterms:W3CDTF">2024-08-26T09:43:00Z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0x0101006AB551BD9A001E479E0B05418F17870A</vt:lpwstr>
  </property>
</Properties>
</file>