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bCs/>
          <w:sz w:val="24"/>
          <w:lang w:val="en-US" w:eastAsia="zh-CN"/>
        </w:rPr>
      </w:pPr>
      <w:r>
        <w:rPr>
          <w:rFonts w:hint="eastAsia" w:ascii="宋体" w:hAnsi="宋体"/>
          <w:bCs/>
          <w:sz w:val="24"/>
        </w:rPr>
        <w:t>证券</w:t>
      </w:r>
      <w:r>
        <w:rPr>
          <w:rFonts w:ascii="宋体" w:hAnsi="宋体"/>
          <w:bCs/>
          <w:sz w:val="24"/>
        </w:rPr>
        <w:t>代码：</w:t>
      </w:r>
      <w:r>
        <w:rPr>
          <w:rFonts w:hint="eastAsia" w:ascii="宋体" w:hAnsi="宋体"/>
          <w:bCs/>
          <w:sz w:val="24"/>
        </w:rPr>
        <w:t>688517</w:t>
      </w:r>
      <w:r>
        <w:rPr>
          <w:bCs/>
          <w:sz w:val="24"/>
        </w:rPr>
        <w:t xml:space="preserve">    </w:t>
      </w:r>
      <w:r>
        <w:rPr>
          <w:rFonts w:ascii="宋体" w:hAnsi="宋体"/>
          <w:bCs/>
          <w:sz w:val="24"/>
        </w:rPr>
        <w:t xml:space="preserve">     </w:t>
      </w:r>
      <w:r>
        <w:rPr>
          <w:rFonts w:hint="eastAsia"/>
          <w:bCs/>
          <w:sz w:val="24"/>
        </w:rPr>
        <w:t>证券</w:t>
      </w:r>
      <w:r>
        <w:rPr>
          <w:rFonts w:hint="eastAsia" w:ascii="宋体" w:hAnsi="宋体"/>
          <w:bCs/>
          <w:sz w:val="24"/>
        </w:rPr>
        <w:t>简称：金冠电气</w:t>
      </w:r>
      <w:r>
        <w:rPr>
          <w:bCs/>
          <w:sz w:val="24"/>
        </w:rPr>
        <w:t xml:space="preserve">    </w:t>
      </w:r>
      <w:r>
        <w:rPr>
          <w:rFonts w:ascii="宋体" w:hAnsi="宋体"/>
          <w:bCs/>
          <w:sz w:val="24"/>
        </w:rPr>
        <w:t xml:space="preserve">     </w:t>
      </w:r>
      <w:r>
        <w:rPr>
          <w:rFonts w:hint="eastAsia" w:ascii="宋体" w:hAnsi="宋体"/>
          <w:bCs/>
          <w:sz w:val="24"/>
        </w:rPr>
        <w:t>编号：202</w:t>
      </w:r>
      <w:r>
        <w:rPr>
          <w:rFonts w:hint="eastAsia" w:ascii="宋体" w:hAnsi="宋体"/>
          <w:bCs/>
          <w:sz w:val="24"/>
          <w:lang w:val="en-US" w:eastAsia="zh-CN"/>
        </w:rPr>
        <w:t>4</w:t>
      </w:r>
      <w:r>
        <w:rPr>
          <w:rFonts w:hint="eastAsia" w:ascii="宋体" w:hAnsi="宋体"/>
          <w:bCs/>
          <w:sz w:val="24"/>
        </w:rPr>
        <w:t>-0</w:t>
      </w:r>
      <w:r>
        <w:rPr>
          <w:rFonts w:hint="eastAsia" w:ascii="宋体" w:hAnsi="宋体"/>
          <w:bCs/>
          <w:sz w:val="24"/>
          <w:lang w:val="en-US" w:eastAsia="zh-CN"/>
        </w:rPr>
        <w:t>11</w:t>
      </w:r>
    </w:p>
    <w:p>
      <w:pPr>
        <w:rPr>
          <w:rFonts w:hint="default" w:ascii="宋体" w:hAnsi="宋体" w:eastAsia="宋体"/>
          <w:bCs/>
          <w:sz w:val="24"/>
          <w:lang w:val="en-US" w:eastAsia="zh-CN"/>
        </w:rPr>
      </w:pPr>
    </w:p>
    <w:p>
      <w:pPr>
        <w:rPr>
          <w:rFonts w:ascii="宋体" w:hAnsi="宋体"/>
          <w:bCs/>
          <w:sz w:val="24"/>
        </w:rPr>
      </w:pPr>
    </w:p>
    <w:p>
      <w:pPr>
        <w:autoSpaceDE w:val="0"/>
        <w:autoSpaceDN w:val="0"/>
        <w:adjustRightInd w:val="0"/>
        <w:spacing w:before="312" w:beforeLines="100"/>
        <w:jc w:val="center"/>
        <w:rPr>
          <w:rFonts w:ascii="黑体" w:eastAsia="黑体" w:cs="黑体"/>
          <w:color w:val="000000"/>
          <w:kern w:val="0"/>
          <w:sz w:val="32"/>
          <w:szCs w:val="28"/>
        </w:rPr>
      </w:pPr>
      <w:r>
        <w:rPr>
          <w:rFonts w:hint="eastAsia" w:ascii="黑体" w:eastAsia="黑体" w:cs="黑体"/>
          <w:color w:val="000000"/>
          <w:kern w:val="0"/>
          <w:sz w:val="32"/>
          <w:szCs w:val="28"/>
        </w:rPr>
        <w:t>金冠电气股份有限公司</w:t>
      </w:r>
    </w:p>
    <w:p>
      <w:pPr>
        <w:autoSpaceDE w:val="0"/>
        <w:autoSpaceDN w:val="0"/>
        <w:adjustRightInd w:val="0"/>
        <w:spacing w:after="312" w:afterLines="100"/>
        <w:jc w:val="center"/>
        <w:rPr>
          <w:rFonts w:ascii="黑体" w:eastAsia="黑体" w:cs="黑体"/>
          <w:color w:val="000000"/>
          <w:kern w:val="0"/>
          <w:sz w:val="32"/>
          <w:szCs w:val="28"/>
        </w:rPr>
      </w:pPr>
      <w:r>
        <w:rPr>
          <w:rFonts w:hint="eastAsia" w:ascii="黑体" w:eastAsia="黑体" w:cs="黑体"/>
          <w:color w:val="000000"/>
          <w:kern w:val="0"/>
          <w:sz w:val="32"/>
          <w:szCs w:val="28"/>
        </w:rPr>
        <w:t>投资者关系活动记录汇总表</w:t>
      </w:r>
    </w:p>
    <w:tbl>
      <w:tblPr>
        <w:tblStyle w:val="9"/>
        <w:tblW w:w="8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投资者关系活动类别</w:t>
            </w:r>
          </w:p>
        </w:tc>
        <w:tc>
          <w:tcPr>
            <w:tcW w:w="7722" w:type="dxa"/>
            <w:vAlign w:val="center"/>
          </w:tcPr>
          <w:p>
            <w:pPr>
              <w:autoSpaceDE w:val="0"/>
              <w:autoSpaceDN w:val="0"/>
              <w:adjustRightInd w:val="0"/>
              <w:spacing w:before="156" w:beforeLines="50"/>
              <w:rPr>
                <w:rFonts w:ascii="宋体" w:hAnsi="Calibri" w:cs="宋体"/>
                <w:color w:val="000000"/>
                <w:kern w:val="0"/>
                <w:sz w:val="24"/>
              </w:rPr>
            </w:pPr>
            <w:r>
              <w:rPr>
                <w:rFonts w:hint="eastAsia" w:ascii="Segoe UI Symbol" w:hAnsi="Segoe UI Symbol" w:cs="宋体"/>
                <w:color w:val="000000"/>
                <w:kern w:val="0"/>
                <w:sz w:val="24"/>
              </w:rPr>
              <w:sym w:font="Wingdings 2" w:char="0052"/>
            </w:r>
            <w:r>
              <w:rPr>
                <w:rFonts w:hint="eastAsia" w:ascii="宋体" w:hAnsi="Calibri" w:cs="宋体"/>
                <w:color w:val="000000"/>
                <w:kern w:val="0"/>
                <w:sz w:val="24"/>
              </w:rPr>
              <w:t xml:space="preserve">特定对象调研  </w:t>
            </w:r>
            <w:r>
              <w:rPr>
                <w:rFonts w:ascii="宋体" w:hAnsi="Calibri" w:cs="宋体"/>
                <w:color w:val="000000"/>
                <w:kern w:val="0"/>
                <w:sz w:val="24"/>
              </w:rPr>
              <w:t xml:space="preserve"> </w:t>
            </w:r>
            <w:r>
              <w:rPr>
                <w:rFonts w:hint="eastAsia" w:ascii="宋体" w:hAnsi="Calibri" w:cs="宋体"/>
                <w:color w:val="000000"/>
                <w:kern w:val="0"/>
                <w:sz w:val="24"/>
              </w:rPr>
              <w:t xml:space="preserve">   □分析师会议</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□媒体</w:t>
            </w:r>
            <w:r>
              <w:rPr>
                <w:rFonts w:ascii="宋体" w:hAnsi="Calibri" w:cs="宋体"/>
                <w:color w:val="000000"/>
                <w:kern w:val="0"/>
                <w:sz w:val="24"/>
              </w:rPr>
              <w:t xml:space="preserve">采访 </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□业绩说明会</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□新闻</w:t>
            </w:r>
            <w:r>
              <w:rPr>
                <w:rFonts w:ascii="宋体" w:hAnsi="Calibri" w:cs="宋体"/>
                <w:color w:val="000000"/>
                <w:kern w:val="0"/>
                <w:sz w:val="24"/>
              </w:rPr>
              <w:t>发布会</w:t>
            </w:r>
            <w:r>
              <w:rPr>
                <w:rFonts w:hint="eastAsia" w:ascii="宋体" w:hAnsi="Calibri" w:cs="宋体"/>
                <w:color w:val="000000"/>
                <w:kern w:val="0"/>
                <w:sz w:val="24"/>
              </w:rPr>
              <w:t xml:space="preserve">  </w:t>
            </w:r>
            <w:r>
              <w:rPr>
                <w:rFonts w:ascii="宋体" w:hAnsi="Calibri" w:cs="宋体"/>
                <w:color w:val="000000"/>
                <w:kern w:val="0"/>
                <w:sz w:val="24"/>
              </w:rPr>
              <w:t xml:space="preserve">     </w:t>
            </w:r>
            <w:r>
              <w:rPr>
                <w:rFonts w:hint="eastAsia" w:ascii="宋体" w:hAnsi="Calibri" w:cs="宋体"/>
                <w:color w:val="000000"/>
                <w:kern w:val="0"/>
                <w:sz w:val="24"/>
              </w:rPr>
              <w:t xml:space="preserve"> □路演</w:t>
            </w:r>
            <w:r>
              <w:rPr>
                <w:rFonts w:ascii="宋体" w:hAnsi="Calibri" w:cs="宋体"/>
                <w:color w:val="000000"/>
                <w:kern w:val="0"/>
                <w:sz w:val="24"/>
              </w:rPr>
              <w:t>活动</w:t>
            </w:r>
          </w:p>
          <w:p>
            <w:pPr>
              <w:autoSpaceDE w:val="0"/>
              <w:autoSpaceDN w:val="0"/>
              <w:adjustRightInd w:val="0"/>
              <w:spacing w:before="156" w:beforeLines="50"/>
              <w:rPr>
                <w:rFonts w:ascii="宋体" w:hAnsi="Calibri" w:cs="宋体"/>
                <w:color w:val="000000"/>
                <w:kern w:val="0"/>
                <w:sz w:val="24"/>
              </w:rPr>
            </w:pPr>
            <w:r>
              <w:rPr>
                <w:rFonts w:hint="eastAsia" w:ascii="宋体" w:hAnsi="Calibri" w:cs="宋体"/>
                <w:color w:val="000000"/>
                <w:kern w:val="0"/>
                <w:sz w:val="24"/>
              </w:rPr>
              <w:t xml:space="preserve">□现场参观 </w:t>
            </w:r>
            <w:r>
              <w:rPr>
                <w:rFonts w:ascii="宋体" w:hAnsi="Calibri" w:cs="宋体"/>
                <w:color w:val="000000"/>
                <w:kern w:val="0"/>
                <w:sz w:val="24"/>
              </w:rPr>
              <w:t xml:space="preserve">        </w:t>
            </w:r>
            <w:r>
              <w:rPr>
                <w:rFonts w:hint="eastAsia" w:ascii="宋体" w:hAnsi="Calibri" w:cs="宋体"/>
                <w:color w:val="000000"/>
                <w:kern w:val="0"/>
                <w:sz w:val="24"/>
              </w:rPr>
              <w:t xml:space="preserve"> </w:t>
            </w:r>
            <w:r>
              <w:rPr>
                <w:rFonts w:hint="eastAsia" w:ascii="宋体" w:hAnsi="Calibri" w:cs="宋体"/>
                <w:color w:val="000000"/>
                <w:kern w:val="0"/>
                <w:sz w:val="24"/>
                <w:lang w:eastAsia="zh-CN"/>
              </w:rPr>
              <w:t>□</w:t>
            </w:r>
            <w:r>
              <w:rPr>
                <w:rFonts w:hint="eastAsia" w:ascii="宋体" w:hAnsi="Calibri" w:cs="宋体"/>
                <w:color w:val="000000"/>
                <w:kern w:val="0"/>
                <w:sz w:val="24"/>
              </w:rPr>
              <w:t>一</w:t>
            </w:r>
            <w:r>
              <w:rPr>
                <w:rFonts w:ascii="宋体" w:hAnsi="Calibri" w:cs="宋体"/>
                <w:color w:val="000000"/>
                <w:kern w:val="0"/>
                <w:sz w:val="24"/>
              </w:rPr>
              <w:t>对一沟通</w:t>
            </w:r>
          </w:p>
          <w:p>
            <w:pPr>
              <w:autoSpaceDE w:val="0"/>
              <w:autoSpaceDN w:val="0"/>
              <w:adjustRightInd w:val="0"/>
              <w:spacing w:before="156" w:beforeLines="50"/>
              <w:rPr>
                <w:rFonts w:ascii="宋体" w:hAnsi="Calibri" w:cs="宋体"/>
                <w:color w:val="000000"/>
                <w:kern w:val="0"/>
                <w:sz w:val="24"/>
              </w:rPr>
            </w:pPr>
            <w:r>
              <w:rPr>
                <w:rFonts w:hint="eastAsia" w:ascii="Segoe UI Symbol" w:hAnsi="Segoe UI Symbol" w:cs="宋体"/>
                <w:color w:val="000000"/>
                <w:kern w:val="0"/>
                <w:sz w:val="24"/>
              </w:rPr>
              <w:sym w:font="Wingdings 2" w:char="0052"/>
            </w:r>
            <w:r>
              <w:rPr>
                <w:rFonts w:hint="eastAsia" w:ascii="宋体" w:hAnsi="Calibri" w:cs="宋体"/>
                <w:color w:val="000000"/>
                <w:kern w:val="0"/>
                <w:sz w:val="24"/>
              </w:rPr>
              <w:t>其他（电话</w:t>
            </w:r>
            <w:r>
              <w:rPr>
                <w:rFonts w:ascii="宋体" w:hAnsi="Calibri" w:cs="宋体"/>
                <w:color w:val="000000"/>
                <w:kern w:val="0"/>
                <w:sz w:val="24"/>
              </w:rPr>
              <w:t>会议</w:t>
            </w:r>
            <w:r>
              <w:rPr>
                <w:rFonts w:hint="eastAsia" w:ascii="宋体" w:hAnsi="Calibri"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参与单位名称</w:t>
            </w:r>
          </w:p>
        </w:tc>
        <w:tc>
          <w:tcPr>
            <w:tcW w:w="7722" w:type="dxa"/>
            <w:vAlign w:val="center"/>
          </w:tcPr>
          <w:p>
            <w:pPr>
              <w:autoSpaceDE w:val="0"/>
              <w:autoSpaceDN w:val="0"/>
              <w:adjustRightInd w:val="0"/>
              <w:spacing w:line="460" w:lineRule="exact"/>
              <w:rPr>
                <w:rFonts w:hint="default" w:eastAsia="宋体"/>
                <w:color w:val="000000"/>
                <w:kern w:val="0"/>
                <w:sz w:val="24"/>
                <w:lang w:val="en-US" w:eastAsia="zh-CN"/>
              </w:rPr>
            </w:pPr>
            <w:r>
              <w:rPr>
                <w:rFonts w:hint="eastAsia" w:ascii="宋体" w:hAnsi="宋体" w:cs="宋体"/>
                <w:sz w:val="24"/>
                <w:szCs w:val="32"/>
                <w:lang w:val="en-US" w:eastAsia="zh-CN"/>
              </w:rPr>
              <w:t>中信证券、</w:t>
            </w:r>
            <w:r>
              <w:rPr>
                <w:rFonts w:hint="eastAsia" w:ascii="宋体" w:hAnsi="宋体" w:cs="宋体"/>
                <w:sz w:val="24"/>
                <w:szCs w:val="32"/>
              </w:rPr>
              <w:t>天风证券、招商证券、博时基金、华夏基金、国泰基金、中银基金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时间</w:t>
            </w:r>
          </w:p>
        </w:tc>
        <w:tc>
          <w:tcPr>
            <w:tcW w:w="7722" w:type="dxa"/>
            <w:vAlign w:val="center"/>
          </w:tcPr>
          <w:p>
            <w:pPr>
              <w:autoSpaceDE w:val="0"/>
              <w:autoSpaceDN w:val="0"/>
              <w:adjustRightInd w:val="0"/>
              <w:spacing w:line="460" w:lineRule="exact"/>
              <w:rPr>
                <w:rFonts w:hint="default" w:eastAsia="宋体"/>
                <w:color w:val="000000"/>
                <w:kern w:val="0"/>
                <w:sz w:val="24"/>
                <w:lang w:val="en-US" w:eastAsia="zh-CN"/>
              </w:rPr>
            </w:pPr>
            <w:r>
              <w:rPr>
                <w:rFonts w:hint="eastAsia"/>
                <w:color w:val="000000"/>
                <w:kern w:val="0"/>
                <w:sz w:val="24"/>
              </w:rPr>
              <w:t>2</w:t>
            </w:r>
            <w:r>
              <w:rPr>
                <w:rFonts w:hint="eastAsia"/>
                <w:color w:val="000000"/>
                <w:kern w:val="0"/>
                <w:sz w:val="24"/>
                <w:lang w:val="en-US" w:eastAsia="zh-CN"/>
              </w:rPr>
              <w:t>024</w:t>
            </w:r>
            <w:r>
              <w:rPr>
                <w:rFonts w:hint="eastAsia"/>
                <w:color w:val="000000"/>
                <w:kern w:val="0"/>
                <w:sz w:val="24"/>
              </w:rPr>
              <w:t>年</w:t>
            </w:r>
            <w:r>
              <w:rPr>
                <w:rFonts w:hint="eastAsia"/>
                <w:color w:val="000000"/>
                <w:kern w:val="0"/>
                <w:sz w:val="24"/>
                <w:lang w:val="en-US" w:eastAsia="zh-CN"/>
              </w:rPr>
              <w:t>8</w:t>
            </w:r>
            <w:r>
              <w:rPr>
                <w:rFonts w:hint="eastAsia"/>
                <w:color w:val="000000"/>
                <w:kern w:val="0"/>
                <w:sz w:val="24"/>
              </w:rPr>
              <w:t>月</w:t>
            </w:r>
            <w:r>
              <w:rPr>
                <w:rFonts w:hint="eastAsia"/>
                <w:color w:val="000000"/>
                <w:kern w:val="0"/>
                <w:sz w:val="24"/>
                <w:lang w:val="en-US" w:eastAsia="zh-CN"/>
              </w:rPr>
              <w:t>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271" w:type="dxa"/>
            <w:vAlign w:val="center"/>
          </w:tcPr>
          <w:p>
            <w:pPr>
              <w:autoSpaceDE w:val="0"/>
              <w:autoSpaceDN w:val="0"/>
              <w:adjustRightInd w:val="0"/>
              <w:jc w:val="center"/>
              <w:rPr>
                <w:rFonts w:ascii="宋体" w:hAnsi="Calibri" w:cs="宋体"/>
                <w:color w:val="000000"/>
                <w:kern w:val="0"/>
                <w:sz w:val="24"/>
              </w:rPr>
            </w:pPr>
            <w:r>
              <w:rPr>
                <w:rFonts w:hint="eastAsia" w:ascii="宋体" w:hAnsi="Calibri" w:cs="宋体"/>
                <w:color w:val="000000"/>
                <w:kern w:val="0"/>
                <w:sz w:val="24"/>
              </w:rPr>
              <w:t>地点</w:t>
            </w:r>
          </w:p>
        </w:tc>
        <w:tc>
          <w:tcPr>
            <w:tcW w:w="7722" w:type="dxa"/>
            <w:vAlign w:val="center"/>
          </w:tcPr>
          <w:p>
            <w:pPr>
              <w:autoSpaceDE w:val="0"/>
              <w:autoSpaceDN w:val="0"/>
              <w:adjustRightInd w:val="0"/>
              <w:rPr>
                <w:rFonts w:hint="default" w:ascii="宋体" w:hAnsi="Calibri" w:eastAsia="宋体" w:cs="宋体"/>
                <w:color w:val="000000"/>
                <w:kern w:val="0"/>
                <w:sz w:val="24"/>
                <w:lang w:val="en-US" w:eastAsia="zh-CN"/>
              </w:rPr>
            </w:pPr>
            <w:r>
              <w:rPr>
                <w:rFonts w:hint="eastAsia" w:ascii="宋体" w:hAnsi="Calibri" w:cs="宋体"/>
                <w:color w:val="000000"/>
                <w:kern w:val="0"/>
                <w:sz w:val="24"/>
                <w:lang w:val="en-US" w:eastAsia="zh-CN"/>
              </w:rPr>
              <w:t>电话会议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pPr>
              <w:autoSpaceDE/>
              <w:autoSpaceDN/>
              <w:adjustRightInd/>
              <w:spacing w:line="560" w:lineRule="exact"/>
              <w:ind w:firstLine="0" w:firstLineChars="0"/>
              <w:jc w:val="left"/>
              <w:rPr>
                <w:rFonts w:hint="eastAsia" w:ascii="宋体" w:hAnsi="宋体" w:cs="宋体"/>
                <w:b/>
                <w:kern w:val="2"/>
                <w:sz w:val="24"/>
              </w:rPr>
            </w:pPr>
            <w:r>
              <w:rPr>
                <w:rFonts w:hint="eastAsia" w:ascii="宋体" w:hAnsi="Calibri" w:cs="宋体"/>
                <w:b w:val="0"/>
                <w:color w:val="000000"/>
                <w:kern w:val="0"/>
                <w:sz w:val="24"/>
              </w:rPr>
              <w:t>公司接待人员姓名</w:t>
            </w:r>
          </w:p>
        </w:tc>
        <w:tc>
          <w:tcPr>
            <w:tcW w:w="7722" w:type="dxa"/>
            <w:vAlign w:val="center"/>
          </w:tcPr>
          <w:p>
            <w:pPr>
              <w:autoSpaceDE w:val="0"/>
              <w:autoSpaceDN w:val="0"/>
              <w:adjustRightInd w:val="0"/>
              <w:spacing w:line="460" w:lineRule="exact"/>
              <w:rPr>
                <w:rFonts w:hint="eastAsia" w:ascii="宋体" w:hAnsi="Calibri" w:cs="宋体"/>
                <w:color w:val="000000"/>
                <w:kern w:val="0"/>
                <w:sz w:val="24"/>
              </w:rPr>
            </w:pPr>
            <w:r>
              <w:rPr>
                <w:rFonts w:hint="eastAsia" w:ascii="宋体" w:hAnsi="Calibri" w:cs="宋体"/>
                <w:color w:val="000000"/>
                <w:kern w:val="0"/>
                <w:sz w:val="24"/>
              </w:rPr>
              <w:t>副总经理兼财务总监、董事会秘书：贾娜</w:t>
            </w:r>
          </w:p>
          <w:p>
            <w:pPr>
              <w:spacing w:line="560" w:lineRule="exact"/>
              <w:ind w:firstLine="0" w:firstLineChars="0"/>
              <w:rPr>
                <w:rFonts w:hint="eastAsia" w:ascii="宋体" w:hAnsi="宋体" w:eastAsia="宋体" w:cs="宋体"/>
                <w:b/>
                <w:sz w:val="24"/>
                <w:lang w:val="en-US" w:eastAsia="zh-CN"/>
              </w:rPr>
            </w:pPr>
            <w:r>
              <w:rPr>
                <w:rFonts w:hint="eastAsia" w:ascii="宋体" w:hAnsi="Calibri" w:cs="宋体"/>
                <w:color w:val="000000"/>
                <w:kern w:val="0"/>
                <w:sz w:val="24"/>
                <w:lang w:val="en-US" w:eastAsia="zh-CN"/>
              </w:rPr>
              <w:t>证券部经理</w:t>
            </w:r>
            <w:r>
              <w:rPr>
                <w:rFonts w:hint="eastAsia" w:ascii="宋体" w:hAnsi="Calibri" w:cs="宋体"/>
                <w:color w:val="000000"/>
                <w:kern w:val="0"/>
                <w:sz w:val="24"/>
              </w:rPr>
              <w:t>：刘艳娜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71" w:type="dxa"/>
            <w:vAlign w:val="center"/>
          </w:tcPr>
          <w:p>
            <w:pPr>
              <w:autoSpaceDE/>
              <w:autoSpaceDN/>
              <w:adjustRightInd/>
              <w:spacing w:line="560" w:lineRule="exact"/>
              <w:ind w:firstLine="0" w:firstLineChars="0"/>
              <w:jc w:val="left"/>
              <w:rPr>
                <w:rFonts w:hint="eastAsia" w:ascii="宋体" w:hAnsi="宋体" w:cs="宋体"/>
                <w:b/>
                <w:kern w:val="2"/>
                <w:sz w:val="24"/>
              </w:rPr>
            </w:pPr>
            <w:r>
              <w:rPr>
                <w:rFonts w:hint="eastAsia" w:ascii="宋体" w:hAnsi="Calibri" w:cs="宋体"/>
                <w:b w:val="0"/>
                <w:color w:val="000000"/>
                <w:kern w:val="0"/>
                <w:sz w:val="24"/>
              </w:rPr>
              <w:t>投资者关系活动主要内容介绍</w:t>
            </w:r>
          </w:p>
        </w:tc>
        <w:tc>
          <w:tcPr>
            <w:tcW w:w="7722" w:type="dxa"/>
            <w:vAlign w:val="center"/>
          </w:tcPr>
          <w:p>
            <w:pPr>
              <w:widowControl/>
              <w:numPr>
                <w:ilvl w:val="-1"/>
                <w:numId w:val="0"/>
              </w:numPr>
              <w:spacing w:line="560" w:lineRule="exact"/>
              <w:ind w:firstLine="482" w:firstLineChars="200"/>
              <w:jc w:val="left"/>
              <w:rPr>
                <w:rFonts w:hint="eastAsia" w:ascii="宋体" w:hAnsi="宋体" w:eastAsia="宋体" w:cs="宋体"/>
                <w:b/>
                <w:bCs w:val="0"/>
                <w:sz w:val="24"/>
                <w:lang w:val="en-US" w:eastAsia="zh-CN"/>
              </w:rPr>
            </w:pPr>
            <w:r>
              <w:rPr>
                <w:rFonts w:hint="eastAsia" w:ascii="宋体" w:hAnsi="宋体" w:eastAsia="宋体" w:cs="宋体"/>
                <w:b/>
                <w:bCs w:val="0"/>
                <w:kern w:val="2"/>
                <w:sz w:val="24"/>
                <w:szCs w:val="24"/>
                <w:lang w:val="en-US" w:eastAsia="zh-CN" w:bidi="ar-SA"/>
              </w:rPr>
              <w:t>1、</w:t>
            </w:r>
            <w:r>
              <w:rPr>
                <w:rFonts w:hint="eastAsia" w:ascii="宋体" w:hAnsi="宋体" w:cs="宋体"/>
                <w:b/>
                <w:sz w:val="24"/>
              </w:rPr>
              <w:t>公司避雷器产品在行业中的市场份额和地位有何变化？</w:t>
            </w:r>
          </w:p>
          <w:p>
            <w:pPr>
              <w:widowControl/>
              <w:numPr>
                <w:ilvl w:val="-1"/>
                <w:numId w:val="0"/>
              </w:numPr>
              <w:spacing w:line="560" w:lineRule="exact"/>
              <w:ind w:firstLine="480" w:firstLineChars="200"/>
              <w:jc w:val="left"/>
              <w:rPr>
                <w:rFonts w:hint="eastAsia" w:ascii="宋体" w:hAnsi="宋体" w:cs="宋体"/>
                <w:bCs/>
                <w:sz w:val="24"/>
              </w:rPr>
            </w:pPr>
            <w:r>
              <w:rPr>
                <w:rFonts w:hint="eastAsia" w:ascii="宋体" w:hAnsi="宋体" w:cs="宋体"/>
                <w:bCs/>
                <w:sz w:val="24"/>
              </w:rPr>
              <w:t xml:space="preserve">公司避雷器系列产品涵盖交直流、全电压等级，被工业和信息化部评定为避雷器制造业单项冠军，是国内超特高压交直流避雷器领域先进企业。 </w:t>
            </w:r>
          </w:p>
          <w:p>
            <w:pPr>
              <w:widowControl/>
              <w:numPr>
                <w:ilvl w:val="-1"/>
                <w:numId w:val="0"/>
              </w:numPr>
              <w:spacing w:line="560" w:lineRule="exact"/>
              <w:ind w:firstLine="480" w:firstLineChars="200"/>
              <w:jc w:val="left"/>
              <w:rPr>
                <w:rFonts w:hint="eastAsia" w:ascii="宋体" w:hAnsi="宋体" w:cs="宋体"/>
                <w:bCs/>
                <w:sz w:val="24"/>
              </w:rPr>
            </w:pPr>
            <w:r>
              <w:rPr>
                <w:rFonts w:hint="eastAsia" w:ascii="宋体" w:hAnsi="宋体" w:cs="宋体"/>
                <w:bCs/>
                <w:sz w:val="24"/>
              </w:rPr>
              <w:t>近三年，公司特高压避雷器产品在国家电网招标的交直流特高压工程中，中标份额占比33%，位居行业前列；在国家电网输变电设备近三年的招标采购中，公司避雷器中标份额累计排名位居前列。</w:t>
            </w:r>
          </w:p>
          <w:p>
            <w:pPr>
              <w:widowControl/>
              <w:numPr>
                <w:ilvl w:val="-1"/>
                <w:numId w:val="0"/>
              </w:numPr>
              <w:spacing w:line="560" w:lineRule="exact"/>
              <w:ind w:firstLine="480" w:firstLineChars="200"/>
              <w:jc w:val="left"/>
              <w:rPr>
                <w:rFonts w:hint="eastAsia" w:ascii="宋体" w:hAnsi="宋体" w:cs="宋体"/>
                <w:b w:val="0"/>
                <w:bCs/>
                <w:sz w:val="24"/>
                <w:lang w:val="en-US" w:eastAsia="zh-CN"/>
              </w:rPr>
            </w:pPr>
            <w:r>
              <w:rPr>
                <w:rFonts w:hint="eastAsia" w:ascii="宋体" w:hAnsi="宋体" w:cs="宋体"/>
                <w:bCs/>
                <w:sz w:val="24"/>
              </w:rPr>
              <w:t>2024年，随着电网投资将首次超过6,000亿元，公司核心业务避雷器有望继续提升。</w:t>
            </w:r>
          </w:p>
          <w:p>
            <w:pPr>
              <w:widowControl/>
              <w:numPr>
                <w:ilvl w:val="-1"/>
                <w:numId w:val="0"/>
              </w:numPr>
              <w:spacing w:line="560" w:lineRule="exact"/>
              <w:ind w:firstLine="482" w:firstLineChars="200"/>
              <w:jc w:val="left"/>
              <w:rPr>
                <w:rFonts w:hint="eastAsia" w:ascii="宋体" w:hAnsi="宋体" w:cs="宋体"/>
                <w:b/>
                <w:sz w:val="24"/>
              </w:rPr>
            </w:pPr>
            <w:r>
              <w:rPr>
                <w:rFonts w:hint="eastAsia" w:ascii="宋体" w:hAnsi="宋体" w:cs="宋体"/>
                <w:b/>
                <w:bCs w:val="0"/>
                <w:sz w:val="24"/>
                <w:lang w:val="en-US" w:eastAsia="zh-CN"/>
              </w:rPr>
              <w:t>2、</w:t>
            </w:r>
            <w:r>
              <w:rPr>
                <w:rFonts w:hint="eastAsia" w:ascii="宋体" w:hAnsi="宋体" w:cs="宋体"/>
                <w:b/>
                <w:sz w:val="24"/>
              </w:rPr>
              <w:t>随着“双碳”战略的深入实施和清洁能源大基地建设的提速，特高压柔直领域的发展空间将进一步扩大，公司特高压避雷器在柔直领域的发展状况如何？</w:t>
            </w:r>
          </w:p>
          <w:p>
            <w:pPr>
              <w:widowControl/>
              <w:numPr>
                <w:ilvl w:val="-1"/>
                <w:numId w:val="0"/>
              </w:numPr>
              <w:spacing w:line="560" w:lineRule="exact"/>
              <w:ind w:firstLine="480" w:firstLineChars="200"/>
              <w:jc w:val="left"/>
              <w:rPr>
                <w:rFonts w:hint="eastAsia" w:ascii="宋体" w:hAnsi="宋体" w:cs="宋体"/>
                <w:sz w:val="24"/>
                <w:lang w:eastAsia="zh-CN"/>
              </w:rPr>
            </w:pPr>
            <w:r>
              <w:rPr>
                <w:rFonts w:hint="eastAsia" w:ascii="宋体" w:hAnsi="宋体" w:cs="宋体"/>
                <w:sz w:val="24"/>
              </w:rPr>
              <w:t>公司紧跟特高压直流输电技术在柔性直流领域的发展，已全面掌握了直流系统用避雷器的设计和制造技术，完成国内首个±800kV特高压柔直工程（昆柳龙）直流避雷器项目的供货，现项目已实现稳定运行。在柔性直流输电技术领域，公司继续保持行业的领先优势和市场地位。</w:t>
            </w:r>
          </w:p>
          <w:p>
            <w:pPr>
              <w:widowControl/>
              <w:numPr>
                <w:ilvl w:val="-1"/>
                <w:numId w:val="0"/>
              </w:numPr>
              <w:spacing w:line="560" w:lineRule="exact"/>
              <w:ind w:firstLine="482" w:firstLineChars="200"/>
              <w:jc w:val="left"/>
              <w:rPr>
                <w:rFonts w:hint="eastAsia" w:ascii="宋体" w:hAnsi="宋体" w:cs="宋体"/>
                <w:b/>
                <w:sz w:val="24"/>
                <w:lang w:val="en-US" w:eastAsia="zh-CN"/>
              </w:rPr>
            </w:pPr>
            <w:r>
              <w:rPr>
                <w:rFonts w:hint="eastAsia" w:ascii="宋体" w:hAnsi="宋体" w:cs="宋体"/>
                <w:b/>
                <w:sz w:val="24"/>
                <w:lang w:val="en-US" w:eastAsia="zh-CN"/>
              </w:rPr>
              <w:t>3、</w:t>
            </w:r>
            <w:r>
              <w:rPr>
                <w:rFonts w:hint="eastAsia" w:ascii="宋体" w:hAnsi="宋体" w:cs="宋体"/>
                <w:b/>
                <w:sz w:val="24"/>
              </w:rPr>
              <w:t>公司特高压避雷器近期的中标情况？今年接下来有哪些特高压工程陆续招标？</w:t>
            </w:r>
          </w:p>
          <w:p>
            <w:pPr>
              <w:widowControl/>
              <w:numPr>
                <w:ilvl w:val="-1"/>
                <w:numId w:val="0"/>
              </w:numPr>
              <w:spacing w:line="560" w:lineRule="exact"/>
              <w:ind w:firstLine="480" w:firstLineChars="200"/>
              <w:jc w:val="left"/>
              <w:rPr>
                <w:rFonts w:hint="eastAsia" w:ascii="宋体" w:hAnsi="宋体" w:cs="宋体"/>
                <w:sz w:val="24"/>
              </w:rPr>
            </w:pPr>
            <w:r>
              <w:rPr>
                <w:rFonts w:hint="eastAsia" w:ascii="宋体" w:hAnsi="宋体" w:cs="宋体"/>
                <w:sz w:val="24"/>
              </w:rPr>
              <w:t>2024年7月</w:t>
            </w:r>
            <w:r>
              <w:rPr>
                <w:rFonts w:hint="eastAsia" w:ascii="宋体" w:hAnsi="宋体" w:cs="宋体"/>
                <w:sz w:val="24"/>
                <w:lang w:eastAsia="zh-CN"/>
              </w:rPr>
              <w:t>，</w:t>
            </w:r>
            <w:r>
              <w:rPr>
                <w:rFonts w:hint="eastAsia" w:ascii="宋体" w:hAnsi="宋体" w:cs="宋体"/>
                <w:sz w:val="24"/>
              </w:rPr>
              <w:t>公司中标陕北～安徽±800千伏特高压直流新建工程的避雷器产品最大标包，中标金额3,206万元。</w:t>
            </w:r>
          </w:p>
          <w:p>
            <w:pPr>
              <w:widowControl/>
              <w:numPr>
                <w:ilvl w:val="-1"/>
                <w:numId w:val="0"/>
              </w:numPr>
              <w:spacing w:line="560" w:lineRule="exact"/>
              <w:ind w:firstLine="480" w:firstLineChars="200"/>
              <w:jc w:val="left"/>
              <w:rPr>
                <w:rFonts w:hint="eastAsia" w:ascii="宋体" w:hAnsi="宋体" w:cs="宋体"/>
                <w:sz w:val="24"/>
              </w:rPr>
            </w:pPr>
            <w:r>
              <w:rPr>
                <w:rFonts w:hint="eastAsia" w:ascii="宋体" w:hAnsi="宋体" w:cs="宋体"/>
                <w:sz w:val="24"/>
              </w:rPr>
              <w:t>2024年，随着大型风光基地建设的加速，特高压及电力系统建设将成为电网投资的重点方向。2024年特高压项目投资金额将达900亿元以上，同比增长60%。国家电网</w:t>
            </w:r>
            <w:r>
              <w:rPr>
                <w:rFonts w:hint="eastAsia" w:ascii="宋体" w:hAnsi="宋体" w:cs="宋体"/>
                <w:sz w:val="24"/>
                <w:lang w:val="en-US" w:eastAsia="zh-CN"/>
              </w:rPr>
              <w:t>下半年将推进</w:t>
            </w:r>
            <w:r>
              <w:rPr>
                <w:rFonts w:hint="eastAsia" w:ascii="宋体" w:hAnsi="宋体" w:cs="宋体"/>
                <w:sz w:val="24"/>
              </w:rPr>
              <w:t>阿坝－成都东、大同－天津南、陕西－河南、甘肃－浙江等特高压工程</w:t>
            </w:r>
            <w:r>
              <w:rPr>
                <w:rFonts w:hint="eastAsia" w:ascii="宋体" w:hAnsi="宋体" w:cs="宋体"/>
                <w:sz w:val="24"/>
                <w:lang w:eastAsia="zh-CN"/>
              </w:rPr>
              <w:t>的</w:t>
            </w:r>
            <w:r>
              <w:rPr>
                <w:rFonts w:hint="eastAsia" w:ascii="宋体" w:hAnsi="宋体" w:cs="宋体"/>
                <w:sz w:val="24"/>
                <w:lang w:val="en-US" w:eastAsia="zh-CN"/>
              </w:rPr>
              <w:t>招标</w:t>
            </w:r>
            <w:r>
              <w:rPr>
                <w:rFonts w:hint="eastAsia" w:ascii="宋体" w:hAnsi="宋体" w:cs="宋体"/>
                <w:sz w:val="24"/>
              </w:rPr>
              <w:t>。</w:t>
            </w:r>
          </w:p>
          <w:p>
            <w:pPr>
              <w:widowControl/>
              <w:numPr>
                <w:ilvl w:val="0"/>
                <w:numId w:val="0"/>
              </w:numPr>
              <w:spacing w:line="560" w:lineRule="exact"/>
              <w:ind w:firstLine="482" w:firstLineChars="200"/>
              <w:jc w:val="left"/>
              <w:rPr>
                <w:rFonts w:hint="eastAsia" w:ascii="宋体" w:hAnsi="宋体" w:cs="宋体"/>
                <w:b/>
                <w:color w:val="auto"/>
                <w:sz w:val="24"/>
                <w:lang w:val="en-US" w:eastAsia="zh-CN"/>
              </w:rPr>
            </w:pPr>
            <w:r>
              <w:rPr>
                <w:rFonts w:hint="eastAsia" w:ascii="宋体" w:hAnsi="宋体" w:eastAsia="宋体" w:cs="宋体"/>
                <w:b/>
                <w:color w:val="auto"/>
                <w:kern w:val="2"/>
                <w:sz w:val="24"/>
                <w:szCs w:val="24"/>
                <w:lang w:val="en-US" w:eastAsia="zh-CN" w:bidi="ar-SA"/>
              </w:rPr>
              <w:t>4、</w:t>
            </w:r>
            <w:r>
              <w:rPr>
                <w:rFonts w:hint="eastAsia" w:ascii="宋体" w:hAnsi="宋体" w:cs="宋体"/>
                <w:b/>
                <w:color w:val="auto"/>
                <w:sz w:val="24"/>
              </w:rPr>
              <w:t>公司进入电阻片市场的背景</w:t>
            </w:r>
            <w:r>
              <w:rPr>
                <w:rFonts w:hint="eastAsia" w:ascii="宋体" w:hAnsi="宋体" w:cs="宋体"/>
                <w:b/>
                <w:color w:val="auto"/>
                <w:sz w:val="24"/>
                <w:lang w:val="en-US" w:eastAsia="zh-CN"/>
              </w:rPr>
              <w:t>是</w:t>
            </w:r>
            <w:r>
              <w:rPr>
                <w:rFonts w:hint="eastAsia" w:ascii="宋体" w:hAnsi="宋体" w:cs="宋体"/>
                <w:b/>
                <w:color w:val="auto"/>
                <w:sz w:val="24"/>
              </w:rPr>
              <w:t>？</w:t>
            </w:r>
          </w:p>
          <w:p>
            <w:pPr>
              <w:keepNext w:val="0"/>
              <w:keepLines w:val="0"/>
              <w:pageBreakBefore w:val="0"/>
              <w:widowControl/>
              <w:numPr>
                <w:ilvl w:val="-1"/>
                <w:numId w:val="0"/>
              </w:numPr>
              <w:kinsoku/>
              <w:wordWrap/>
              <w:overflowPunct/>
              <w:topLinePunct w:val="0"/>
              <w:autoSpaceDE/>
              <w:autoSpaceDN/>
              <w:bidi w:val="0"/>
              <w:adjustRightInd/>
              <w:snapToGrid/>
              <w:spacing w:after="0" w:afterLines="-2147483648" w:line="560" w:lineRule="exact"/>
              <w:ind w:left="0" w:lef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sz w:val="24"/>
                <w:lang w:val="en-US" w:eastAsia="zh-CN"/>
              </w:rPr>
              <w:t>公司电阻片产品采用独创的原料配方和工艺，近年来公司对</w:t>
            </w:r>
            <w:r>
              <w:rPr>
                <w:rFonts w:hint="eastAsia" w:ascii="宋体" w:hAnsi="宋体" w:cs="宋体"/>
                <w:sz w:val="24"/>
              </w:rPr>
              <w:t>电阻片</w:t>
            </w:r>
            <w:r>
              <w:rPr>
                <w:rFonts w:hint="eastAsia" w:ascii="宋体" w:hAnsi="宋体" w:cs="宋体"/>
                <w:sz w:val="24"/>
                <w:lang w:val="en-US" w:eastAsia="zh-CN"/>
              </w:rPr>
              <w:t>产线及</w:t>
            </w:r>
            <w:r>
              <w:rPr>
                <w:rFonts w:hint="eastAsia" w:ascii="宋体" w:hAnsi="宋体" w:cs="宋体"/>
                <w:sz w:val="24"/>
              </w:rPr>
              <w:t>制造</w:t>
            </w:r>
            <w:r>
              <w:rPr>
                <w:rFonts w:hint="eastAsia" w:ascii="宋体" w:hAnsi="宋体" w:cs="宋体"/>
                <w:sz w:val="24"/>
                <w:lang w:val="en-US" w:eastAsia="zh-CN"/>
              </w:rPr>
              <w:t>工艺进行全</w:t>
            </w:r>
            <w:r>
              <w:rPr>
                <w:rFonts w:hint="eastAsia" w:ascii="宋体" w:hAnsi="宋体" w:cs="宋体"/>
                <w:sz w:val="24"/>
              </w:rPr>
              <w:t>面升级，</w:t>
            </w:r>
            <w:r>
              <w:rPr>
                <w:rFonts w:hint="eastAsia" w:ascii="宋体" w:hAnsi="宋体" w:cs="宋体"/>
                <w:sz w:val="24"/>
                <w:lang w:val="en-US" w:eastAsia="zh-CN"/>
              </w:rPr>
              <w:t>投入</w:t>
            </w:r>
            <w:r>
              <w:rPr>
                <w:rFonts w:hint="eastAsia" w:ascii="宋体" w:hAnsi="宋体" w:cs="宋体"/>
                <w:sz w:val="24"/>
              </w:rPr>
              <w:t>先进的自动化制造和测试设备，</w:t>
            </w:r>
            <w:r>
              <w:rPr>
                <w:rFonts w:hint="eastAsia" w:ascii="宋体" w:hAnsi="宋体" w:cs="宋体"/>
                <w:sz w:val="24"/>
                <w:lang w:val="en-US" w:eastAsia="zh-CN"/>
              </w:rPr>
              <w:t>如全自动制浆造粒系统、压片成型、玻璃釉喷涂、喷铝、电参数测试设备，以及先进的烧结温控系统、双端面磨片设备等。目前公司</w:t>
            </w:r>
            <w:r>
              <w:rPr>
                <w:rFonts w:hint="eastAsia" w:ascii="宋体" w:hAnsi="宋体" w:eastAsia="宋体" w:cs="宋体"/>
                <w:b w:val="0"/>
                <w:sz w:val="24"/>
                <w:lang w:val="en-US" w:eastAsia="zh-CN"/>
              </w:rPr>
              <w:t>电阻片生产已实现全流程自动化和信息化，极大提升了产品的一致性和质量稳定性</w:t>
            </w:r>
            <w:r>
              <w:rPr>
                <w:rFonts w:hint="eastAsia" w:ascii="宋体" w:hAnsi="宋体" w:cs="宋体"/>
                <w:sz w:val="24"/>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after="0" w:afterLines="-2147483648" w:line="560" w:lineRule="exact"/>
              <w:ind w:left="0" w:leftChars="0" w:firstLine="480" w:firstLineChars="200"/>
              <w:jc w:val="left"/>
              <w:textAlignment w:val="auto"/>
              <w:rPr>
                <w:rFonts w:hint="eastAsia" w:ascii="宋体" w:hAnsi="宋体" w:eastAsia="宋体" w:cs="宋体"/>
                <w:b w:val="0"/>
                <w:bCs w:val="0"/>
                <w:color w:val="auto"/>
                <w:sz w:val="24"/>
                <w:szCs w:val="24"/>
                <w:lang w:val="en-US" w:eastAsia="zh-CN"/>
              </w:rPr>
            </w:pPr>
            <w:r>
              <w:rPr>
                <w:rFonts w:hint="eastAsia" w:ascii="宋体" w:hAnsi="宋体" w:cs="宋体"/>
                <w:sz w:val="24"/>
                <w:lang w:val="en-US" w:eastAsia="zh-CN"/>
              </w:rPr>
              <w:t>公司电阻片分为三大系列:交流电阻片(配电型、电站型、线路型)、直流电阻片、高梯度电阻片，</w:t>
            </w:r>
            <w:r>
              <w:rPr>
                <w:rFonts w:hint="eastAsia" w:ascii="宋体" w:hAnsi="宋体" w:cs="宋体"/>
                <w:b w:val="0"/>
                <w:sz w:val="24"/>
                <w:lang w:val="en-US" w:eastAsia="zh-CN"/>
              </w:rPr>
              <w:t>产品</w:t>
            </w:r>
            <w:r>
              <w:rPr>
                <w:rFonts w:hint="eastAsia" w:ascii="宋体" w:hAnsi="宋体" w:eastAsia="宋体" w:cs="宋体"/>
                <w:b w:val="0"/>
                <w:sz w:val="24"/>
                <w:lang w:val="en-US" w:eastAsia="zh-CN"/>
              </w:rPr>
              <w:t>绝缘性能</w:t>
            </w:r>
            <w:r>
              <w:rPr>
                <w:rFonts w:hint="eastAsia" w:ascii="宋体" w:hAnsi="宋体" w:cs="宋体"/>
                <w:b w:val="0"/>
                <w:sz w:val="24"/>
                <w:lang w:val="en-US" w:eastAsia="zh-CN"/>
              </w:rPr>
              <w:t>优，</w:t>
            </w:r>
            <w:r>
              <w:rPr>
                <w:rFonts w:hint="eastAsia" w:ascii="宋体" w:hAnsi="宋体" w:eastAsia="宋体" w:cs="宋体"/>
                <w:b w:val="0"/>
                <w:bCs w:val="0"/>
                <w:color w:val="auto"/>
                <w:sz w:val="24"/>
                <w:szCs w:val="24"/>
                <w:lang w:val="en-US" w:eastAsia="zh-CN"/>
              </w:rPr>
              <w:t>具备低残压、大通流、高能量吸收以及优异的老化性能等特点。</w:t>
            </w:r>
          </w:p>
          <w:p>
            <w:pPr>
              <w:keepNext w:val="0"/>
              <w:keepLines w:val="0"/>
              <w:pageBreakBefore w:val="0"/>
              <w:widowControl/>
              <w:numPr>
                <w:ilvl w:val="-1"/>
                <w:numId w:val="0"/>
              </w:numPr>
              <w:kinsoku/>
              <w:wordWrap/>
              <w:overflowPunct/>
              <w:topLinePunct w:val="0"/>
              <w:autoSpaceDE/>
              <w:autoSpaceDN/>
              <w:bidi w:val="0"/>
              <w:adjustRightInd/>
              <w:snapToGrid/>
              <w:spacing w:after="0" w:afterLines="-2147483648" w:line="560" w:lineRule="exact"/>
              <w:ind w:left="0" w:leftChars="0" w:firstLine="480" w:firstLineChars="200"/>
              <w:jc w:val="left"/>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afterLines="-2147483648" w:line="560" w:lineRule="exact"/>
              <w:ind w:left="0" w:leftChars="0" w:firstLine="482" w:firstLineChars="200"/>
              <w:jc w:val="left"/>
              <w:textAlignment w:val="auto"/>
              <w:rPr>
                <w:rFonts w:hint="default" w:ascii="宋体" w:hAnsi="宋体" w:eastAsia="宋体" w:cs="宋体"/>
                <w:b w:val="0"/>
                <w:bCs w:val="0"/>
                <w:color w:val="auto"/>
                <w:sz w:val="24"/>
                <w:szCs w:val="24"/>
                <w:lang w:val="en-US" w:eastAsia="zh-CN"/>
              </w:rPr>
            </w:pPr>
            <w:r>
              <w:rPr>
                <w:rFonts w:hint="eastAsia" w:ascii="宋体" w:hAnsi="宋体" w:cs="宋体"/>
                <w:b/>
                <w:color w:val="auto"/>
                <w:sz w:val="24"/>
                <w:lang w:val="en-US" w:eastAsia="zh-CN"/>
              </w:rPr>
              <w:t>5、电阻片市场空间有多大？</w:t>
            </w:r>
          </w:p>
          <w:p>
            <w:pPr>
              <w:widowControl/>
              <w:numPr>
                <w:ilvl w:val="-1"/>
                <w:numId w:val="0"/>
              </w:numPr>
              <w:spacing w:line="560" w:lineRule="exact"/>
              <w:ind w:firstLine="480" w:firstLineChars="200"/>
              <w:jc w:val="left"/>
              <w:rPr>
                <w:rFonts w:hint="eastAsia" w:ascii="宋体" w:hAnsi="宋体" w:cs="宋体"/>
                <w:sz w:val="24"/>
                <w:lang w:val="en-US" w:eastAsia="zh-CN"/>
              </w:rPr>
            </w:pPr>
            <w:r>
              <w:rPr>
                <w:rFonts w:hint="default" w:ascii="宋体" w:hAnsi="宋体" w:eastAsia="宋体" w:cs="宋体"/>
                <w:sz w:val="24"/>
              </w:rPr>
              <w:t>在新型电力系统建设提速的背景下，国家电网</w:t>
            </w:r>
            <w:r>
              <w:rPr>
                <w:rFonts w:hint="eastAsia" w:ascii="宋体" w:hAnsi="宋体" w:eastAsia="宋体" w:cs="宋体"/>
                <w:sz w:val="24"/>
                <w:lang w:val="en-US" w:eastAsia="zh-CN"/>
              </w:rPr>
              <w:t>持续</w:t>
            </w:r>
            <w:r>
              <w:rPr>
                <w:rFonts w:hint="default" w:ascii="宋体" w:hAnsi="宋体" w:eastAsia="宋体" w:cs="宋体"/>
                <w:sz w:val="24"/>
              </w:rPr>
              <w:t>加大电网投资规模，</w:t>
            </w:r>
            <w:r>
              <w:rPr>
                <w:rFonts w:hint="eastAsia" w:ascii="宋体" w:hAnsi="宋体" w:eastAsia="宋体" w:cs="宋体"/>
                <w:sz w:val="24"/>
                <w:lang w:val="en-US" w:eastAsia="zh-CN"/>
              </w:rPr>
              <w:t>通过</w:t>
            </w:r>
            <w:r>
              <w:rPr>
                <w:rFonts w:hint="default" w:ascii="宋体" w:hAnsi="宋体" w:eastAsia="宋体" w:cs="宋体"/>
                <w:sz w:val="24"/>
              </w:rPr>
              <w:t>新能源大基地</w:t>
            </w:r>
            <w:r>
              <w:rPr>
                <w:rFonts w:hint="eastAsia" w:ascii="宋体" w:hAnsi="宋体" w:eastAsia="宋体" w:cs="宋体"/>
                <w:sz w:val="24"/>
                <w:lang w:val="en-US" w:eastAsia="zh-CN"/>
              </w:rPr>
              <w:t>的快速推动，避雷器产品招标量不断提升。电阻片作为避雷器产品的核心元器件，</w:t>
            </w:r>
            <w:r>
              <w:rPr>
                <w:rFonts w:hint="eastAsia" w:ascii="宋体" w:hAnsi="宋体" w:cs="宋体"/>
                <w:sz w:val="24"/>
                <w:lang w:val="en-US" w:eastAsia="zh-CN"/>
              </w:rPr>
              <w:t>市场</w:t>
            </w:r>
            <w:r>
              <w:rPr>
                <w:rFonts w:hint="eastAsia" w:ascii="宋体" w:hAnsi="宋体" w:eastAsia="宋体" w:cs="宋体"/>
                <w:sz w:val="24"/>
                <w:lang w:val="en-US" w:eastAsia="zh-CN"/>
              </w:rPr>
              <w:t>规模有望进一步扩大</w:t>
            </w:r>
            <w:r>
              <w:rPr>
                <w:rFonts w:hint="eastAsia" w:ascii="宋体" w:hAnsi="宋体" w:cs="宋体"/>
                <w:sz w:val="24"/>
                <w:lang w:val="en-US" w:eastAsia="zh-CN"/>
              </w:rPr>
              <w:t>。</w:t>
            </w:r>
          </w:p>
          <w:p>
            <w:pPr>
              <w:widowControl/>
              <w:numPr>
                <w:ilvl w:val="-1"/>
                <w:numId w:val="0"/>
              </w:numPr>
              <w:spacing w:line="560" w:lineRule="exact"/>
              <w:ind w:firstLine="480" w:firstLineChars="200"/>
              <w:jc w:val="left"/>
              <w:rPr>
                <w:rFonts w:hint="default" w:ascii="宋体" w:hAnsi="宋体" w:eastAsia="宋体" w:cs="宋体"/>
                <w:sz w:val="24"/>
              </w:rPr>
            </w:pPr>
            <w:r>
              <w:rPr>
                <w:rFonts w:hint="eastAsia" w:ascii="宋体" w:hAnsi="宋体" w:cs="宋体"/>
                <w:sz w:val="24"/>
                <w:lang w:val="en-US" w:eastAsia="zh-CN"/>
              </w:rPr>
              <w:t>目前，</w:t>
            </w:r>
            <w:r>
              <w:rPr>
                <w:rFonts w:hint="eastAsia" w:ascii="宋体" w:hAnsi="宋体" w:cs="宋体"/>
                <w:b w:val="0"/>
                <w:sz w:val="24"/>
                <w:lang w:val="en-US" w:eastAsia="zh-CN"/>
              </w:rPr>
              <w:t>公司</w:t>
            </w:r>
            <w:r>
              <w:rPr>
                <w:rFonts w:hint="eastAsia" w:ascii="宋体" w:hAnsi="宋体" w:eastAsia="宋体" w:cs="宋体"/>
                <w:b w:val="0"/>
                <w:sz w:val="24"/>
                <w:lang w:val="en-US" w:eastAsia="zh-CN"/>
              </w:rPr>
              <w:t>电</w:t>
            </w:r>
            <w:r>
              <w:rPr>
                <w:rFonts w:hint="default" w:ascii="宋体" w:hAnsi="宋体" w:eastAsia="宋体" w:cs="宋体"/>
                <w:sz w:val="24"/>
              </w:rPr>
              <w:t>阻片产品客户以10kV低电压等级避雷器的中标</w:t>
            </w:r>
            <w:r>
              <w:rPr>
                <w:rFonts w:hint="eastAsia" w:ascii="宋体" w:hAnsi="宋体" w:eastAsia="宋体" w:cs="宋体"/>
                <w:sz w:val="24"/>
                <w:lang w:val="en-US" w:eastAsia="zh-CN"/>
              </w:rPr>
              <w:t>企业</w:t>
            </w:r>
            <w:r>
              <w:rPr>
                <w:rFonts w:hint="default" w:ascii="宋体" w:hAnsi="宋体" w:eastAsia="宋体" w:cs="宋体"/>
                <w:sz w:val="24"/>
              </w:rPr>
              <w:t>为主</w:t>
            </w:r>
            <w:r>
              <w:rPr>
                <w:rFonts w:hint="eastAsia" w:ascii="宋体" w:hAnsi="宋体" w:eastAsia="宋体" w:cs="宋体"/>
                <w:sz w:val="24"/>
                <w:lang w:eastAsia="zh-CN"/>
              </w:rPr>
              <w:t>，</w:t>
            </w:r>
            <w:r>
              <w:rPr>
                <w:rFonts w:hint="eastAsia" w:ascii="宋体" w:hAnsi="宋体" w:cs="宋体"/>
                <w:sz w:val="24"/>
                <w:lang w:val="en-US" w:eastAsia="zh-CN"/>
              </w:rPr>
              <w:t>另有部分</w:t>
            </w:r>
            <w:r>
              <w:rPr>
                <w:rFonts w:hint="eastAsia" w:ascii="宋体" w:hAnsi="宋体" w:cs="宋体"/>
                <w:sz w:val="24"/>
              </w:rPr>
              <w:t>罐式避雷器、35kV</w:t>
            </w:r>
            <w:bookmarkStart w:id="0" w:name="_GoBack"/>
            <w:bookmarkEnd w:id="0"/>
            <w:r>
              <w:rPr>
                <w:rFonts w:hint="eastAsia" w:ascii="宋体" w:hAnsi="宋体" w:cs="宋体"/>
                <w:sz w:val="24"/>
              </w:rPr>
              <w:t>以上避雷器</w:t>
            </w:r>
            <w:r>
              <w:rPr>
                <w:rFonts w:hint="eastAsia" w:ascii="宋体" w:hAnsi="宋体" w:cs="宋体"/>
                <w:sz w:val="24"/>
                <w:lang w:val="en-US" w:eastAsia="zh-CN"/>
              </w:rPr>
              <w:t>制造企业。公司积极筹划</w:t>
            </w:r>
            <w:r>
              <w:rPr>
                <w:rFonts w:hint="eastAsia" w:ascii="宋体" w:hAnsi="宋体" w:eastAsia="宋体" w:cs="宋体"/>
                <w:sz w:val="24"/>
                <w:lang w:val="en-US" w:eastAsia="zh-CN"/>
              </w:rPr>
              <w:t>内乡产业园电阻片产线，</w:t>
            </w:r>
            <w:r>
              <w:rPr>
                <w:rFonts w:hint="eastAsia" w:ascii="宋体" w:hAnsi="宋体" w:cs="宋体"/>
                <w:sz w:val="24"/>
                <w:lang w:val="en-US" w:eastAsia="zh-CN"/>
              </w:rPr>
              <w:t>届时</w:t>
            </w:r>
            <w:r>
              <w:rPr>
                <w:rFonts w:hint="eastAsia" w:ascii="宋体" w:hAnsi="宋体" w:eastAsia="宋体" w:cs="宋体"/>
                <w:sz w:val="24"/>
                <w:lang w:val="en-US" w:eastAsia="zh-CN"/>
              </w:rPr>
              <w:t>产能</w:t>
            </w:r>
            <w:r>
              <w:rPr>
                <w:rFonts w:hint="eastAsia" w:ascii="宋体" w:hAnsi="宋体" w:cs="宋体"/>
                <w:sz w:val="24"/>
                <w:lang w:val="en-US" w:eastAsia="zh-CN"/>
              </w:rPr>
              <w:t>将</w:t>
            </w:r>
            <w:r>
              <w:rPr>
                <w:rFonts w:hint="eastAsia" w:ascii="宋体" w:hAnsi="宋体" w:eastAsia="宋体" w:cs="宋体"/>
                <w:sz w:val="24"/>
                <w:lang w:val="en-US" w:eastAsia="zh-CN"/>
              </w:rPr>
              <w:t>进一步释放，助力公司电阻片业务快速</w:t>
            </w:r>
            <w:r>
              <w:rPr>
                <w:rFonts w:hint="eastAsia" w:ascii="宋体" w:hAnsi="宋体" w:cs="宋体"/>
                <w:sz w:val="24"/>
                <w:lang w:val="en-US" w:eastAsia="zh-CN"/>
              </w:rPr>
              <w:t>增长</w:t>
            </w:r>
            <w:r>
              <w:rPr>
                <w:rFonts w:hint="eastAsia" w:ascii="宋体" w:hAnsi="宋体" w:eastAsia="宋体" w:cs="宋体"/>
                <w:sz w:val="24"/>
                <w:lang w:val="en-US"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2" w:firstLineChars="200"/>
              <w:jc w:val="left"/>
              <w:textAlignment w:val="auto"/>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6、</w:t>
            </w:r>
            <w:r>
              <w:rPr>
                <w:rFonts w:hint="eastAsia" w:ascii="宋体" w:hAnsi="宋体" w:cs="宋体"/>
                <w:b/>
                <w:color w:val="auto"/>
                <w:sz w:val="24"/>
              </w:rPr>
              <w:t>配网业务未来发展趋势？公司配网产品</w:t>
            </w:r>
            <w:r>
              <w:rPr>
                <w:rFonts w:hint="eastAsia" w:ascii="宋体" w:hAnsi="宋体" w:cs="宋体"/>
                <w:b/>
                <w:color w:val="auto"/>
                <w:sz w:val="24"/>
                <w:lang w:val="en-US" w:eastAsia="zh-CN"/>
              </w:rPr>
              <w:t>在哪些区域陆续取得订单</w:t>
            </w:r>
            <w:r>
              <w:rPr>
                <w:rFonts w:hint="eastAsia" w:ascii="宋体" w:hAnsi="宋体" w:cs="宋体"/>
                <w:b/>
                <w:color w:val="auto"/>
                <w:sz w:val="24"/>
              </w:rPr>
              <w:t>？</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sz w:val="24"/>
              </w:rPr>
            </w:pPr>
            <w:r>
              <w:rPr>
                <w:rFonts w:hint="eastAsia" w:ascii="宋体" w:hAnsi="宋体" w:cs="宋体"/>
                <w:sz w:val="24"/>
              </w:rPr>
              <w:t>配电设备行业是多种学科交叉的行业，近年来，产品逐步向智能化、信息化、集成化、高效节能的方向发展，生产企业迈向数字化及智能制造转型升级。</w:t>
            </w:r>
            <w:r>
              <w:rPr>
                <w:rFonts w:hint="eastAsia" w:ascii="宋体" w:hAnsi="宋体" w:cs="宋体"/>
                <w:sz w:val="24"/>
                <w:lang w:val="en-US" w:eastAsia="zh-CN"/>
              </w:rPr>
              <w:t>此外，</w:t>
            </w:r>
            <w:r>
              <w:rPr>
                <w:rFonts w:hint="eastAsia" w:ascii="宋体" w:hAnsi="宋体" w:cs="宋体"/>
                <w:sz w:val="24"/>
              </w:rPr>
              <w:t>新能源的接入要求配电网规划进行适应性调整，提高配电网对分布式新能源的接纳、配置和调控能力。这直接促进了特高压线路建设与配网的协同发展。</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sz w:val="24"/>
              </w:rPr>
            </w:pPr>
            <w:r>
              <w:rPr>
                <w:rFonts w:hint="eastAsia" w:ascii="宋体" w:hAnsi="宋体" w:cs="宋体"/>
                <w:sz w:val="24"/>
              </w:rPr>
              <w:t>2024年，南方电网全面推进电网设备大规模更新改造，预计2024年投资规模将达到404亿元；电网公司加大投资主要用于特高压交直流工程建设及配电网设备的柔性化、智能化、数字化提升，为配网业务等相关产业链发展带来了广阔的空间。</w:t>
            </w:r>
          </w:p>
          <w:p>
            <w:pPr>
              <w:widowControl/>
              <w:numPr>
                <w:ilvl w:val="-1"/>
                <w:numId w:val="0"/>
              </w:numPr>
              <w:spacing w:line="560" w:lineRule="exact"/>
              <w:ind w:firstLine="480" w:firstLineChars="200"/>
              <w:jc w:val="left"/>
              <w:rPr>
                <w:rFonts w:hint="eastAsia" w:ascii="宋体" w:hAnsi="宋体" w:cs="宋体"/>
                <w:b/>
                <w:sz w:val="24"/>
                <w:lang w:val="en-US" w:eastAsia="zh-CN"/>
              </w:rPr>
            </w:pPr>
            <w:r>
              <w:rPr>
                <w:rFonts w:hint="eastAsia" w:ascii="宋体" w:hAnsi="宋体" w:cs="宋体"/>
                <w:sz w:val="24"/>
              </w:rPr>
              <w:t>上半年，公司智能配电网产品持续在安徽、浙江、甘肃、河北、江苏、河南等省份取得中标1.09亿元。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271" w:type="dxa"/>
            <w:tcBorders>
              <w:bottom w:val="single" w:color="auto" w:sz="4" w:space="0"/>
            </w:tcBorders>
            <w:vAlign w:val="center"/>
          </w:tcPr>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附件</w:t>
            </w:r>
          </w:p>
          <w:p>
            <w:pPr>
              <w:autoSpaceDE w:val="0"/>
              <w:autoSpaceDN w:val="0"/>
              <w:adjustRightInd w:val="0"/>
              <w:jc w:val="center"/>
              <w:rPr>
                <w:rFonts w:ascii="宋体" w:hAnsi="宋体" w:cs="宋体"/>
                <w:color w:val="000000"/>
                <w:kern w:val="0"/>
                <w:sz w:val="24"/>
              </w:rPr>
            </w:pPr>
            <w:r>
              <w:rPr>
                <w:rFonts w:hint="eastAsia" w:ascii="宋体" w:hAnsi="宋体" w:cs="宋体"/>
                <w:color w:val="000000"/>
                <w:kern w:val="0"/>
                <w:sz w:val="24"/>
              </w:rPr>
              <w:t>清单</w:t>
            </w:r>
          </w:p>
        </w:tc>
        <w:tc>
          <w:tcPr>
            <w:tcW w:w="7722" w:type="dxa"/>
            <w:tcBorders>
              <w:bottom w:val="single" w:color="auto" w:sz="4" w:space="0"/>
            </w:tcBorders>
            <w:vAlign w:val="center"/>
          </w:tcPr>
          <w:p>
            <w:pPr>
              <w:rPr>
                <w:rFonts w:ascii="宋体" w:hAnsi="宋体" w:cs="宋体"/>
                <w:color w:val="000000"/>
                <w:kern w:val="0"/>
                <w:sz w:val="24"/>
              </w:rPr>
            </w:pPr>
            <w:r>
              <w:rPr>
                <w:rFonts w:hint="eastAsia" w:ascii="宋体" w:hAnsi="宋体" w:cs="宋体"/>
                <w:color w:val="000000"/>
                <w:kern w:val="0"/>
                <w:sz w:val="24"/>
              </w:rPr>
              <w:t>无</w:t>
            </w:r>
          </w:p>
        </w:tc>
      </w:tr>
    </w:tbl>
    <w:p>
      <w:pPr>
        <w:rPr>
          <w:rFonts w:ascii="宋体" w:hAnsi="宋体" w:cs="宋体"/>
          <w:color w:val="000000"/>
          <w:kern w:val="0"/>
          <w:sz w:val="24"/>
        </w:rPr>
      </w:pPr>
    </w:p>
    <w:p>
      <w:pPr>
        <w:rPr>
          <w:rFonts w:ascii="宋体" w:hAnsi="宋体" w:cs="宋体"/>
          <w:color w:val="000000"/>
          <w:kern w:val="0"/>
          <w:sz w:val="24"/>
        </w:rPr>
      </w:pPr>
    </w:p>
    <w:sectPr>
      <w:headerReference r:id="rId3" w:type="first"/>
      <w:footerReference r:id="rId5" w:type="first"/>
      <w:footerReference r:id="rId4" w:type="default"/>
      <w:pgSz w:w="11906" w:h="16838"/>
      <w:pgMar w:top="1304" w:right="1797"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w:t>
    </w:r>
    <w:r>
      <w:rPr>
        <w:rStyle w:val="13"/>
      </w:rPr>
      <w:fldChar w:fldCharType="begin"/>
    </w:r>
    <w:r>
      <w:rPr>
        <w:rStyle w:val="13"/>
      </w:rPr>
      <w:instrText xml:space="preserve"> PAGE </w:instrText>
    </w:r>
    <w:r>
      <w:rPr>
        <w:rStyle w:val="13"/>
      </w:rPr>
      <w:fldChar w:fldCharType="separate"/>
    </w:r>
    <w:r>
      <w:rPr>
        <w:rStyle w:val="13"/>
      </w:rPr>
      <w:t>1</w:t>
    </w:r>
    <w:r>
      <w:rPr>
        <w:rStyle w:val="13"/>
      </w:rPr>
      <w:fldChar w:fldCharType="end"/>
    </w:r>
    <w:r>
      <w:rPr>
        <w:rStyle w:val="13"/>
      </w:rPr>
      <w:t>-</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0NDkzMTg3YTAzYWQxYWFjOGMzZDBkODA2M2IzMmUifQ=="/>
    <w:docVar w:name="KSO_WPS_MARK_KEY" w:val="03650444-21ed-4679-9a80-cda055952472"/>
  </w:docVars>
  <w:rsids>
    <w:rsidRoot w:val="00172A27"/>
    <w:rsid w:val="00004ADB"/>
    <w:rsid w:val="00004F2F"/>
    <w:rsid w:val="00070C9B"/>
    <w:rsid w:val="00074F3D"/>
    <w:rsid w:val="00087DB6"/>
    <w:rsid w:val="00093E67"/>
    <w:rsid w:val="00096874"/>
    <w:rsid w:val="000B2347"/>
    <w:rsid w:val="000D3B07"/>
    <w:rsid w:val="000D799E"/>
    <w:rsid w:val="000E2ED3"/>
    <w:rsid w:val="000E30A9"/>
    <w:rsid w:val="00142518"/>
    <w:rsid w:val="00144061"/>
    <w:rsid w:val="00144672"/>
    <w:rsid w:val="00161351"/>
    <w:rsid w:val="00172A27"/>
    <w:rsid w:val="00176017"/>
    <w:rsid w:val="00187E2D"/>
    <w:rsid w:val="001957FC"/>
    <w:rsid w:val="001A13BD"/>
    <w:rsid w:val="001A5927"/>
    <w:rsid w:val="001A7356"/>
    <w:rsid w:val="00203129"/>
    <w:rsid w:val="0021285C"/>
    <w:rsid w:val="00213C9E"/>
    <w:rsid w:val="00234FC8"/>
    <w:rsid w:val="002448F3"/>
    <w:rsid w:val="002A0C59"/>
    <w:rsid w:val="002C10C4"/>
    <w:rsid w:val="002D122F"/>
    <w:rsid w:val="002E47B8"/>
    <w:rsid w:val="00304BDB"/>
    <w:rsid w:val="00315E48"/>
    <w:rsid w:val="00341506"/>
    <w:rsid w:val="003576D8"/>
    <w:rsid w:val="00367740"/>
    <w:rsid w:val="00370C8B"/>
    <w:rsid w:val="003903C0"/>
    <w:rsid w:val="00397E19"/>
    <w:rsid w:val="003D089D"/>
    <w:rsid w:val="003D6191"/>
    <w:rsid w:val="003E5DEA"/>
    <w:rsid w:val="003F0B2B"/>
    <w:rsid w:val="003F651B"/>
    <w:rsid w:val="00414F4D"/>
    <w:rsid w:val="00426F4A"/>
    <w:rsid w:val="00450B1D"/>
    <w:rsid w:val="00471FAC"/>
    <w:rsid w:val="00474BFD"/>
    <w:rsid w:val="0048081E"/>
    <w:rsid w:val="0049224F"/>
    <w:rsid w:val="00494A56"/>
    <w:rsid w:val="0049713B"/>
    <w:rsid w:val="004A1B88"/>
    <w:rsid w:val="004A2240"/>
    <w:rsid w:val="004D23EA"/>
    <w:rsid w:val="004E558E"/>
    <w:rsid w:val="005518C5"/>
    <w:rsid w:val="005642B9"/>
    <w:rsid w:val="00577071"/>
    <w:rsid w:val="00580352"/>
    <w:rsid w:val="00591C01"/>
    <w:rsid w:val="005A5B18"/>
    <w:rsid w:val="005C7E87"/>
    <w:rsid w:val="005D3532"/>
    <w:rsid w:val="005D6EF2"/>
    <w:rsid w:val="005D71EC"/>
    <w:rsid w:val="005F3D34"/>
    <w:rsid w:val="005F500A"/>
    <w:rsid w:val="006060BF"/>
    <w:rsid w:val="00606753"/>
    <w:rsid w:val="00624F16"/>
    <w:rsid w:val="006427F7"/>
    <w:rsid w:val="00647405"/>
    <w:rsid w:val="00652983"/>
    <w:rsid w:val="00657A82"/>
    <w:rsid w:val="006623CA"/>
    <w:rsid w:val="00675E41"/>
    <w:rsid w:val="006A28C7"/>
    <w:rsid w:val="006B1422"/>
    <w:rsid w:val="006C0103"/>
    <w:rsid w:val="006C0AFF"/>
    <w:rsid w:val="006C17FF"/>
    <w:rsid w:val="006D1871"/>
    <w:rsid w:val="006E33B7"/>
    <w:rsid w:val="0071220C"/>
    <w:rsid w:val="00715181"/>
    <w:rsid w:val="00722DCC"/>
    <w:rsid w:val="007264CB"/>
    <w:rsid w:val="00735E2E"/>
    <w:rsid w:val="00776728"/>
    <w:rsid w:val="007B384E"/>
    <w:rsid w:val="007B4A09"/>
    <w:rsid w:val="007D7222"/>
    <w:rsid w:val="007D7676"/>
    <w:rsid w:val="007E3DF4"/>
    <w:rsid w:val="007F5E30"/>
    <w:rsid w:val="008000BE"/>
    <w:rsid w:val="008050A0"/>
    <w:rsid w:val="00807B75"/>
    <w:rsid w:val="008307A2"/>
    <w:rsid w:val="008309D7"/>
    <w:rsid w:val="0083475A"/>
    <w:rsid w:val="00835E92"/>
    <w:rsid w:val="008411CB"/>
    <w:rsid w:val="008419A2"/>
    <w:rsid w:val="0084473D"/>
    <w:rsid w:val="00852B74"/>
    <w:rsid w:val="00877B59"/>
    <w:rsid w:val="00880DC8"/>
    <w:rsid w:val="008B3404"/>
    <w:rsid w:val="008B72A8"/>
    <w:rsid w:val="008E6C29"/>
    <w:rsid w:val="008E7D2F"/>
    <w:rsid w:val="00901472"/>
    <w:rsid w:val="0090559E"/>
    <w:rsid w:val="00905EB3"/>
    <w:rsid w:val="009063DE"/>
    <w:rsid w:val="00907C86"/>
    <w:rsid w:val="0091048F"/>
    <w:rsid w:val="00914A4E"/>
    <w:rsid w:val="00922CCC"/>
    <w:rsid w:val="00943376"/>
    <w:rsid w:val="00947011"/>
    <w:rsid w:val="00966CDC"/>
    <w:rsid w:val="00977B4E"/>
    <w:rsid w:val="00984DBF"/>
    <w:rsid w:val="009A5868"/>
    <w:rsid w:val="009B4482"/>
    <w:rsid w:val="009C778F"/>
    <w:rsid w:val="009E72F7"/>
    <w:rsid w:val="009F0322"/>
    <w:rsid w:val="00A12CFB"/>
    <w:rsid w:val="00A437EA"/>
    <w:rsid w:val="00A45BF1"/>
    <w:rsid w:val="00A5175C"/>
    <w:rsid w:val="00A552F3"/>
    <w:rsid w:val="00A57063"/>
    <w:rsid w:val="00A62D25"/>
    <w:rsid w:val="00A630D3"/>
    <w:rsid w:val="00A63E52"/>
    <w:rsid w:val="00A67EAD"/>
    <w:rsid w:val="00A77B3B"/>
    <w:rsid w:val="00A77DA5"/>
    <w:rsid w:val="00A81053"/>
    <w:rsid w:val="00AA53F6"/>
    <w:rsid w:val="00AF2564"/>
    <w:rsid w:val="00AF395D"/>
    <w:rsid w:val="00B14993"/>
    <w:rsid w:val="00B339BA"/>
    <w:rsid w:val="00B44347"/>
    <w:rsid w:val="00B446A5"/>
    <w:rsid w:val="00B51102"/>
    <w:rsid w:val="00B5127F"/>
    <w:rsid w:val="00B8491C"/>
    <w:rsid w:val="00BA1575"/>
    <w:rsid w:val="00BD2C2F"/>
    <w:rsid w:val="00BD2CF7"/>
    <w:rsid w:val="00BE0A85"/>
    <w:rsid w:val="00BF670B"/>
    <w:rsid w:val="00C17A94"/>
    <w:rsid w:val="00C25035"/>
    <w:rsid w:val="00C352F7"/>
    <w:rsid w:val="00C36519"/>
    <w:rsid w:val="00C43BC5"/>
    <w:rsid w:val="00C704BA"/>
    <w:rsid w:val="00C75529"/>
    <w:rsid w:val="00CA587D"/>
    <w:rsid w:val="00CA7142"/>
    <w:rsid w:val="00CB0B28"/>
    <w:rsid w:val="00CB11C4"/>
    <w:rsid w:val="00CC1D1E"/>
    <w:rsid w:val="00CD3967"/>
    <w:rsid w:val="00CF173A"/>
    <w:rsid w:val="00CF365D"/>
    <w:rsid w:val="00D022F3"/>
    <w:rsid w:val="00D32235"/>
    <w:rsid w:val="00D450C1"/>
    <w:rsid w:val="00D53E42"/>
    <w:rsid w:val="00DB1147"/>
    <w:rsid w:val="00DD291D"/>
    <w:rsid w:val="00DD6DF8"/>
    <w:rsid w:val="00DE2B8C"/>
    <w:rsid w:val="00DE7253"/>
    <w:rsid w:val="00E03494"/>
    <w:rsid w:val="00E04FD8"/>
    <w:rsid w:val="00E055E3"/>
    <w:rsid w:val="00E10267"/>
    <w:rsid w:val="00E2717F"/>
    <w:rsid w:val="00E44A97"/>
    <w:rsid w:val="00E71F08"/>
    <w:rsid w:val="00E9725F"/>
    <w:rsid w:val="00EA7FF3"/>
    <w:rsid w:val="00EB413C"/>
    <w:rsid w:val="00EC4071"/>
    <w:rsid w:val="00EC5341"/>
    <w:rsid w:val="00EE1A36"/>
    <w:rsid w:val="00F0689B"/>
    <w:rsid w:val="00F3216C"/>
    <w:rsid w:val="00F45C9D"/>
    <w:rsid w:val="00F462BA"/>
    <w:rsid w:val="00F63350"/>
    <w:rsid w:val="00F65ED7"/>
    <w:rsid w:val="00F7596E"/>
    <w:rsid w:val="00F775D2"/>
    <w:rsid w:val="00F92761"/>
    <w:rsid w:val="00FB0278"/>
    <w:rsid w:val="00FB4CB6"/>
    <w:rsid w:val="00FB7230"/>
    <w:rsid w:val="00FD4D02"/>
    <w:rsid w:val="00FF61C3"/>
    <w:rsid w:val="00FF635B"/>
    <w:rsid w:val="011357FD"/>
    <w:rsid w:val="014F57BF"/>
    <w:rsid w:val="016D018B"/>
    <w:rsid w:val="023A1064"/>
    <w:rsid w:val="027829B5"/>
    <w:rsid w:val="02CE1FD2"/>
    <w:rsid w:val="034477A1"/>
    <w:rsid w:val="03760081"/>
    <w:rsid w:val="04A80D30"/>
    <w:rsid w:val="070139C7"/>
    <w:rsid w:val="07DE0E81"/>
    <w:rsid w:val="0A196B02"/>
    <w:rsid w:val="0A403005"/>
    <w:rsid w:val="0AF1041C"/>
    <w:rsid w:val="0CCB1627"/>
    <w:rsid w:val="0CEA71A1"/>
    <w:rsid w:val="0D1C7316"/>
    <w:rsid w:val="0DAE7F22"/>
    <w:rsid w:val="0E5C606A"/>
    <w:rsid w:val="0F6027AE"/>
    <w:rsid w:val="11FB53E6"/>
    <w:rsid w:val="133D577E"/>
    <w:rsid w:val="138429B6"/>
    <w:rsid w:val="13937C48"/>
    <w:rsid w:val="13FD600E"/>
    <w:rsid w:val="14DD558B"/>
    <w:rsid w:val="153A32A2"/>
    <w:rsid w:val="154257B7"/>
    <w:rsid w:val="15D7537D"/>
    <w:rsid w:val="1729659A"/>
    <w:rsid w:val="18B31DEF"/>
    <w:rsid w:val="19472D5F"/>
    <w:rsid w:val="1B7406FF"/>
    <w:rsid w:val="1C344B0C"/>
    <w:rsid w:val="1C352D76"/>
    <w:rsid w:val="1D885A81"/>
    <w:rsid w:val="1DDA1B97"/>
    <w:rsid w:val="1F736A33"/>
    <w:rsid w:val="1FA62463"/>
    <w:rsid w:val="20FB3719"/>
    <w:rsid w:val="225C5A11"/>
    <w:rsid w:val="23D02ABE"/>
    <w:rsid w:val="24380586"/>
    <w:rsid w:val="25B24CEA"/>
    <w:rsid w:val="26225532"/>
    <w:rsid w:val="26F87CAD"/>
    <w:rsid w:val="27501099"/>
    <w:rsid w:val="27C747D2"/>
    <w:rsid w:val="28F01E8D"/>
    <w:rsid w:val="290119D9"/>
    <w:rsid w:val="29433843"/>
    <w:rsid w:val="2A3628CA"/>
    <w:rsid w:val="2A5F0DF4"/>
    <w:rsid w:val="2C544408"/>
    <w:rsid w:val="2CEB783B"/>
    <w:rsid w:val="2E824B5A"/>
    <w:rsid w:val="2ED617FA"/>
    <w:rsid w:val="2F7A3D93"/>
    <w:rsid w:val="2F840440"/>
    <w:rsid w:val="3119389F"/>
    <w:rsid w:val="3122462A"/>
    <w:rsid w:val="315F4133"/>
    <w:rsid w:val="32064FFD"/>
    <w:rsid w:val="341F3B92"/>
    <w:rsid w:val="34AC5342"/>
    <w:rsid w:val="3642219F"/>
    <w:rsid w:val="367A0AAD"/>
    <w:rsid w:val="373C0A82"/>
    <w:rsid w:val="37856537"/>
    <w:rsid w:val="385E33B9"/>
    <w:rsid w:val="38D7006D"/>
    <w:rsid w:val="3A5B0C83"/>
    <w:rsid w:val="3B1748CF"/>
    <w:rsid w:val="3B2A4BE0"/>
    <w:rsid w:val="3CCA3379"/>
    <w:rsid w:val="3D4803A6"/>
    <w:rsid w:val="3D551685"/>
    <w:rsid w:val="3D5B705F"/>
    <w:rsid w:val="3D67238F"/>
    <w:rsid w:val="408F0186"/>
    <w:rsid w:val="41ED3C4B"/>
    <w:rsid w:val="44057262"/>
    <w:rsid w:val="44AD4E1A"/>
    <w:rsid w:val="46C95D05"/>
    <w:rsid w:val="47C12042"/>
    <w:rsid w:val="48AE0E75"/>
    <w:rsid w:val="498C371F"/>
    <w:rsid w:val="49EA2F90"/>
    <w:rsid w:val="4DFD7181"/>
    <w:rsid w:val="4E984745"/>
    <w:rsid w:val="4F1263A3"/>
    <w:rsid w:val="5034137F"/>
    <w:rsid w:val="50344D25"/>
    <w:rsid w:val="504E0C48"/>
    <w:rsid w:val="52D140B7"/>
    <w:rsid w:val="530F204F"/>
    <w:rsid w:val="534734E5"/>
    <w:rsid w:val="54EC6A5F"/>
    <w:rsid w:val="55DA4912"/>
    <w:rsid w:val="55E821FD"/>
    <w:rsid w:val="569E71AA"/>
    <w:rsid w:val="56A0411D"/>
    <w:rsid w:val="58FE53CC"/>
    <w:rsid w:val="592E1A58"/>
    <w:rsid w:val="592F04A1"/>
    <w:rsid w:val="59741916"/>
    <w:rsid w:val="5B591377"/>
    <w:rsid w:val="5C0F6658"/>
    <w:rsid w:val="5C7E6656"/>
    <w:rsid w:val="5D6669BE"/>
    <w:rsid w:val="5E86208F"/>
    <w:rsid w:val="60F612B1"/>
    <w:rsid w:val="619E3075"/>
    <w:rsid w:val="62743203"/>
    <w:rsid w:val="63436C5F"/>
    <w:rsid w:val="63BC60E6"/>
    <w:rsid w:val="649F7841"/>
    <w:rsid w:val="64A5771C"/>
    <w:rsid w:val="64E04D93"/>
    <w:rsid w:val="659D059F"/>
    <w:rsid w:val="6689403A"/>
    <w:rsid w:val="66FD552D"/>
    <w:rsid w:val="67C623D5"/>
    <w:rsid w:val="680F7AC7"/>
    <w:rsid w:val="68A021CE"/>
    <w:rsid w:val="68D84919"/>
    <w:rsid w:val="6AB46566"/>
    <w:rsid w:val="6B221811"/>
    <w:rsid w:val="6B3D3D8F"/>
    <w:rsid w:val="6BDE1E34"/>
    <w:rsid w:val="6D047CDB"/>
    <w:rsid w:val="6EA34DFA"/>
    <w:rsid w:val="711F20AE"/>
    <w:rsid w:val="71436953"/>
    <w:rsid w:val="718C1DBC"/>
    <w:rsid w:val="719E596E"/>
    <w:rsid w:val="71DB27B2"/>
    <w:rsid w:val="727F24CD"/>
    <w:rsid w:val="72F93DB9"/>
    <w:rsid w:val="735415BA"/>
    <w:rsid w:val="742D382A"/>
    <w:rsid w:val="75EA4FE2"/>
    <w:rsid w:val="773109EF"/>
    <w:rsid w:val="7779293F"/>
    <w:rsid w:val="78BE62B2"/>
    <w:rsid w:val="79F77CCE"/>
    <w:rsid w:val="7A536ACA"/>
    <w:rsid w:val="7AAA62CC"/>
    <w:rsid w:val="7DC6059C"/>
    <w:rsid w:val="7EF1191F"/>
    <w:rsid w:val="7FC033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widowControl w:val="0"/>
      <w:spacing w:after="120"/>
      <w:jc w:val="both"/>
    </w:pPr>
    <w:rPr>
      <w:rFonts w:ascii="Times New Roman" w:hAnsi="Times New Roman" w:cs="Times New Roman"/>
      <w:kern w:val="2"/>
      <w:szCs w:val="21"/>
    </w:rPr>
  </w:style>
  <w:style w:type="paragraph" w:styleId="3">
    <w:name w:val="Title"/>
    <w:basedOn w:val="1"/>
    <w:next w:val="1"/>
    <w:qFormat/>
    <w:uiPriority w:val="10"/>
    <w:pPr>
      <w:spacing w:after="60"/>
      <w:jc w:val="left"/>
      <w:outlineLvl w:val="0"/>
    </w:pPr>
    <w:rPr>
      <w:rFonts w:asciiTheme="majorHAnsi" w:hAnsiTheme="majorHAnsi" w:cstheme="majorBidi"/>
      <w:b/>
      <w:bCs/>
      <w:sz w:val="32"/>
      <w:szCs w:val="32"/>
    </w:rPr>
  </w:style>
  <w:style w:type="paragraph" w:styleId="4">
    <w:name w:val="Body Text Indent"/>
    <w:basedOn w:val="1"/>
    <w:unhideWhenUsed/>
    <w:qFormat/>
    <w:uiPriority w:val="99"/>
    <w:pPr>
      <w:spacing w:after="120"/>
      <w:ind w:left="420" w:leftChars="20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table" w:styleId="10">
    <w:name w:val="Table Grid"/>
    <w:basedOn w:val="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styleId="14">
    <w:name w:val="Emphasis"/>
    <w:basedOn w:val="11"/>
    <w:qFormat/>
    <w:uiPriority w:val="20"/>
    <w:rPr>
      <w:i/>
    </w:r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paragraph" w:customStyle="1" w:styleId="1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8">
    <w:name w:val="List Paragraph"/>
    <w:basedOn w:val="1"/>
    <w:qFormat/>
    <w:uiPriority w:val="34"/>
    <w:pPr>
      <w:ind w:firstLine="420" w:firstLineChars="200"/>
    </w:pPr>
    <w:rPr>
      <w:rFonts w:ascii="等线" w:hAnsi="等线" w:eastAsia="等线"/>
      <w:szCs w:val="22"/>
    </w:rPr>
  </w:style>
  <w:style w:type="paragraph" w:customStyle="1" w:styleId="19">
    <w:name w:val="msolistparagraph"/>
    <w:basedOn w:val="1"/>
    <w:qFormat/>
    <w:uiPriority w:val="0"/>
    <w:pPr>
      <w:ind w:firstLine="420" w:firstLineChars="200"/>
    </w:pPr>
    <w:rPr>
      <w:rFonts w:hint="eastAsia" w:ascii="等线" w:hAnsi="等线" w:eastAsia="等线"/>
      <w:szCs w:val="22"/>
    </w:rPr>
  </w:style>
  <w:style w:type="paragraph" w:customStyle="1" w:styleId="20">
    <w:name w:val="005正文"/>
    <w:basedOn w:val="1"/>
    <w:link w:val="21"/>
    <w:qFormat/>
    <w:uiPriority w:val="0"/>
    <w:pPr>
      <w:spacing w:beforeLines="50"/>
    </w:pPr>
    <w:rPr>
      <w:szCs w:val="22"/>
    </w:rPr>
  </w:style>
  <w:style w:type="character" w:customStyle="1" w:styleId="21">
    <w:name w:val="005正文 Char"/>
    <w:link w:val="20"/>
    <w:qFormat/>
    <w:uiPriority w:val="0"/>
    <w:rPr>
      <w:rFonts w:hint="default" w:ascii="Times New Roman" w:hAnsi="Times New Roman" w:cs="Times New Roman"/>
      <w:kern w:val="2"/>
      <w:sz w:val="21"/>
      <w:szCs w:val="22"/>
    </w:rPr>
  </w:style>
  <w:style w:type="paragraph" w:customStyle="1" w:styleId="22">
    <w:name w:val="日常使用"/>
    <w:basedOn w:val="1"/>
    <w:link w:val="23"/>
    <w:qFormat/>
    <w:uiPriority w:val="0"/>
    <w:pPr>
      <w:spacing w:line="460" w:lineRule="exact"/>
      <w:ind w:firstLine="200" w:firstLineChars="200"/>
    </w:pPr>
    <w:rPr>
      <w:sz w:val="24"/>
      <w:szCs w:val="19"/>
      <w:shd w:val="clear" w:color="auto" w:fill="FFFFFF"/>
    </w:rPr>
  </w:style>
  <w:style w:type="character" w:customStyle="1" w:styleId="23">
    <w:name w:val="日常使用 字符"/>
    <w:link w:val="22"/>
    <w:qFormat/>
    <w:uiPriority w:val="0"/>
    <w:rPr>
      <w:rFonts w:ascii="Times New Roman" w:hAnsi="Times New Roman" w:cs="Times New Roman"/>
      <w:kern w:val="2"/>
      <w:sz w:val="24"/>
      <w:szCs w:val="19"/>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5CF8298C-0410-49CB-837A-9C2C6F535C88}">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1555</Words>
  <Characters>1620</Characters>
  <Lines>24</Lines>
  <Paragraphs>6</Paragraphs>
  <TotalTime>12</TotalTime>
  <ScaleCrop>false</ScaleCrop>
  <LinksUpToDate>false</LinksUpToDate>
  <CharactersWithSpaces>1673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2023-06-29T08:51:00Z</dcterms:created>
  <dc:creator>LYH</dc:creator>
  <cp:lastModifiedBy>liu yanna</cp:lastModifiedBy>
  <cp:lastPrinted>2024-08-27T09:44:00Z</cp:lastPrinted>
  <dcterms:modified xsi:type="dcterms:W3CDTF">2024-08-27T11:41:32Z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C1F6C3E6E17943379ECD851C73613C3D_13</vt:lpwstr>
  </property>
</Properties>
</file>