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5A61EB">
      <w:pPr>
        <w:adjustRightInd w:val="0"/>
        <w:snapToGrid w:val="0"/>
        <w:spacing w:line="360" w:lineRule="auto"/>
        <w:jc w:val="center"/>
        <w:rPr>
          <w:rFonts w:hint="eastAsia" w:ascii="宋体" w:hAnsi="宋体" w:eastAsia="宋体" w:cs="宋体"/>
          <w:b/>
          <w:bCs/>
          <w:sz w:val="30"/>
          <w:szCs w:val="30"/>
        </w:rPr>
      </w:pPr>
      <w:r>
        <w:rPr>
          <w:rFonts w:hint="eastAsia" w:ascii="宋体" w:hAnsi="宋体" w:eastAsia="宋体" w:cs="宋体"/>
          <w:b/>
          <w:bCs/>
          <w:sz w:val="30"/>
          <w:szCs w:val="30"/>
        </w:rPr>
        <w:t>国泰新点软件股份有限公司</w:t>
      </w:r>
    </w:p>
    <w:p w14:paraId="476B266C">
      <w:pPr>
        <w:adjustRightInd w:val="0"/>
        <w:snapToGrid w:val="0"/>
        <w:spacing w:line="360" w:lineRule="auto"/>
        <w:jc w:val="center"/>
        <w:rPr>
          <w:rFonts w:hint="eastAsia" w:ascii="宋体" w:hAnsi="宋体" w:eastAsia="宋体" w:cs="宋体"/>
          <w:b/>
          <w:bCs/>
          <w:sz w:val="30"/>
          <w:szCs w:val="30"/>
        </w:rPr>
      </w:pPr>
      <w:r>
        <w:rPr>
          <w:rFonts w:hint="eastAsia" w:ascii="宋体" w:hAnsi="宋体" w:eastAsia="宋体" w:cs="宋体"/>
          <w:b/>
          <w:bCs/>
          <w:sz w:val="30"/>
          <w:szCs w:val="30"/>
        </w:rPr>
        <w:t>投资者关系活动记录表</w:t>
      </w:r>
    </w:p>
    <w:p w14:paraId="74ADE3F5">
      <w:pPr>
        <w:spacing w:before="156" w:beforeLines="50" w:after="156" w:afterLines="50" w:line="360" w:lineRule="auto"/>
        <w:jc w:val="left"/>
        <w:rPr>
          <w:rFonts w:hint="eastAsia" w:ascii="宋体" w:hAnsi="宋体" w:eastAsia="宋体" w:cs="宋体"/>
          <w:b/>
          <w:bCs/>
          <w:sz w:val="24"/>
          <w:szCs w:val="24"/>
        </w:rPr>
      </w:pPr>
      <w:r>
        <w:rPr>
          <w:rFonts w:hint="eastAsia" w:ascii="宋体" w:hAnsi="宋体" w:eastAsia="宋体" w:cs="宋体"/>
          <w:b/>
          <w:bCs/>
          <w:sz w:val="24"/>
          <w:szCs w:val="24"/>
        </w:rPr>
        <w:t>证券简称：新点软件</w:t>
      </w:r>
      <w:r>
        <w:rPr>
          <w:rFonts w:ascii="宋体" w:hAnsi="宋体" w:eastAsia="宋体" w:cs="宋体"/>
          <w:b/>
          <w:bCs/>
          <w:sz w:val="24"/>
          <w:szCs w:val="24"/>
        </w:rPr>
        <w:t xml:space="preserve">         </w:t>
      </w:r>
      <w:r>
        <w:rPr>
          <w:rFonts w:hint="eastAsia" w:ascii="宋体" w:hAnsi="宋体" w:eastAsia="宋体" w:cs="宋体"/>
          <w:b/>
          <w:bCs/>
          <w:sz w:val="24"/>
          <w:szCs w:val="24"/>
        </w:rPr>
        <w:t>证券代码：</w:t>
      </w:r>
      <w:r>
        <w:rPr>
          <w:rFonts w:ascii="宋体" w:hAnsi="宋体" w:eastAsia="宋体" w:cs="宋体"/>
          <w:b/>
          <w:bCs/>
          <w:sz w:val="24"/>
          <w:szCs w:val="24"/>
        </w:rPr>
        <w:t xml:space="preserve">688232         </w:t>
      </w:r>
      <w:r>
        <w:rPr>
          <w:rFonts w:hint="eastAsia" w:ascii="宋体" w:hAnsi="宋体" w:eastAsia="宋体" w:cs="宋体"/>
          <w:b/>
          <w:bCs/>
          <w:sz w:val="24"/>
          <w:szCs w:val="24"/>
        </w:rPr>
        <w:t>编号：2</w:t>
      </w:r>
      <w:r>
        <w:rPr>
          <w:rFonts w:ascii="宋体" w:hAnsi="宋体" w:eastAsia="宋体" w:cs="宋体"/>
          <w:b/>
          <w:bCs/>
          <w:sz w:val="24"/>
          <w:szCs w:val="24"/>
        </w:rPr>
        <w:t>02</w:t>
      </w:r>
      <w:r>
        <w:rPr>
          <w:rFonts w:hint="eastAsia" w:ascii="宋体" w:hAnsi="宋体" w:eastAsia="宋体" w:cs="宋体"/>
          <w:b/>
          <w:bCs/>
          <w:sz w:val="24"/>
          <w:szCs w:val="24"/>
        </w:rPr>
        <w:t>4</w:t>
      </w:r>
      <w:r>
        <w:rPr>
          <w:rFonts w:ascii="宋体" w:hAnsi="宋体" w:eastAsia="宋体" w:cs="宋体"/>
          <w:b/>
          <w:bCs/>
          <w:sz w:val="24"/>
          <w:szCs w:val="24"/>
        </w:rPr>
        <w:t>-00</w:t>
      </w:r>
      <w:r>
        <w:rPr>
          <w:rFonts w:hint="eastAsia" w:ascii="宋体" w:hAnsi="宋体" w:eastAsia="宋体" w:cs="宋体"/>
          <w:b/>
          <w:bCs/>
          <w:sz w:val="24"/>
          <w:szCs w:val="24"/>
        </w:rPr>
        <w:t>2</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5749"/>
      </w:tblGrid>
      <w:tr w14:paraId="397599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47" w:type="dxa"/>
            <w:vAlign w:val="center"/>
          </w:tcPr>
          <w:p w14:paraId="4E0F2F54">
            <w:pPr>
              <w:spacing w:line="360" w:lineRule="auto"/>
              <w:jc w:val="center"/>
              <w:rPr>
                <w:rFonts w:hint="eastAsia" w:ascii="宋体" w:hAnsi="宋体" w:eastAsia="宋体" w:cs="宋体"/>
                <w:b/>
                <w:bCs/>
                <w:kern w:val="0"/>
                <w:sz w:val="20"/>
                <w:szCs w:val="21"/>
              </w:rPr>
            </w:pPr>
            <w:r>
              <w:rPr>
                <w:rFonts w:hint="eastAsia" w:ascii="宋体" w:hAnsi="宋体" w:eastAsia="宋体" w:cs="宋体"/>
                <w:b/>
                <w:bCs/>
                <w:kern w:val="0"/>
                <w:sz w:val="20"/>
                <w:szCs w:val="21"/>
              </w:rPr>
              <w:t>投资者关系活动类别</w:t>
            </w:r>
          </w:p>
        </w:tc>
        <w:tc>
          <w:tcPr>
            <w:tcW w:w="5749" w:type="dxa"/>
            <w:vAlign w:val="center"/>
          </w:tcPr>
          <w:p w14:paraId="37979723">
            <w:pPr>
              <w:spacing w:line="360" w:lineRule="auto"/>
              <w:rPr>
                <w:rFonts w:hint="eastAsia" w:ascii="宋体" w:hAnsi="宋体" w:eastAsia="宋体" w:cs="宋体"/>
                <w:kern w:val="0"/>
                <w:sz w:val="20"/>
                <w:szCs w:val="21"/>
              </w:rPr>
            </w:pPr>
            <w:r>
              <w:rPr>
                <w:rFonts w:hint="eastAsia" w:ascii="宋体" w:hAnsi="宋体" w:eastAsia="宋体" w:cs="宋体"/>
                <w:kern w:val="0"/>
                <w:sz w:val="20"/>
                <w:szCs w:val="21"/>
              </w:rPr>
              <w:t>□特定对象调研</w:t>
            </w:r>
            <w:r>
              <w:rPr>
                <w:rFonts w:ascii="宋体" w:hAnsi="宋体" w:eastAsia="宋体" w:cs="宋体"/>
                <w:kern w:val="0"/>
                <w:sz w:val="20"/>
                <w:szCs w:val="21"/>
              </w:rPr>
              <w:t xml:space="preserve">   </w:t>
            </w:r>
            <w:r>
              <w:rPr>
                <w:rFonts w:hint="eastAsia" w:ascii="宋体" w:hAnsi="宋体" w:eastAsia="宋体" w:cs="宋体"/>
                <w:kern w:val="0"/>
                <w:sz w:val="20"/>
                <w:szCs w:val="21"/>
              </w:rPr>
              <w:t>□分析师会议</w:t>
            </w:r>
            <w:r>
              <w:rPr>
                <w:rFonts w:ascii="宋体" w:hAnsi="宋体" w:eastAsia="宋体" w:cs="宋体"/>
                <w:kern w:val="0"/>
                <w:sz w:val="20"/>
                <w:szCs w:val="21"/>
              </w:rPr>
              <w:t xml:space="preserve">      </w:t>
            </w:r>
            <w:r>
              <w:rPr>
                <w:rFonts w:hint="eastAsia" w:ascii="宋体" w:hAnsi="宋体" w:eastAsia="宋体" w:cs="宋体"/>
                <w:kern w:val="0"/>
                <w:sz w:val="20"/>
                <w:szCs w:val="21"/>
              </w:rPr>
              <w:t>□现场参观</w:t>
            </w:r>
          </w:p>
          <w:p w14:paraId="4D8DE997">
            <w:pPr>
              <w:spacing w:line="360" w:lineRule="auto"/>
              <w:rPr>
                <w:rFonts w:hint="eastAsia" w:ascii="宋体" w:hAnsi="宋体" w:eastAsia="宋体" w:cs="宋体"/>
                <w:kern w:val="0"/>
                <w:sz w:val="20"/>
                <w:szCs w:val="21"/>
              </w:rPr>
            </w:pPr>
            <w:r>
              <w:rPr>
                <w:rFonts w:hint="eastAsia" w:ascii="宋体" w:hAnsi="宋体" w:eastAsia="宋体" w:cs="宋体"/>
                <w:kern w:val="0"/>
                <w:sz w:val="20"/>
                <w:szCs w:val="21"/>
              </w:rPr>
              <w:t>□媒体采访</w:t>
            </w:r>
            <w:r>
              <w:rPr>
                <w:rFonts w:ascii="宋体" w:hAnsi="宋体" w:eastAsia="宋体" w:cs="宋体"/>
                <w:kern w:val="0"/>
                <w:sz w:val="20"/>
                <w:szCs w:val="21"/>
              </w:rPr>
              <w:t xml:space="preserve">       </w:t>
            </w:r>
            <w:r>
              <w:rPr>
                <w:rFonts w:hint="eastAsia" w:ascii="宋体" w:hAnsi="宋体" w:eastAsia="宋体" w:cs="宋体"/>
                <w:kern w:val="0"/>
                <w:sz w:val="20"/>
                <w:szCs w:val="21"/>
              </w:rPr>
              <w:t>□业绩说明会</w:t>
            </w:r>
            <w:r>
              <w:rPr>
                <w:rFonts w:ascii="宋体" w:hAnsi="宋体" w:eastAsia="宋体" w:cs="宋体"/>
                <w:kern w:val="0"/>
                <w:sz w:val="20"/>
                <w:szCs w:val="21"/>
              </w:rPr>
              <w:t xml:space="preserve">      </w:t>
            </w:r>
            <w:r>
              <w:rPr>
                <w:rFonts w:hint="eastAsia" w:ascii="宋体" w:hAnsi="宋体" w:eastAsia="宋体" w:cs="宋体"/>
                <w:kern w:val="0"/>
                <w:sz w:val="20"/>
                <w:szCs w:val="21"/>
              </w:rPr>
              <w:t>□新闻发布会</w:t>
            </w:r>
          </w:p>
          <w:p w14:paraId="58471175">
            <w:pPr>
              <w:spacing w:line="360" w:lineRule="auto"/>
              <w:rPr>
                <w:rFonts w:hint="eastAsia" w:ascii="宋体" w:hAnsi="宋体" w:eastAsia="宋体" w:cs="宋体"/>
                <w:kern w:val="0"/>
                <w:sz w:val="20"/>
                <w:szCs w:val="21"/>
              </w:rPr>
            </w:pPr>
            <w:r>
              <w:rPr>
                <w:rFonts w:hint="eastAsia" w:ascii="宋体" w:hAnsi="宋体" w:eastAsia="宋体" w:cs="宋体"/>
                <w:kern w:val="0"/>
                <w:sz w:val="20"/>
                <w:szCs w:val="21"/>
              </w:rPr>
              <w:t>□路演活动</w:t>
            </w:r>
            <w:r>
              <w:rPr>
                <w:rFonts w:ascii="宋体" w:hAnsi="宋体" w:eastAsia="宋体" w:cs="宋体"/>
                <w:kern w:val="0"/>
                <w:sz w:val="20"/>
                <w:szCs w:val="21"/>
              </w:rPr>
              <w:t xml:space="preserve">       </w:t>
            </w:r>
            <w:r>
              <w:rPr>
                <w:rFonts w:hint="eastAsia" w:ascii="宋体" w:hAnsi="宋体" w:eastAsia="宋体" w:cs="宋体"/>
                <w:kern w:val="0"/>
                <w:sz w:val="20"/>
                <w:szCs w:val="21"/>
              </w:rPr>
              <w:sym w:font="Wingdings 2" w:char="F052"/>
            </w:r>
            <w:r>
              <w:rPr>
                <w:rFonts w:hint="eastAsia" w:ascii="宋体" w:hAnsi="宋体" w:eastAsia="宋体" w:cs="宋体"/>
                <w:kern w:val="0"/>
                <w:sz w:val="20"/>
                <w:szCs w:val="21"/>
              </w:rPr>
              <w:t>其他（电话会议）</w:t>
            </w:r>
          </w:p>
        </w:tc>
      </w:tr>
      <w:tr w14:paraId="3B7B42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47" w:type="dxa"/>
            <w:vAlign w:val="center"/>
          </w:tcPr>
          <w:p w14:paraId="6F9E4267">
            <w:pPr>
              <w:spacing w:line="360" w:lineRule="auto"/>
              <w:jc w:val="center"/>
              <w:rPr>
                <w:rFonts w:hint="eastAsia" w:ascii="宋体" w:hAnsi="宋体" w:eastAsia="宋体" w:cs="宋体"/>
                <w:b/>
                <w:bCs/>
                <w:kern w:val="0"/>
                <w:sz w:val="20"/>
                <w:szCs w:val="21"/>
              </w:rPr>
            </w:pPr>
            <w:r>
              <w:rPr>
                <w:rFonts w:hint="eastAsia" w:ascii="宋体" w:hAnsi="宋体" w:eastAsia="宋体" w:cs="宋体"/>
                <w:b/>
                <w:bCs/>
                <w:kern w:val="0"/>
                <w:sz w:val="20"/>
                <w:szCs w:val="21"/>
              </w:rPr>
              <w:t>参与单位名称及</w:t>
            </w:r>
          </w:p>
          <w:p w14:paraId="2566638E">
            <w:pPr>
              <w:spacing w:line="360" w:lineRule="auto"/>
              <w:jc w:val="center"/>
              <w:rPr>
                <w:rFonts w:hint="eastAsia" w:ascii="宋体" w:hAnsi="宋体" w:eastAsia="宋体" w:cs="宋体"/>
                <w:b/>
                <w:bCs/>
                <w:kern w:val="0"/>
                <w:sz w:val="20"/>
                <w:szCs w:val="21"/>
              </w:rPr>
            </w:pPr>
            <w:r>
              <w:rPr>
                <w:rFonts w:hint="eastAsia" w:ascii="宋体" w:hAnsi="宋体" w:eastAsia="宋体" w:cs="宋体"/>
                <w:b/>
                <w:bCs/>
                <w:kern w:val="0"/>
                <w:sz w:val="20"/>
                <w:szCs w:val="21"/>
              </w:rPr>
              <w:t>人员姓名</w:t>
            </w:r>
          </w:p>
        </w:tc>
        <w:tc>
          <w:tcPr>
            <w:tcW w:w="5749" w:type="dxa"/>
            <w:vAlign w:val="center"/>
          </w:tcPr>
          <w:p w14:paraId="6977C1AD">
            <w:pPr>
              <w:spacing w:line="360" w:lineRule="auto"/>
              <w:ind w:firstLine="400" w:firstLineChars="200"/>
              <w:rPr>
                <w:rFonts w:hint="eastAsia" w:ascii="宋体" w:hAnsi="宋体" w:eastAsia="宋体" w:cs="宋体"/>
                <w:kern w:val="0"/>
                <w:sz w:val="20"/>
                <w:szCs w:val="21"/>
              </w:rPr>
            </w:pPr>
            <w:r>
              <w:rPr>
                <w:rFonts w:hint="eastAsia" w:ascii="宋体" w:hAnsi="宋体" w:eastAsia="宋体" w:cs="宋体"/>
                <w:kern w:val="0"/>
                <w:sz w:val="20"/>
                <w:szCs w:val="21"/>
              </w:rPr>
              <w:t>浙商计算机：刘雯蜀/郑毅</w:t>
            </w:r>
          </w:p>
          <w:p w14:paraId="41D993F0">
            <w:pPr>
              <w:spacing w:line="360" w:lineRule="auto"/>
              <w:ind w:firstLine="400" w:firstLineChars="200"/>
              <w:rPr>
                <w:rFonts w:hint="eastAsia" w:ascii="宋体" w:hAnsi="宋体" w:eastAsia="宋体" w:cs="宋体"/>
                <w:kern w:val="0"/>
                <w:sz w:val="20"/>
                <w:szCs w:val="21"/>
              </w:rPr>
            </w:pPr>
            <w:r>
              <w:rPr>
                <w:rFonts w:hint="eastAsia" w:ascii="宋体" w:hAnsi="宋体" w:eastAsia="宋体" w:cs="宋体"/>
                <w:kern w:val="0"/>
                <w:sz w:val="20"/>
                <w:szCs w:val="21"/>
              </w:rPr>
              <w:t>中金计算机：车姝韵/童思艺</w:t>
            </w:r>
          </w:p>
          <w:p w14:paraId="0F71EAC2">
            <w:pPr>
              <w:spacing w:line="360" w:lineRule="auto"/>
              <w:ind w:firstLine="400" w:firstLineChars="200"/>
              <w:rPr>
                <w:rFonts w:hint="eastAsia" w:ascii="宋体" w:hAnsi="宋体" w:eastAsia="宋体" w:cs="宋体"/>
                <w:kern w:val="0"/>
                <w:sz w:val="20"/>
                <w:szCs w:val="21"/>
              </w:rPr>
            </w:pPr>
            <w:r>
              <w:rPr>
                <w:rFonts w:hint="eastAsia" w:ascii="宋体" w:hAnsi="宋体" w:eastAsia="宋体" w:cs="宋体"/>
                <w:kern w:val="0"/>
                <w:sz w:val="20"/>
                <w:szCs w:val="21"/>
              </w:rPr>
              <w:t>国金计算机：赵彤</w:t>
            </w:r>
          </w:p>
          <w:p w14:paraId="00B50486">
            <w:pPr>
              <w:spacing w:line="360" w:lineRule="auto"/>
              <w:ind w:firstLine="400" w:firstLineChars="200"/>
              <w:rPr>
                <w:rFonts w:hint="eastAsia" w:ascii="宋体" w:hAnsi="宋体" w:eastAsia="宋体" w:cs="宋体"/>
                <w:kern w:val="0"/>
                <w:sz w:val="20"/>
                <w:szCs w:val="21"/>
              </w:rPr>
            </w:pPr>
            <w:r>
              <w:rPr>
                <w:rFonts w:hint="eastAsia" w:ascii="宋体" w:hAnsi="宋体" w:eastAsia="宋体" w:cs="宋体"/>
                <w:kern w:val="0"/>
                <w:sz w:val="20"/>
                <w:szCs w:val="21"/>
              </w:rPr>
              <w:t>以上为电话会议主要发言人员名单，本次电话会议在线参与人员17人，详细名单信息见附表。因本次投资者调研活动采取电话会议形式，参与者无法签署调研承诺函。但交流活动中，公司严格遵守相关规定，保证信息披露真实、准确、及时、公平，没有发生未公开重大信息泄露等情况。</w:t>
            </w:r>
          </w:p>
        </w:tc>
      </w:tr>
      <w:tr w14:paraId="4D6D12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47" w:type="dxa"/>
            <w:vAlign w:val="center"/>
          </w:tcPr>
          <w:p w14:paraId="02A2B1FE">
            <w:pPr>
              <w:spacing w:line="360" w:lineRule="auto"/>
              <w:jc w:val="center"/>
              <w:rPr>
                <w:rFonts w:hint="eastAsia" w:ascii="宋体" w:hAnsi="宋体" w:eastAsia="宋体" w:cs="宋体"/>
                <w:b/>
                <w:bCs/>
                <w:kern w:val="0"/>
                <w:sz w:val="20"/>
                <w:szCs w:val="21"/>
              </w:rPr>
            </w:pPr>
            <w:r>
              <w:rPr>
                <w:rFonts w:hint="eastAsia" w:ascii="宋体" w:hAnsi="宋体" w:eastAsia="宋体" w:cs="宋体"/>
                <w:b/>
                <w:bCs/>
                <w:kern w:val="0"/>
                <w:sz w:val="20"/>
                <w:szCs w:val="21"/>
              </w:rPr>
              <w:t>时间</w:t>
            </w:r>
          </w:p>
        </w:tc>
        <w:tc>
          <w:tcPr>
            <w:tcW w:w="5749" w:type="dxa"/>
            <w:vAlign w:val="center"/>
          </w:tcPr>
          <w:p w14:paraId="11DC59C8">
            <w:pPr>
              <w:spacing w:line="360" w:lineRule="auto"/>
              <w:rPr>
                <w:rFonts w:hint="eastAsia" w:ascii="宋体" w:hAnsi="宋体" w:eastAsia="宋体" w:cs="宋体"/>
                <w:kern w:val="0"/>
                <w:sz w:val="20"/>
                <w:szCs w:val="21"/>
              </w:rPr>
            </w:pPr>
            <w:r>
              <w:rPr>
                <w:rFonts w:hint="eastAsia" w:ascii="宋体" w:hAnsi="宋体" w:eastAsia="宋体" w:cs="宋体"/>
                <w:kern w:val="0"/>
                <w:sz w:val="20"/>
                <w:szCs w:val="21"/>
              </w:rPr>
              <w:t>2</w:t>
            </w:r>
            <w:r>
              <w:rPr>
                <w:rFonts w:ascii="宋体" w:hAnsi="宋体" w:eastAsia="宋体" w:cs="宋体"/>
                <w:kern w:val="0"/>
                <w:sz w:val="20"/>
                <w:szCs w:val="21"/>
              </w:rPr>
              <w:t>02</w:t>
            </w:r>
            <w:r>
              <w:rPr>
                <w:rFonts w:hint="eastAsia" w:ascii="宋体" w:hAnsi="宋体" w:eastAsia="宋体" w:cs="宋体"/>
                <w:kern w:val="0"/>
                <w:sz w:val="20"/>
                <w:szCs w:val="21"/>
              </w:rPr>
              <w:t>4年8月28日 9：0</w:t>
            </w:r>
            <w:r>
              <w:rPr>
                <w:rFonts w:ascii="宋体" w:hAnsi="宋体" w:eastAsia="宋体" w:cs="宋体"/>
                <w:kern w:val="0"/>
                <w:sz w:val="20"/>
                <w:szCs w:val="21"/>
              </w:rPr>
              <w:t>0-</w:t>
            </w:r>
            <w:r>
              <w:rPr>
                <w:rFonts w:hint="eastAsia" w:ascii="宋体" w:hAnsi="宋体" w:eastAsia="宋体" w:cs="宋体"/>
                <w:kern w:val="0"/>
                <w:sz w:val="20"/>
                <w:szCs w:val="21"/>
              </w:rPr>
              <w:t>9：4</w:t>
            </w:r>
            <w:r>
              <w:rPr>
                <w:rFonts w:ascii="宋体" w:hAnsi="宋体" w:eastAsia="宋体" w:cs="宋体"/>
                <w:kern w:val="0"/>
                <w:sz w:val="20"/>
                <w:szCs w:val="21"/>
              </w:rPr>
              <w:t>0</w:t>
            </w:r>
          </w:p>
        </w:tc>
      </w:tr>
      <w:tr w14:paraId="1A2961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47" w:type="dxa"/>
            <w:vAlign w:val="center"/>
          </w:tcPr>
          <w:p w14:paraId="6C7D683E">
            <w:pPr>
              <w:spacing w:line="360" w:lineRule="auto"/>
              <w:jc w:val="center"/>
              <w:rPr>
                <w:rFonts w:hint="eastAsia" w:ascii="宋体" w:hAnsi="宋体" w:eastAsia="宋体" w:cs="宋体"/>
                <w:b/>
                <w:bCs/>
                <w:kern w:val="0"/>
                <w:sz w:val="20"/>
                <w:szCs w:val="21"/>
              </w:rPr>
            </w:pPr>
            <w:r>
              <w:rPr>
                <w:rFonts w:hint="eastAsia" w:ascii="宋体" w:hAnsi="宋体" w:eastAsia="宋体" w:cs="宋体"/>
                <w:b/>
                <w:bCs/>
                <w:kern w:val="0"/>
                <w:sz w:val="20"/>
                <w:szCs w:val="21"/>
              </w:rPr>
              <w:t>地点</w:t>
            </w:r>
          </w:p>
        </w:tc>
        <w:tc>
          <w:tcPr>
            <w:tcW w:w="5749" w:type="dxa"/>
            <w:vAlign w:val="center"/>
          </w:tcPr>
          <w:p w14:paraId="2214FC8D">
            <w:pPr>
              <w:spacing w:line="360" w:lineRule="auto"/>
              <w:rPr>
                <w:rFonts w:hint="eastAsia" w:ascii="宋体" w:hAnsi="宋体" w:eastAsia="宋体" w:cs="宋体"/>
                <w:kern w:val="0"/>
                <w:sz w:val="20"/>
                <w:szCs w:val="21"/>
              </w:rPr>
            </w:pPr>
            <w:r>
              <w:rPr>
                <w:rFonts w:hint="eastAsia" w:ascii="宋体" w:hAnsi="宋体" w:eastAsia="宋体" w:cs="宋体"/>
                <w:kern w:val="0"/>
                <w:sz w:val="20"/>
                <w:szCs w:val="21"/>
              </w:rPr>
              <w:t>公司会议室</w:t>
            </w:r>
          </w:p>
        </w:tc>
      </w:tr>
      <w:tr w14:paraId="0A2311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47" w:type="dxa"/>
            <w:vAlign w:val="center"/>
          </w:tcPr>
          <w:p w14:paraId="40920326">
            <w:pPr>
              <w:spacing w:line="360" w:lineRule="auto"/>
              <w:jc w:val="center"/>
              <w:rPr>
                <w:rFonts w:hint="eastAsia" w:ascii="宋体" w:hAnsi="宋体" w:eastAsia="宋体" w:cs="宋体"/>
                <w:b/>
                <w:bCs/>
                <w:kern w:val="0"/>
                <w:sz w:val="20"/>
                <w:szCs w:val="21"/>
              </w:rPr>
            </w:pPr>
            <w:r>
              <w:rPr>
                <w:rFonts w:hint="eastAsia" w:ascii="宋体" w:hAnsi="宋体" w:eastAsia="宋体" w:cs="宋体"/>
                <w:b/>
                <w:bCs/>
                <w:kern w:val="0"/>
                <w:sz w:val="20"/>
                <w:szCs w:val="21"/>
              </w:rPr>
              <w:t>公司接待人员姓名</w:t>
            </w:r>
          </w:p>
        </w:tc>
        <w:tc>
          <w:tcPr>
            <w:tcW w:w="5749" w:type="dxa"/>
            <w:vAlign w:val="center"/>
          </w:tcPr>
          <w:p w14:paraId="73D0AC43">
            <w:pPr>
              <w:spacing w:line="360" w:lineRule="auto"/>
              <w:rPr>
                <w:rFonts w:hint="eastAsia" w:ascii="宋体" w:hAnsi="宋体" w:eastAsia="宋体" w:cs="宋体"/>
                <w:kern w:val="0"/>
                <w:sz w:val="20"/>
                <w:szCs w:val="21"/>
              </w:rPr>
            </w:pPr>
            <w:r>
              <w:rPr>
                <w:rFonts w:hint="eastAsia" w:ascii="宋体" w:hAnsi="宋体" w:eastAsia="宋体" w:cs="宋体"/>
                <w:kern w:val="0"/>
                <w:sz w:val="20"/>
                <w:szCs w:val="21"/>
              </w:rPr>
              <w:t>总裁：黄素龙</w:t>
            </w:r>
          </w:p>
          <w:p w14:paraId="276D85CB">
            <w:pPr>
              <w:spacing w:line="360" w:lineRule="auto"/>
              <w:rPr>
                <w:rFonts w:hint="eastAsia" w:ascii="宋体" w:hAnsi="宋体" w:eastAsia="宋体" w:cs="宋体"/>
                <w:kern w:val="0"/>
                <w:sz w:val="20"/>
                <w:szCs w:val="21"/>
              </w:rPr>
            </w:pPr>
            <w:r>
              <w:rPr>
                <w:rFonts w:hint="eastAsia" w:ascii="宋体" w:hAnsi="宋体" w:eastAsia="宋体" w:cs="宋体"/>
                <w:kern w:val="0"/>
                <w:sz w:val="20"/>
                <w:szCs w:val="21"/>
              </w:rPr>
              <w:t>副总裁：何永龙</w:t>
            </w:r>
          </w:p>
          <w:p w14:paraId="0E818A8D">
            <w:pPr>
              <w:spacing w:line="360" w:lineRule="auto"/>
              <w:rPr>
                <w:rFonts w:hint="eastAsia" w:ascii="宋体" w:hAnsi="宋体" w:eastAsia="宋体" w:cs="宋体"/>
                <w:kern w:val="0"/>
                <w:sz w:val="20"/>
                <w:szCs w:val="21"/>
              </w:rPr>
            </w:pPr>
            <w:r>
              <w:rPr>
                <w:rFonts w:hint="eastAsia" w:ascii="宋体" w:hAnsi="宋体" w:eastAsia="宋体" w:cs="宋体"/>
                <w:kern w:val="0"/>
                <w:sz w:val="20"/>
                <w:szCs w:val="21"/>
              </w:rPr>
              <w:t>副总裁：袁勋</w:t>
            </w:r>
          </w:p>
          <w:p w14:paraId="18944C96">
            <w:pPr>
              <w:spacing w:line="360" w:lineRule="auto"/>
              <w:rPr>
                <w:rFonts w:hint="eastAsia" w:ascii="宋体" w:hAnsi="宋体" w:eastAsia="宋体" w:cs="宋体"/>
                <w:kern w:val="0"/>
                <w:sz w:val="20"/>
                <w:szCs w:val="21"/>
              </w:rPr>
            </w:pPr>
            <w:r>
              <w:rPr>
                <w:rFonts w:hint="eastAsia" w:ascii="宋体" w:hAnsi="宋体" w:eastAsia="宋体" w:cs="宋体"/>
                <w:kern w:val="0"/>
                <w:sz w:val="20"/>
                <w:szCs w:val="21"/>
              </w:rPr>
              <w:t>建设B</w:t>
            </w:r>
            <w:r>
              <w:rPr>
                <w:rFonts w:ascii="宋体" w:hAnsi="宋体" w:eastAsia="宋体" w:cs="宋体"/>
                <w:kern w:val="0"/>
                <w:sz w:val="20"/>
                <w:szCs w:val="21"/>
              </w:rPr>
              <w:t>G</w:t>
            </w:r>
            <w:r>
              <w:rPr>
                <w:rFonts w:hint="eastAsia" w:ascii="宋体" w:hAnsi="宋体" w:eastAsia="宋体" w:cs="宋体"/>
                <w:kern w:val="0"/>
                <w:sz w:val="20"/>
                <w:szCs w:val="21"/>
              </w:rPr>
              <w:t>：徐国春</w:t>
            </w:r>
          </w:p>
          <w:p w14:paraId="0C4AD7FC">
            <w:pPr>
              <w:spacing w:line="360" w:lineRule="auto"/>
              <w:rPr>
                <w:rFonts w:hint="eastAsia" w:ascii="宋体" w:hAnsi="宋体" w:eastAsia="宋体" w:cs="宋体"/>
                <w:kern w:val="0"/>
                <w:sz w:val="20"/>
                <w:szCs w:val="21"/>
              </w:rPr>
            </w:pPr>
            <w:r>
              <w:rPr>
                <w:rFonts w:hint="eastAsia" w:ascii="宋体" w:hAnsi="宋体" w:eastAsia="宋体" w:cs="宋体"/>
                <w:kern w:val="0"/>
                <w:sz w:val="20"/>
                <w:szCs w:val="21"/>
              </w:rPr>
              <w:t>董事会秘书：戴静蕾</w:t>
            </w:r>
          </w:p>
          <w:p w14:paraId="296E5E44">
            <w:pPr>
              <w:spacing w:line="360" w:lineRule="auto"/>
              <w:rPr>
                <w:rFonts w:hint="eastAsia" w:ascii="宋体" w:hAnsi="宋体" w:eastAsia="宋体" w:cs="宋体"/>
                <w:kern w:val="0"/>
                <w:sz w:val="20"/>
                <w:szCs w:val="21"/>
              </w:rPr>
            </w:pPr>
            <w:r>
              <w:rPr>
                <w:rFonts w:hint="eastAsia" w:ascii="宋体" w:hAnsi="宋体" w:eastAsia="宋体" w:cs="宋体"/>
                <w:kern w:val="0"/>
                <w:sz w:val="20"/>
                <w:szCs w:val="21"/>
              </w:rPr>
              <w:t>财务总监：季琦</w:t>
            </w:r>
          </w:p>
        </w:tc>
      </w:tr>
      <w:tr w14:paraId="525A47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47" w:type="dxa"/>
            <w:vAlign w:val="center"/>
          </w:tcPr>
          <w:p w14:paraId="7E69CB72">
            <w:pPr>
              <w:spacing w:line="360" w:lineRule="auto"/>
              <w:ind w:firstLine="402" w:firstLineChars="200"/>
              <w:jc w:val="center"/>
              <w:rPr>
                <w:rFonts w:hint="eastAsia" w:ascii="宋体" w:hAnsi="宋体" w:eastAsia="宋体" w:cs="宋体"/>
                <w:b/>
                <w:bCs/>
                <w:kern w:val="0"/>
                <w:sz w:val="20"/>
                <w:szCs w:val="21"/>
              </w:rPr>
            </w:pPr>
            <w:r>
              <w:rPr>
                <w:rFonts w:hint="eastAsia" w:ascii="宋体" w:hAnsi="宋体" w:eastAsia="宋体" w:cs="宋体"/>
                <w:b/>
                <w:bCs/>
                <w:kern w:val="0"/>
                <w:sz w:val="20"/>
                <w:szCs w:val="21"/>
              </w:rPr>
              <w:t>投资者关系活动主要内容介绍</w:t>
            </w:r>
          </w:p>
        </w:tc>
        <w:tc>
          <w:tcPr>
            <w:tcW w:w="5749" w:type="dxa"/>
            <w:vAlign w:val="center"/>
          </w:tcPr>
          <w:p w14:paraId="41DDB2B3">
            <w:pPr>
              <w:spacing w:line="360" w:lineRule="auto"/>
              <w:ind w:firstLine="402" w:firstLineChars="200"/>
              <w:outlineLvl w:val="2"/>
              <w:rPr>
                <w:rFonts w:hint="eastAsia" w:ascii="宋体" w:hAnsi="宋体" w:eastAsia="宋体" w:cs="Times New Roman"/>
                <w:color w:val="000000" w:themeColor="text1"/>
                <w:kern w:val="0"/>
                <w:sz w:val="20"/>
                <w:szCs w:val="24"/>
                <w14:textFill>
                  <w14:solidFill>
                    <w14:schemeClr w14:val="tx1"/>
                  </w14:solidFill>
                </w14:textFill>
              </w:rPr>
            </w:pPr>
            <w:bookmarkStart w:id="0" w:name="_Hlk93496312"/>
            <w:r>
              <w:rPr>
                <w:rFonts w:hint="eastAsia" w:ascii="宋体" w:hAnsi="宋体" w:eastAsia="宋体" w:cs="Times New Roman"/>
                <w:b/>
                <w:bCs/>
                <w:color w:val="000000" w:themeColor="text1"/>
                <w:kern w:val="0"/>
                <w:sz w:val="20"/>
                <w:szCs w:val="24"/>
                <w14:textFill>
                  <w14:solidFill>
                    <w14:schemeClr w14:val="tx1"/>
                  </w14:solidFill>
                </w14:textFill>
              </w:rPr>
              <w:t>一、介绍公司业绩情况</w:t>
            </w:r>
          </w:p>
          <w:p w14:paraId="5A166AC7">
            <w:pPr>
              <w:spacing w:line="360" w:lineRule="auto"/>
              <w:ind w:firstLine="436" w:firstLineChars="218"/>
              <w:rPr>
                <w:rFonts w:hint="eastAsia" w:ascii="宋体" w:hAnsi="宋体" w:eastAsia="宋体"/>
                <w:sz w:val="20"/>
                <w:szCs w:val="20"/>
              </w:rPr>
            </w:pPr>
            <w:r>
              <w:rPr>
                <w:rFonts w:hint="eastAsia" w:ascii="宋体" w:hAnsi="宋体" w:eastAsia="宋体"/>
                <w:sz w:val="20"/>
                <w:szCs w:val="20"/>
              </w:rPr>
              <w:t>2024年半年度公司实现营收7.84亿元，同比减少14.00%；实现归母净利润-0.24亿元，亏损幅度同比减少71.99%；收入下降主要系客户预算收紧，项目审批周期延长，部分项目存在交付、验收周期延长；但管理层重视经营质量和管理效率的提升，通过数字化手段加强各项成本费用的管控，持续优化流程，与上年同期相比亏损收窄。</w:t>
            </w:r>
          </w:p>
          <w:p w14:paraId="290B2EE2">
            <w:pPr>
              <w:spacing w:line="360" w:lineRule="auto"/>
              <w:ind w:firstLine="402" w:firstLineChars="200"/>
              <w:rPr>
                <w:rFonts w:hint="eastAsia" w:ascii="宋体" w:hAnsi="宋体" w:eastAsia="宋体"/>
                <w:b/>
                <w:bCs/>
                <w:sz w:val="20"/>
                <w:szCs w:val="20"/>
              </w:rPr>
            </w:pPr>
            <w:r>
              <w:rPr>
                <w:rFonts w:hint="eastAsia" w:ascii="宋体" w:hAnsi="宋体" w:eastAsia="宋体"/>
                <w:b/>
                <w:bCs/>
                <w:sz w:val="20"/>
                <w:szCs w:val="20"/>
              </w:rPr>
              <w:t>1、各板块业务情况</w:t>
            </w:r>
          </w:p>
          <w:p w14:paraId="7EB76971">
            <w:pPr>
              <w:spacing w:line="360" w:lineRule="auto"/>
              <w:ind w:firstLine="402" w:firstLineChars="200"/>
              <w:rPr>
                <w:rFonts w:hint="eastAsia" w:ascii="宋体" w:hAnsi="宋体" w:eastAsia="宋体"/>
                <w:sz w:val="20"/>
                <w:szCs w:val="20"/>
              </w:rPr>
            </w:pPr>
            <w:r>
              <w:rPr>
                <w:rFonts w:hint="eastAsia" w:ascii="宋体" w:hAnsi="宋体" w:eastAsia="宋体"/>
                <w:b/>
                <w:bCs/>
                <w:sz w:val="20"/>
                <w:szCs w:val="20"/>
              </w:rPr>
              <w:t>（1）智慧招采</w:t>
            </w:r>
            <w:r>
              <w:rPr>
                <w:rFonts w:hint="eastAsia" w:ascii="宋体" w:hAnsi="宋体" w:eastAsia="宋体"/>
                <w:sz w:val="20"/>
                <w:szCs w:val="20"/>
              </w:rPr>
              <w:t>实现了营业收入3.58亿，同比减少5.30%，其中招采运营收入1.72亿，同比增长8.60%。</w:t>
            </w:r>
          </w:p>
          <w:p w14:paraId="5D5517C6">
            <w:pPr>
              <w:spacing w:line="360" w:lineRule="auto"/>
              <w:ind w:firstLine="402" w:firstLineChars="200"/>
              <w:rPr>
                <w:rFonts w:hint="eastAsia" w:ascii="宋体" w:hAnsi="宋体" w:eastAsia="宋体"/>
                <w:sz w:val="20"/>
                <w:szCs w:val="20"/>
              </w:rPr>
            </w:pPr>
            <w:r>
              <w:rPr>
                <w:rFonts w:hint="eastAsia" w:ascii="宋体" w:hAnsi="宋体" w:eastAsia="宋体"/>
                <w:b/>
                <w:bCs/>
                <w:sz w:val="20"/>
                <w:szCs w:val="20"/>
              </w:rPr>
              <w:t>政府侧</w:t>
            </w:r>
            <w:r>
              <w:rPr>
                <w:rFonts w:hint="eastAsia" w:ascii="宋体" w:hAnsi="宋体" w:eastAsia="宋体"/>
                <w:sz w:val="20"/>
                <w:szCs w:val="20"/>
              </w:rPr>
              <w:t>，公司围绕“三化”发展趋势，完善服务标准化产品体系；联合发布了《公共资源交易监管智慧化白皮书（2024）》，为创新公共资源交易领域监管体系建设提供参考价值。</w:t>
            </w:r>
          </w:p>
          <w:p w14:paraId="247DED5C">
            <w:pPr>
              <w:spacing w:line="360" w:lineRule="auto"/>
              <w:ind w:firstLine="402" w:firstLineChars="200"/>
              <w:rPr>
                <w:rFonts w:hint="eastAsia" w:ascii="宋体" w:hAnsi="宋体" w:eastAsia="宋体"/>
                <w:sz w:val="20"/>
                <w:szCs w:val="20"/>
              </w:rPr>
            </w:pPr>
            <w:r>
              <w:rPr>
                <w:rFonts w:hint="eastAsia" w:ascii="宋体" w:hAnsi="宋体" w:eastAsia="宋体"/>
                <w:b/>
                <w:bCs/>
                <w:sz w:val="20"/>
                <w:szCs w:val="20"/>
              </w:rPr>
              <w:t>企业侧，</w:t>
            </w:r>
            <w:r>
              <w:rPr>
                <w:rFonts w:hint="eastAsia" w:ascii="宋体" w:hAnsi="宋体" w:eastAsia="宋体"/>
                <w:sz w:val="20"/>
                <w:szCs w:val="20"/>
              </w:rPr>
              <w:t>为央/国企提供智慧采购平台，全面提升低代码开发交付能力，以央企、国企数字化转型为抓手，打造企业数字化供应链整体解决方案，上半年中标了东风公司、中国节能环保集团有限公司、申能集团等多个央/国企项目。</w:t>
            </w:r>
          </w:p>
          <w:p w14:paraId="0E07A184">
            <w:pPr>
              <w:spacing w:line="360" w:lineRule="auto"/>
              <w:ind w:firstLine="402" w:firstLineChars="200"/>
              <w:rPr>
                <w:rFonts w:hint="eastAsia" w:ascii="宋体" w:hAnsi="宋体" w:eastAsia="宋体"/>
                <w:sz w:val="20"/>
                <w:szCs w:val="20"/>
              </w:rPr>
            </w:pPr>
            <w:r>
              <w:rPr>
                <w:rFonts w:hint="eastAsia" w:ascii="宋体" w:hAnsi="宋体" w:eastAsia="宋体"/>
                <w:b/>
                <w:bCs/>
                <w:sz w:val="20"/>
                <w:szCs w:val="20"/>
              </w:rPr>
              <w:t>招标人服务</w:t>
            </w:r>
            <w:r>
              <w:rPr>
                <w:rFonts w:hint="eastAsia" w:ascii="宋体" w:hAnsi="宋体" w:eastAsia="宋体"/>
                <w:sz w:val="20"/>
                <w:szCs w:val="20"/>
              </w:rPr>
              <w:t>方面，在多个省市县持续推进交易平台市场化工作，为项目规模在限额以下的招标人提供市场化交易平台，新增专区65个。</w:t>
            </w:r>
          </w:p>
          <w:p w14:paraId="55CBF62E">
            <w:pPr>
              <w:spacing w:line="360" w:lineRule="auto"/>
              <w:ind w:firstLine="402" w:firstLineChars="200"/>
              <w:rPr>
                <w:rFonts w:hint="eastAsia" w:ascii="宋体" w:hAnsi="宋体" w:eastAsia="宋体"/>
                <w:sz w:val="20"/>
                <w:szCs w:val="20"/>
              </w:rPr>
            </w:pPr>
            <w:r>
              <w:rPr>
                <w:rFonts w:hint="eastAsia" w:ascii="宋体" w:hAnsi="宋体" w:eastAsia="宋体"/>
                <w:b/>
                <w:bCs/>
                <w:sz w:val="20"/>
                <w:szCs w:val="20"/>
              </w:rPr>
              <w:t>投标人服务</w:t>
            </w:r>
            <w:r>
              <w:rPr>
                <w:rFonts w:hint="eastAsia" w:ascii="宋体" w:hAnsi="宋体" w:eastAsia="宋体"/>
                <w:sz w:val="20"/>
                <w:szCs w:val="20"/>
              </w:rPr>
              <w:t>方面，以标桥、标证通产品为核心，面向投标人等主体，研发更高效率、更好体验、更有价值的工具和服务。</w:t>
            </w:r>
          </w:p>
          <w:p w14:paraId="5D356885">
            <w:pPr>
              <w:spacing w:line="360" w:lineRule="auto"/>
              <w:ind w:firstLine="402" w:firstLineChars="200"/>
              <w:rPr>
                <w:rFonts w:hint="eastAsia" w:ascii="宋体" w:hAnsi="宋体" w:eastAsia="宋体"/>
                <w:sz w:val="20"/>
                <w:szCs w:val="20"/>
              </w:rPr>
            </w:pPr>
            <w:r>
              <w:rPr>
                <w:rFonts w:hint="eastAsia" w:ascii="宋体" w:hAnsi="宋体" w:eastAsia="宋体"/>
                <w:b/>
                <w:bCs/>
                <w:sz w:val="20"/>
                <w:szCs w:val="20"/>
              </w:rPr>
              <w:t>（2）智慧政务</w:t>
            </w:r>
            <w:r>
              <w:rPr>
                <w:rFonts w:hint="eastAsia" w:ascii="宋体" w:hAnsi="宋体" w:eastAsia="宋体"/>
                <w:sz w:val="20"/>
                <w:szCs w:val="20"/>
              </w:rPr>
              <w:t>实现了营业收入2.93亿，同比减少26.06%。</w:t>
            </w:r>
          </w:p>
          <w:p w14:paraId="064E0DFC">
            <w:pPr>
              <w:spacing w:line="360" w:lineRule="auto"/>
              <w:ind w:firstLine="400" w:firstLineChars="200"/>
              <w:rPr>
                <w:rFonts w:hint="eastAsia" w:ascii="宋体" w:hAnsi="宋体" w:eastAsia="宋体"/>
                <w:sz w:val="20"/>
                <w:szCs w:val="20"/>
              </w:rPr>
            </w:pPr>
            <w:r>
              <w:rPr>
                <w:rFonts w:hint="eastAsia" w:ascii="宋体" w:hAnsi="宋体" w:eastAsia="宋体"/>
                <w:sz w:val="20"/>
                <w:szCs w:val="20"/>
              </w:rPr>
              <w:t>在政务服务方面，重点以高效办成一件事为主要牵引，打造集成办、数字化大厅运营、一体化涉企服务、政务大模型边聊边办、业务图谱等解决方案，在上海、江苏、北京等地积极拓展落地政务服务新应用场景；</w:t>
            </w:r>
          </w:p>
          <w:p w14:paraId="7B7B2BE6">
            <w:pPr>
              <w:spacing w:line="360" w:lineRule="auto"/>
              <w:ind w:firstLine="400" w:firstLineChars="200"/>
              <w:rPr>
                <w:rFonts w:hint="eastAsia" w:ascii="宋体" w:hAnsi="宋体" w:eastAsia="宋体"/>
                <w:sz w:val="20"/>
                <w:szCs w:val="20"/>
              </w:rPr>
            </w:pPr>
            <w:r>
              <w:rPr>
                <w:rFonts w:hint="eastAsia" w:ascii="宋体" w:hAnsi="宋体" w:eastAsia="宋体"/>
                <w:sz w:val="20"/>
                <w:szCs w:val="20"/>
              </w:rPr>
              <w:t>在一网统管方面，持续深化一网统管产品体系；通过大模型能力赋能受办各环节和数据分析，打造大模型+一网统管示范样板；推出数字化综合监管解决方案，并已在北京、上海、成都等地开展实践。</w:t>
            </w:r>
          </w:p>
          <w:p w14:paraId="3F500EF7">
            <w:pPr>
              <w:spacing w:line="360" w:lineRule="auto"/>
              <w:ind w:firstLine="400" w:firstLineChars="200"/>
              <w:rPr>
                <w:rFonts w:hint="eastAsia" w:ascii="宋体" w:hAnsi="宋体" w:eastAsia="宋体"/>
                <w:sz w:val="20"/>
                <w:szCs w:val="20"/>
              </w:rPr>
            </w:pPr>
            <w:r>
              <w:rPr>
                <w:rFonts w:hint="eastAsia" w:ascii="宋体" w:hAnsi="宋体" w:eastAsia="宋体"/>
                <w:sz w:val="20"/>
                <w:szCs w:val="20"/>
              </w:rPr>
              <w:t>在政务数据治理和运营方面，推出公共数据场景运营解决方案，已在多个项目上完成价值验证；积极拓展政企数据治理项目，深度参与上海等地区的政务数据目录运营工作，为后续的公共数据高质量服务提供保障。</w:t>
            </w:r>
          </w:p>
          <w:p w14:paraId="6269E3A5">
            <w:pPr>
              <w:spacing w:line="360" w:lineRule="auto"/>
              <w:ind w:firstLine="400" w:firstLineChars="200"/>
              <w:rPr>
                <w:rFonts w:hint="eastAsia" w:ascii="宋体" w:hAnsi="宋体" w:eastAsia="宋体"/>
                <w:sz w:val="20"/>
                <w:szCs w:val="20"/>
              </w:rPr>
            </w:pPr>
            <w:r>
              <w:rPr>
                <w:rFonts w:hint="eastAsia" w:ascii="宋体" w:hAnsi="宋体" w:eastAsia="宋体"/>
                <w:sz w:val="20"/>
                <w:szCs w:val="20"/>
              </w:rPr>
              <w:t>2024年上半年新增项目数460多个，新增客户100多家；累计服务项目数接近8,000个，累计服务客户接近4,500家。</w:t>
            </w:r>
          </w:p>
          <w:p w14:paraId="5E7F3CBC">
            <w:pPr>
              <w:spacing w:line="360" w:lineRule="auto"/>
              <w:ind w:firstLine="402" w:firstLineChars="200"/>
              <w:rPr>
                <w:rFonts w:hint="eastAsia" w:ascii="宋体" w:hAnsi="宋体" w:eastAsia="宋体"/>
                <w:sz w:val="20"/>
                <w:szCs w:val="20"/>
              </w:rPr>
            </w:pPr>
            <w:r>
              <w:rPr>
                <w:rFonts w:hint="eastAsia" w:ascii="宋体" w:hAnsi="宋体" w:eastAsia="宋体"/>
                <w:b/>
                <w:bCs/>
                <w:sz w:val="20"/>
                <w:szCs w:val="20"/>
              </w:rPr>
              <w:t>（3）数字建筑</w:t>
            </w:r>
            <w:r>
              <w:rPr>
                <w:rFonts w:hint="eastAsia" w:ascii="宋体" w:hAnsi="宋体" w:eastAsia="宋体"/>
                <w:sz w:val="20"/>
                <w:szCs w:val="20"/>
              </w:rPr>
              <w:t>实现了营业收入1.29亿的收入，同比减少5.07%。</w:t>
            </w:r>
          </w:p>
          <w:p w14:paraId="7D75A50F">
            <w:pPr>
              <w:spacing w:line="360" w:lineRule="auto"/>
              <w:ind w:firstLine="400" w:firstLineChars="200"/>
              <w:rPr>
                <w:rFonts w:hint="eastAsia" w:ascii="宋体" w:hAnsi="宋体" w:eastAsia="宋体"/>
                <w:sz w:val="20"/>
                <w:szCs w:val="20"/>
              </w:rPr>
            </w:pPr>
            <w:r>
              <w:rPr>
                <w:rFonts w:hint="eastAsia" w:ascii="宋体" w:hAnsi="宋体" w:eastAsia="宋体"/>
                <w:sz w:val="20"/>
                <w:szCs w:val="20"/>
              </w:rPr>
              <w:t>公司以政府端市场为牵引自上而下的布局，实现政企互通，助力住建全生命周期的事项申请、处置和监管，全面提升建筑监管信息化水平。</w:t>
            </w:r>
          </w:p>
          <w:p w14:paraId="69840807">
            <w:pPr>
              <w:spacing w:line="360" w:lineRule="auto"/>
              <w:ind w:firstLine="400" w:firstLineChars="200"/>
              <w:rPr>
                <w:rFonts w:hint="eastAsia" w:ascii="宋体" w:hAnsi="宋体" w:eastAsia="宋体"/>
                <w:sz w:val="20"/>
                <w:szCs w:val="20"/>
              </w:rPr>
            </w:pPr>
            <w:r>
              <w:rPr>
                <w:rFonts w:hint="eastAsia" w:ascii="宋体" w:hAnsi="宋体" w:eastAsia="宋体"/>
                <w:sz w:val="20"/>
                <w:szCs w:val="20"/>
              </w:rPr>
              <w:t>为住建部门打造的“一体化数字住建平台”“CIM+住建”应用体系，以及“智慧燃气监管平台”，会进一步拓展质安监业务市场占有率；聚焦以造价软件为核心产品的成本相关业务领域，提供多方协同的整体解决方案。</w:t>
            </w:r>
          </w:p>
          <w:p w14:paraId="0934F6D9">
            <w:pPr>
              <w:spacing w:line="360" w:lineRule="auto"/>
              <w:ind w:firstLine="402" w:firstLineChars="200"/>
              <w:rPr>
                <w:rFonts w:hint="eastAsia" w:ascii="宋体" w:hAnsi="宋体" w:eastAsia="宋体"/>
                <w:b/>
                <w:bCs/>
                <w:sz w:val="20"/>
                <w:szCs w:val="20"/>
              </w:rPr>
            </w:pPr>
            <w:r>
              <w:rPr>
                <w:rFonts w:hint="eastAsia" w:ascii="宋体" w:hAnsi="宋体" w:eastAsia="宋体"/>
                <w:b/>
                <w:bCs/>
                <w:sz w:val="20"/>
                <w:szCs w:val="20"/>
              </w:rPr>
              <w:t>2、核心财务指标</w:t>
            </w:r>
          </w:p>
          <w:p w14:paraId="2CF08E11">
            <w:pPr>
              <w:spacing w:line="360" w:lineRule="auto"/>
              <w:ind w:firstLine="361" w:firstLineChars="200"/>
              <w:rPr>
                <w:rFonts w:hint="eastAsia" w:ascii="宋体" w:hAnsi="宋体" w:eastAsia="宋体"/>
                <w:sz w:val="18"/>
                <w:szCs w:val="18"/>
              </w:rPr>
            </w:pPr>
            <w:r>
              <w:rPr>
                <w:rFonts w:hint="eastAsia" w:ascii="宋体" w:hAnsi="宋体" w:eastAsia="宋体"/>
                <w:b/>
                <w:bCs/>
                <w:sz w:val="18"/>
                <w:szCs w:val="18"/>
              </w:rPr>
              <w:t>毛利率</w:t>
            </w:r>
            <w:r>
              <w:rPr>
                <w:rFonts w:hint="eastAsia" w:ascii="宋体" w:hAnsi="宋体" w:eastAsia="宋体"/>
                <w:b/>
                <w:bCs/>
                <w:color w:val="000000" w:themeColor="text1"/>
                <w:sz w:val="18"/>
                <w:szCs w:val="18"/>
                <w:u w:val="single"/>
                <w14:textFill>
                  <w14:solidFill>
                    <w14:schemeClr w14:val="tx1"/>
                  </w14:solidFill>
                </w14:textFill>
              </w:rPr>
              <w:t>61.37%</w:t>
            </w:r>
            <w:r>
              <w:rPr>
                <w:rFonts w:hint="eastAsia" w:ascii="宋体" w:hAnsi="宋体" w:eastAsia="宋体"/>
                <w:sz w:val="18"/>
                <w:szCs w:val="18"/>
              </w:rPr>
              <w:t>，同比增加7.82个百分点；随着高毛利率的运营收入逐步恢复，公司产品化程度提升、远程交付系统不断完善，毛利率也回升至正常</w:t>
            </w:r>
            <w:r>
              <w:rPr>
                <w:rFonts w:ascii="宋体" w:hAnsi="宋体" w:eastAsia="宋体"/>
                <w:sz w:val="18"/>
                <w:szCs w:val="18"/>
              </w:rPr>
              <w:t>水平。</w:t>
            </w:r>
          </w:p>
          <w:p w14:paraId="2386F2F3">
            <w:pPr>
              <w:spacing w:line="360" w:lineRule="auto"/>
              <w:ind w:firstLine="361" w:firstLineChars="200"/>
              <w:rPr>
                <w:rFonts w:hint="eastAsia" w:ascii="宋体" w:hAnsi="宋体" w:eastAsia="宋体"/>
                <w:sz w:val="18"/>
                <w:szCs w:val="18"/>
              </w:rPr>
            </w:pPr>
            <w:r>
              <w:rPr>
                <w:rFonts w:hint="eastAsia" w:ascii="宋体" w:hAnsi="宋体" w:eastAsia="宋体"/>
                <w:b/>
                <w:bCs/>
                <w:sz w:val="18"/>
                <w:szCs w:val="18"/>
              </w:rPr>
              <w:t>管理费用率</w:t>
            </w:r>
            <w:r>
              <w:rPr>
                <w:rFonts w:hint="eastAsia" w:ascii="宋体" w:hAnsi="宋体" w:eastAsia="宋体"/>
                <w:sz w:val="18"/>
                <w:szCs w:val="18"/>
              </w:rPr>
              <w:t>是</w:t>
            </w:r>
            <w:r>
              <w:rPr>
                <w:rFonts w:hint="eastAsia" w:ascii="宋体" w:hAnsi="宋体" w:eastAsia="宋体"/>
                <w:b/>
                <w:bCs/>
                <w:sz w:val="18"/>
                <w:szCs w:val="18"/>
                <w:u w:val="single"/>
              </w:rPr>
              <w:t>10.42%</w:t>
            </w:r>
            <w:r>
              <w:rPr>
                <w:rFonts w:hint="eastAsia" w:ascii="宋体" w:hAnsi="宋体" w:eastAsia="宋体"/>
                <w:sz w:val="18"/>
                <w:szCs w:val="18"/>
              </w:rPr>
              <w:t>，同比增加0.43个百分点；</w:t>
            </w:r>
          </w:p>
          <w:p w14:paraId="0B2326C7">
            <w:pPr>
              <w:spacing w:line="360" w:lineRule="auto"/>
              <w:ind w:firstLine="361" w:firstLineChars="200"/>
              <w:rPr>
                <w:rFonts w:hint="eastAsia" w:ascii="宋体" w:hAnsi="宋体" w:eastAsia="宋体"/>
                <w:sz w:val="18"/>
                <w:szCs w:val="18"/>
              </w:rPr>
            </w:pPr>
            <w:r>
              <w:rPr>
                <w:rFonts w:hint="eastAsia" w:ascii="宋体" w:hAnsi="宋体" w:eastAsia="宋体"/>
                <w:b/>
                <w:bCs/>
                <w:sz w:val="18"/>
                <w:szCs w:val="18"/>
              </w:rPr>
              <w:t>销售费用率</w:t>
            </w:r>
            <w:r>
              <w:rPr>
                <w:rFonts w:hint="eastAsia" w:ascii="宋体" w:hAnsi="宋体" w:eastAsia="宋体"/>
                <w:sz w:val="18"/>
                <w:szCs w:val="18"/>
              </w:rPr>
              <w:t>为</w:t>
            </w:r>
            <w:r>
              <w:rPr>
                <w:rFonts w:hint="eastAsia" w:ascii="宋体" w:hAnsi="宋体" w:eastAsia="宋体"/>
                <w:b/>
                <w:bCs/>
                <w:sz w:val="18"/>
                <w:szCs w:val="18"/>
                <w:u w:val="single"/>
              </w:rPr>
              <w:t>32.10%</w:t>
            </w:r>
            <w:r>
              <w:rPr>
                <w:rFonts w:hint="eastAsia" w:ascii="宋体" w:hAnsi="宋体" w:eastAsia="宋体"/>
                <w:sz w:val="18"/>
                <w:szCs w:val="18"/>
              </w:rPr>
              <w:t>，同比减少0.49个百分点；</w:t>
            </w:r>
            <w:r>
              <w:rPr>
                <w:rFonts w:ascii="宋体" w:hAnsi="宋体" w:eastAsia="宋体"/>
                <w:sz w:val="18"/>
                <w:szCs w:val="18"/>
              </w:rPr>
              <w:t xml:space="preserve"> </w:t>
            </w:r>
          </w:p>
          <w:p w14:paraId="5E93533E">
            <w:pPr>
              <w:spacing w:line="360" w:lineRule="auto"/>
              <w:ind w:firstLine="361" w:firstLineChars="200"/>
              <w:rPr>
                <w:rFonts w:hint="eastAsia" w:ascii="宋体" w:hAnsi="宋体" w:eastAsia="宋体"/>
                <w:sz w:val="18"/>
                <w:szCs w:val="18"/>
              </w:rPr>
            </w:pPr>
            <w:r>
              <w:rPr>
                <w:rFonts w:hint="eastAsia" w:ascii="宋体" w:hAnsi="宋体" w:eastAsia="宋体"/>
                <w:b/>
                <w:bCs/>
                <w:sz w:val="18"/>
                <w:szCs w:val="18"/>
              </w:rPr>
              <w:t>研发费用率</w:t>
            </w:r>
            <w:r>
              <w:rPr>
                <w:rFonts w:hint="eastAsia" w:ascii="宋体" w:hAnsi="宋体" w:eastAsia="宋体"/>
                <w:sz w:val="18"/>
                <w:szCs w:val="18"/>
              </w:rPr>
              <w:t>为</w:t>
            </w:r>
            <w:r>
              <w:rPr>
                <w:rFonts w:hint="eastAsia" w:ascii="宋体" w:hAnsi="宋体" w:eastAsia="宋体"/>
                <w:b/>
                <w:bCs/>
                <w:sz w:val="18"/>
                <w:szCs w:val="18"/>
                <w:u w:val="single"/>
              </w:rPr>
              <w:t>29.51%</w:t>
            </w:r>
            <w:r>
              <w:rPr>
                <w:rFonts w:hint="eastAsia" w:ascii="宋体" w:hAnsi="宋体" w:eastAsia="宋体"/>
                <w:sz w:val="18"/>
                <w:szCs w:val="18"/>
              </w:rPr>
              <w:t>，同比增加1.56个百分点；</w:t>
            </w:r>
          </w:p>
          <w:p w14:paraId="3F30344E">
            <w:pPr>
              <w:spacing w:line="360" w:lineRule="auto"/>
              <w:ind w:firstLine="361" w:firstLineChars="200"/>
              <w:outlineLvl w:val="2"/>
              <w:rPr>
                <w:rFonts w:hint="eastAsia"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b/>
                <w:bCs/>
                <w:sz w:val="18"/>
                <w:szCs w:val="18"/>
              </w:rPr>
              <w:t>经营活动现金流量净额</w:t>
            </w:r>
            <w:r>
              <w:rPr>
                <w:rFonts w:hint="eastAsia" w:ascii="宋体" w:hAnsi="宋体" w:eastAsia="宋体"/>
                <w:sz w:val="18"/>
                <w:szCs w:val="18"/>
              </w:rPr>
              <w:t>为-2.30亿元</w:t>
            </w:r>
            <w:r>
              <w:rPr>
                <w:rFonts w:ascii="宋体" w:hAnsi="宋体" w:eastAsia="宋体"/>
                <w:sz w:val="18"/>
                <w:szCs w:val="18"/>
              </w:rPr>
              <w:t>，</w:t>
            </w:r>
            <w:r>
              <w:rPr>
                <w:rFonts w:hint="eastAsia" w:ascii="宋体" w:hAnsi="宋体" w:eastAsia="宋体"/>
                <w:sz w:val="18"/>
                <w:szCs w:val="18"/>
              </w:rPr>
              <w:t>比上年同期增加1.36亿元；其中上半年</w:t>
            </w:r>
            <w:r>
              <w:rPr>
                <w:rFonts w:ascii="宋体" w:hAnsi="宋体" w:eastAsia="宋体"/>
                <w:sz w:val="18"/>
                <w:szCs w:val="18"/>
              </w:rPr>
              <w:t>销售回款</w:t>
            </w:r>
            <w:r>
              <w:rPr>
                <w:rFonts w:hint="eastAsia" w:ascii="宋体" w:hAnsi="宋体" w:eastAsia="宋体"/>
                <w:sz w:val="18"/>
                <w:szCs w:val="18"/>
              </w:rPr>
              <w:t>9.67</w:t>
            </w:r>
            <w:r>
              <w:rPr>
                <w:rFonts w:ascii="宋体" w:hAnsi="宋体" w:eastAsia="宋体"/>
                <w:sz w:val="18"/>
                <w:szCs w:val="18"/>
              </w:rPr>
              <w:t>亿元</w:t>
            </w:r>
            <w:r>
              <w:rPr>
                <w:rFonts w:hint="eastAsia" w:ascii="宋体" w:hAnsi="宋体" w:eastAsia="宋体"/>
                <w:sz w:val="18"/>
                <w:szCs w:val="18"/>
              </w:rPr>
              <w:t>；支付给员工的现金7.50亿元，比上年同期减少1.12亿元。</w:t>
            </w:r>
          </w:p>
          <w:p w14:paraId="47B0EA9F">
            <w:pPr>
              <w:spacing w:line="360" w:lineRule="auto"/>
              <w:ind w:firstLine="400" w:firstLineChars="200"/>
              <w:outlineLvl w:val="2"/>
              <w:rPr>
                <w:rFonts w:hint="eastAsia" w:ascii="宋体" w:hAnsi="宋体" w:eastAsia="宋体" w:cs="Times New Roman"/>
                <w:color w:val="000000" w:themeColor="text1"/>
                <w:kern w:val="0"/>
                <w:sz w:val="20"/>
                <w:szCs w:val="24"/>
                <w14:textFill>
                  <w14:solidFill>
                    <w14:schemeClr w14:val="tx1"/>
                  </w14:solidFill>
                </w14:textFill>
              </w:rPr>
            </w:pPr>
          </w:p>
          <w:p w14:paraId="3BAEDE0F">
            <w:pPr>
              <w:spacing w:line="360" w:lineRule="auto"/>
              <w:ind w:firstLine="402" w:firstLineChars="200"/>
              <w:outlineLvl w:val="2"/>
              <w:rPr>
                <w:rFonts w:hint="eastAsia" w:ascii="宋体" w:hAnsi="宋体" w:eastAsia="宋体" w:cs="Times New Roman"/>
                <w:color w:val="000000" w:themeColor="text1"/>
                <w:kern w:val="0"/>
                <w:sz w:val="20"/>
                <w:szCs w:val="24"/>
                <w14:textFill>
                  <w14:solidFill>
                    <w14:schemeClr w14:val="tx1"/>
                  </w14:solidFill>
                </w14:textFill>
              </w:rPr>
            </w:pPr>
            <w:r>
              <w:rPr>
                <w:rFonts w:hint="eastAsia" w:ascii="宋体" w:hAnsi="宋体" w:eastAsia="宋体" w:cs="Times New Roman"/>
                <w:b/>
                <w:bCs/>
                <w:color w:val="000000" w:themeColor="text1"/>
                <w:kern w:val="0"/>
                <w:sz w:val="20"/>
                <w:szCs w:val="24"/>
                <w14:textFill>
                  <w14:solidFill>
                    <w14:schemeClr w14:val="tx1"/>
                  </w14:solidFill>
                </w14:textFill>
              </w:rPr>
              <w:t>二、随后公司领导就投资者关心的问题作了进一步交流，主要内容如下：</w:t>
            </w:r>
            <w:bookmarkStart w:id="2" w:name="_GoBack"/>
            <w:bookmarkEnd w:id="2"/>
            <w:r>
              <w:rPr>
                <w:rFonts w:ascii="宋体" w:hAnsi="宋体" w:eastAsia="宋体" w:cs="Times New Roman"/>
                <w:color w:val="000000" w:themeColor="text1"/>
                <w:kern w:val="0"/>
                <w:sz w:val="20"/>
                <w:szCs w:val="24"/>
                <w14:textFill>
                  <w14:solidFill>
                    <w14:schemeClr w14:val="tx1"/>
                  </w14:solidFill>
                </w14:textFill>
              </w:rPr>
              <w:cr/>
            </w:r>
            <w:r>
              <w:rPr>
                <w:rFonts w:ascii="宋体" w:hAnsi="宋体" w:eastAsia="宋体" w:cs="Times New Roman"/>
                <w:color w:val="000000" w:themeColor="text1"/>
                <w:kern w:val="0"/>
                <w:sz w:val="20"/>
                <w:szCs w:val="24"/>
                <w14:textFill>
                  <w14:solidFill>
                    <w14:schemeClr w14:val="tx1"/>
                  </w14:solidFill>
                </w14:textFill>
              </w:rPr>
              <w:t xml:space="preserve">  </w:t>
            </w:r>
            <w:r>
              <w:rPr>
                <w:rFonts w:ascii="宋体" w:hAnsi="宋体" w:eastAsia="宋体"/>
                <w:b/>
                <w:bCs/>
                <w:color w:val="000000" w:themeColor="text1"/>
                <w:kern w:val="0"/>
                <w:sz w:val="20"/>
                <w:szCs w:val="20"/>
                <w14:textFill>
                  <w14:solidFill>
                    <w14:schemeClr w14:val="tx1"/>
                  </w14:solidFill>
                </w14:textFill>
              </w:rPr>
              <w:t xml:space="preserve"> </w:t>
            </w:r>
            <w:r>
              <w:rPr>
                <w:rFonts w:hint="eastAsia" w:ascii="宋体" w:hAnsi="宋体" w:eastAsia="宋体"/>
                <w:b/>
                <w:bCs/>
                <w:color w:val="000000" w:themeColor="text1"/>
                <w:kern w:val="0"/>
                <w:sz w:val="20"/>
                <w:szCs w:val="20"/>
                <w14:textFill>
                  <w14:solidFill>
                    <w14:schemeClr w14:val="tx1"/>
                  </w14:solidFill>
                </w14:textFill>
              </w:rPr>
              <w:t>1、毛利率波动的原因？</w:t>
            </w:r>
          </w:p>
          <w:bookmarkEnd w:id="0"/>
          <w:p w14:paraId="5E41A3EA">
            <w:pPr>
              <w:spacing w:line="360" w:lineRule="auto"/>
              <w:ind w:firstLine="400" w:firstLineChars="200"/>
              <w:rPr>
                <w:rFonts w:hint="eastAsia" w:ascii="宋体" w:hAnsi="宋体" w:eastAsia="宋体" w:cs="Times New Roman"/>
                <w:color w:val="000000" w:themeColor="text1"/>
                <w:kern w:val="0"/>
                <w:sz w:val="20"/>
                <w:szCs w:val="24"/>
                <w14:textFill>
                  <w14:solidFill>
                    <w14:schemeClr w14:val="tx1"/>
                  </w14:solidFill>
                </w14:textFill>
              </w:rPr>
            </w:pPr>
            <w:r>
              <w:rPr>
                <w:rFonts w:hint="eastAsia" w:ascii="宋体" w:hAnsi="宋体" w:eastAsia="宋体" w:cs="Times New Roman"/>
                <w:color w:val="000000" w:themeColor="text1"/>
                <w:kern w:val="0"/>
                <w:sz w:val="20"/>
                <w:szCs w:val="24"/>
                <w14:textFill>
                  <w14:solidFill>
                    <w14:schemeClr w14:val="tx1"/>
                  </w14:solidFill>
                </w14:textFill>
              </w:rPr>
              <w:t>答：毛利率变动可以从两个角度来看：</w:t>
            </w:r>
          </w:p>
          <w:p w14:paraId="173A3E19">
            <w:pPr>
              <w:spacing w:line="360" w:lineRule="auto"/>
              <w:ind w:firstLine="400" w:firstLineChars="200"/>
              <w:rPr>
                <w:rFonts w:hint="eastAsia" w:ascii="宋体" w:hAnsi="宋体" w:eastAsia="宋体" w:cs="Times New Roman"/>
                <w:color w:val="000000" w:themeColor="text1"/>
                <w:kern w:val="0"/>
                <w:sz w:val="20"/>
                <w:szCs w:val="24"/>
                <w14:textFill>
                  <w14:solidFill>
                    <w14:schemeClr w14:val="tx1"/>
                  </w14:solidFill>
                </w14:textFill>
              </w:rPr>
            </w:pPr>
            <w:r>
              <w:rPr>
                <w:rFonts w:hint="eastAsia" w:ascii="宋体" w:hAnsi="宋体" w:eastAsia="宋体" w:cs="Times New Roman"/>
                <w:color w:val="000000" w:themeColor="text1"/>
                <w:kern w:val="0"/>
                <w:sz w:val="20"/>
                <w:szCs w:val="24"/>
                <w14:textFill>
                  <w14:solidFill>
                    <w14:schemeClr w14:val="tx1"/>
                  </w14:solidFill>
                </w14:textFill>
              </w:rPr>
              <w:t>（1）成本构成，主要是人力成本上的节省，另外外购材料与服务成本采购也</w:t>
            </w:r>
            <w:r>
              <w:rPr>
                <w:rFonts w:hint="eastAsia" w:ascii="宋体" w:hAnsi="宋体" w:eastAsia="宋体" w:cs="Times New Roman"/>
                <w:color w:val="000000" w:themeColor="text1"/>
                <w:kern w:val="0"/>
                <w:sz w:val="20"/>
                <w:szCs w:val="24"/>
                <w:lang w:val="en-US" w:eastAsia="zh-CN"/>
                <w14:textFill>
                  <w14:solidFill>
                    <w14:schemeClr w14:val="tx1"/>
                  </w14:solidFill>
                </w14:textFill>
              </w:rPr>
              <w:t>进行了</w:t>
            </w:r>
            <w:r>
              <w:rPr>
                <w:rFonts w:hint="eastAsia" w:ascii="宋体" w:hAnsi="宋体" w:eastAsia="宋体" w:cs="Times New Roman"/>
                <w:color w:val="000000" w:themeColor="text1"/>
                <w:kern w:val="0"/>
                <w:sz w:val="20"/>
                <w:szCs w:val="24"/>
                <w14:textFill>
                  <w14:solidFill>
                    <w14:schemeClr w14:val="tx1"/>
                  </w14:solidFill>
                </w14:textFill>
              </w:rPr>
              <w:t>有效管控。</w:t>
            </w:r>
          </w:p>
          <w:p w14:paraId="51569260">
            <w:pPr>
              <w:spacing w:line="360" w:lineRule="auto"/>
              <w:ind w:firstLine="400" w:firstLineChars="200"/>
              <w:rPr>
                <w:rFonts w:hint="eastAsia" w:ascii="宋体" w:hAnsi="宋体" w:eastAsia="宋体" w:cs="Times New Roman"/>
                <w:color w:val="000000" w:themeColor="text1"/>
                <w:kern w:val="0"/>
                <w:sz w:val="20"/>
                <w:szCs w:val="24"/>
                <w14:textFill>
                  <w14:solidFill>
                    <w14:schemeClr w14:val="tx1"/>
                  </w14:solidFill>
                </w14:textFill>
              </w:rPr>
            </w:pPr>
            <w:r>
              <w:rPr>
                <w:rFonts w:hint="eastAsia" w:ascii="宋体" w:hAnsi="宋体" w:eastAsia="宋体" w:cs="Times New Roman"/>
                <w:color w:val="000000" w:themeColor="text1"/>
                <w:kern w:val="0"/>
                <w:sz w:val="20"/>
                <w:szCs w:val="24"/>
                <w14:textFill>
                  <w14:solidFill>
                    <w14:schemeClr w14:val="tx1"/>
                  </w14:solidFill>
                </w14:textFill>
              </w:rPr>
              <w:t>（2）收入结构，上半年运营、造价等高毛利率产品收入占比提升，低毛利率产品收入相对占比低。</w:t>
            </w:r>
          </w:p>
          <w:p w14:paraId="2AD1C663">
            <w:pPr>
              <w:pStyle w:val="10"/>
              <w:numPr>
                <w:ilvl w:val="0"/>
                <w:numId w:val="1"/>
              </w:numPr>
              <w:spacing w:line="360" w:lineRule="auto"/>
              <w:ind w:left="0" w:firstLine="402"/>
              <w:outlineLvl w:val="2"/>
              <w:rPr>
                <w:rFonts w:hint="eastAsia" w:ascii="宋体" w:hAnsi="宋体" w:eastAsia="宋体"/>
                <w:b/>
                <w:bCs/>
                <w:color w:val="000000" w:themeColor="text1"/>
                <w:kern w:val="0"/>
                <w:sz w:val="20"/>
                <w:szCs w:val="20"/>
                <w14:textFill>
                  <w14:solidFill>
                    <w14:schemeClr w14:val="tx1"/>
                  </w14:solidFill>
                </w14:textFill>
              </w:rPr>
            </w:pPr>
            <w:r>
              <w:rPr>
                <w:rFonts w:hint="eastAsia" w:ascii="宋体" w:hAnsi="宋体" w:eastAsia="宋体"/>
                <w:b/>
                <w:bCs/>
                <w:color w:val="000000" w:themeColor="text1"/>
                <w:kern w:val="0"/>
                <w:sz w:val="20"/>
                <w:szCs w:val="20"/>
                <w14:textFill>
                  <w14:solidFill>
                    <w14:schemeClr w14:val="tx1"/>
                  </w14:solidFill>
                </w14:textFill>
              </w:rPr>
              <w:t>经营性现金流变好的原因</w:t>
            </w:r>
            <w:r>
              <w:rPr>
                <w:rFonts w:ascii="宋体" w:hAnsi="宋体" w:eastAsia="宋体"/>
                <w:b/>
                <w:bCs/>
                <w:color w:val="000000" w:themeColor="text1"/>
                <w:kern w:val="0"/>
                <w:sz w:val="20"/>
                <w:szCs w:val="20"/>
                <w14:textFill>
                  <w14:solidFill>
                    <w14:schemeClr w14:val="tx1"/>
                  </w14:solidFill>
                </w14:textFill>
              </w:rPr>
              <w:t xml:space="preserve">？ </w:t>
            </w:r>
          </w:p>
          <w:p w14:paraId="3CB03CD5">
            <w:pPr>
              <w:spacing w:line="360" w:lineRule="auto"/>
              <w:ind w:firstLine="400" w:firstLineChars="200"/>
              <w:rPr>
                <w:rFonts w:hint="eastAsia" w:ascii="宋体" w:hAnsi="宋体" w:eastAsia="宋体" w:cs="Times New Roman"/>
                <w:color w:val="000000" w:themeColor="text1"/>
                <w:kern w:val="0"/>
                <w:sz w:val="20"/>
                <w:szCs w:val="24"/>
                <w14:textFill>
                  <w14:solidFill>
                    <w14:schemeClr w14:val="tx1"/>
                  </w14:solidFill>
                </w14:textFill>
              </w:rPr>
            </w:pPr>
            <w:bookmarkStart w:id="1" w:name="_Hlk93496551"/>
            <w:r>
              <w:rPr>
                <w:rFonts w:hint="eastAsia" w:ascii="宋体" w:hAnsi="宋体" w:eastAsia="宋体" w:cs="Times New Roman"/>
                <w:color w:val="000000" w:themeColor="text1"/>
                <w:kern w:val="0"/>
                <w:sz w:val="20"/>
                <w:szCs w:val="24"/>
                <w14:textFill>
                  <w14:solidFill>
                    <w14:schemeClr w14:val="tx1"/>
                  </w14:solidFill>
                </w14:textFill>
              </w:rPr>
              <w:t>答：今年上半年度，经营性现金流量净额-2.30亿元，同比上年同期增加1.36亿元；其中销售商品、提供劳务收到的现金为9.67亿元，同比减少0.71亿元，总体状况良好，公司保持了收款的质量；支付给职工的现金为7.50亿元，同比减少1.12亿元，公司在人员控制上加强了管理，使得现金流出的质量得到了改善。公司将持续加强应收回款的管控，使经营性现金流表现得更加健康和稳定。</w:t>
            </w:r>
          </w:p>
          <w:bookmarkEnd w:id="1"/>
          <w:p w14:paraId="268F7F87">
            <w:pPr>
              <w:adjustRightInd w:val="0"/>
              <w:snapToGrid w:val="0"/>
              <w:spacing w:line="360" w:lineRule="auto"/>
              <w:ind w:firstLine="402" w:firstLineChars="200"/>
              <w:outlineLvl w:val="2"/>
              <w:rPr>
                <w:rFonts w:hint="eastAsia" w:ascii="宋体" w:hAnsi="宋体" w:eastAsia="宋体"/>
                <w:b/>
                <w:bCs/>
                <w:color w:val="000000" w:themeColor="text1"/>
                <w:kern w:val="0"/>
                <w:sz w:val="20"/>
                <w:szCs w:val="20"/>
                <w14:textFill>
                  <w14:solidFill>
                    <w14:schemeClr w14:val="tx1"/>
                  </w14:solidFill>
                </w14:textFill>
              </w:rPr>
            </w:pPr>
            <w:r>
              <w:rPr>
                <w:rFonts w:hint="eastAsia" w:ascii="宋体" w:hAnsi="宋体" w:eastAsia="宋体"/>
                <w:b/>
                <w:bCs/>
                <w:color w:val="000000" w:themeColor="text1"/>
                <w:kern w:val="0"/>
                <w:sz w:val="20"/>
                <w:szCs w:val="20"/>
                <w14:textFill>
                  <w14:solidFill>
                    <w14:schemeClr w14:val="tx1"/>
                  </w14:solidFill>
                </w14:textFill>
              </w:rPr>
              <w:t>3、《政府采购领域“整顿市场秩序、建设法规体系、促进产业发展”三年行动方案（2024—2026年）》对公司主要有哪些影响？</w:t>
            </w:r>
          </w:p>
          <w:p w14:paraId="68368491">
            <w:pPr>
              <w:spacing w:line="360" w:lineRule="auto"/>
              <w:ind w:firstLine="400" w:firstLineChars="200"/>
              <w:rPr>
                <w:rFonts w:hint="eastAsia" w:ascii="宋体" w:hAnsi="宋体" w:eastAsia="宋体"/>
                <w:color w:val="000000" w:themeColor="text1"/>
                <w:kern w:val="0"/>
                <w:sz w:val="20"/>
                <w:szCs w:val="20"/>
                <w14:textFill>
                  <w14:solidFill>
                    <w14:schemeClr w14:val="tx1"/>
                  </w14:solidFill>
                </w14:textFill>
              </w:rPr>
            </w:pPr>
            <w:r>
              <w:rPr>
                <w:rFonts w:hint="eastAsia" w:ascii="宋体" w:hAnsi="宋体" w:eastAsia="宋体"/>
                <w:color w:val="000000" w:themeColor="text1"/>
                <w:kern w:val="0"/>
                <w:sz w:val="20"/>
                <w:szCs w:val="20"/>
                <w14:textFill>
                  <w14:solidFill>
                    <w14:schemeClr w14:val="tx1"/>
                  </w14:solidFill>
                </w14:textFill>
              </w:rPr>
              <w:t>答：公司深耕招采行业多年，以“三化”为战略思想及行业可持续发展方向指引，优化产品架构，不断创新应用与服务模式，进一步巩固行业中的领先地位；产品线完善且覆盖政府采购的全业务流程，包括交易系统、服务系统、监管系统，打造了一套完整的、符合规则要求的产品体系，契合政策的要求；同时，公司通过SaaS化的招采平台，为中小企业提供一站式、集约化的数字化采购管理服务，为各类主体提供工具和服务，实现降本增效。</w:t>
            </w:r>
          </w:p>
          <w:p w14:paraId="32E68AAD">
            <w:pPr>
              <w:spacing w:line="360" w:lineRule="auto"/>
              <w:ind w:firstLine="402" w:firstLineChars="200"/>
              <w:rPr>
                <w:rFonts w:hint="eastAsia" w:ascii="宋体" w:hAnsi="宋体" w:eastAsia="宋体" w:cs="宋体"/>
                <w:b/>
                <w:bCs/>
                <w:color w:val="000000" w:themeColor="text1"/>
                <w:kern w:val="0"/>
                <w:sz w:val="20"/>
                <w:szCs w:val="21"/>
                <w14:textFill>
                  <w14:solidFill>
                    <w14:schemeClr w14:val="tx1"/>
                  </w14:solidFill>
                </w14:textFill>
              </w:rPr>
            </w:pPr>
            <w:r>
              <w:rPr>
                <w:rFonts w:hint="eastAsia" w:ascii="宋体" w:hAnsi="宋体" w:eastAsia="宋体" w:cs="宋体"/>
                <w:b/>
                <w:bCs/>
                <w:color w:val="000000" w:themeColor="text1"/>
                <w:kern w:val="0"/>
                <w:sz w:val="20"/>
                <w:szCs w:val="21"/>
                <w14:textFill>
                  <w14:solidFill>
                    <w14:schemeClr w14:val="tx1"/>
                  </w14:solidFill>
                </w14:textFill>
              </w:rPr>
              <w:t>4、平台运营的渗透率以及未来可以新拓展什么方向？</w:t>
            </w:r>
          </w:p>
          <w:p w14:paraId="1FDA39D9">
            <w:pPr>
              <w:spacing w:line="360" w:lineRule="auto"/>
              <w:ind w:firstLine="400" w:firstLineChars="200"/>
              <w:rPr>
                <w:rFonts w:hint="eastAsia" w:ascii="宋体" w:hAnsi="宋体" w:eastAsia="宋体" w:cs="宋体"/>
                <w:color w:val="000000" w:themeColor="text1"/>
                <w:kern w:val="0"/>
                <w:sz w:val="20"/>
                <w:szCs w:val="21"/>
                <w14:textFill>
                  <w14:solidFill>
                    <w14:schemeClr w14:val="tx1"/>
                  </w14:solidFill>
                </w14:textFill>
              </w:rPr>
            </w:pPr>
            <w:r>
              <w:rPr>
                <w:rFonts w:hint="eastAsia" w:ascii="宋体" w:hAnsi="宋体" w:eastAsia="宋体" w:cs="宋体"/>
                <w:color w:val="000000" w:themeColor="text1"/>
                <w:kern w:val="0"/>
                <w:sz w:val="20"/>
                <w:szCs w:val="21"/>
                <w14:textFill>
                  <w14:solidFill>
                    <w14:schemeClr w14:val="tx1"/>
                  </w14:solidFill>
                </w14:textFill>
              </w:rPr>
              <w:t>答：今年政府出台了一系列政策，如《国务院办公厅关于创新完善体制机制推动招标投标市场规范健康发展的意见》（国办发〔2024〕21号）、《中共中央关于进一步全面深化改革  推进中国式现代化的决定》、《关于规范中央企业采购管理工作的指导意见》等，这些政策文件明确了市场化工作的方向和路径，强调了平台化、市场化运维的重要性。</w:t>
            </w:r>
          </w:p>
          <w:p w14:paraId="62441925">
            <w:pPr>
              <w:spacing w:line="360" w:lineRule="auto"/>
              <w:ind w:firstLine="400" w:firstLineChars="200"/>
              <w:rPr>
                <w:rFonts w:hint="eastAsia" w:ascii="宋体" w:hAnsi="宋体" w:eastAsia="宋体" w:cs="宋体"/>
                <w:color w:val="000000" w:themeColor="text1"/>
                <w:kern w:val="0"/>
                <w:sz w:val="20"/>
                <w:szCs w:val="21"/>
                <w14:textFill>
                  <w14:solidFill>
                    <w14:schemeClr w14:val="tx1"/>
                  </w14:solidFill>
                </w14:textFill>
              </w:rPr>
            </w:pPr>
            <w:r>
              <w:rPr>
                <w:rFonts w:hint="eastAsia" w:ascii="宋体" w:hAnsi="宋体" w:eastAsia="宋体" w:cs="宋体"/>
                <w:color w:val="000000" w:themeColor="text1"/>
                <w:kern w:val="0"/>
                <w:sz w:val="20"/>
                <w:szCs w:val="21"/>
                <w14:textFill>
                  <w14:solidFill>
                    <w14:schemeClr w14:val="tx1"/>
                  </w14:solidFill>
                </w14:textFill>
              </w:rPr>
              <w:t>当前平台运营正处于起步阶段，公司将在广度和深度两个业务维度进行拓展，更好地服务好相关主体；在技术层面，公司专注于新技术在监管和服务方面的深度应用。</w:t>
            </w:r>
          </w:p>
          <w:p w14:paraId="73776FC4">
            <w:pPr>
              <w:spacing w:line="360" w:lineRule="auto"/>
              <w:ind w:firstLine="402" w:firstLineChars="200"/>
              <w:rPr>
                <w:rFonts w:hint="eastAsia" w:ascii="宋体" w:hAnsi="宋体" w:eastAsia="宋体" w:cs="宋体"/>
                <w:b/>
                <w:bCs/>
                <w:color w:val="000000" w:themeColor="text1"/>
                <w:kern w:val="0"/>
                <w:sz w:val="20"/>
                <w:szCs w:val="21"/>
                <w14:textFill>
                  <w14:solidFill>
                    <w14:schemeClr w14:val="tx1"/>
                  </w14:solidFill>
                </w14:textFill>
              </w:rPr>
            </w:pPr>
            <w:r>
              <w:rPr>
                <w:rFonts w:hint="eastAsia" w:ascii="宋体" w:hAnsi="宋体" w:eastAsia="宋体" w:cs="宋体"/>
                <w:b/>
                <w:bCs/>
                <w:color w:val="000000" w:themeColor="text1"/>
                <w:kern w:val="0"/>
                <w:sz w:val="20"/>
                <w:szCs w:val="21"/>
                <w14:textFill>
                  <w14:solidFill>
                    <w14:schemeClr w14:val="tx1"/>
                  </w14:solidFill>
                </w14:textFill>
              </w:rPr>
              <w:t>5、数据要素业务进展情况？</w:t>
            </w:r>
          </w:p>
          <w:p w14:paraId="5377D93D">
            <w:pPr>
              <w:spacing w:line="360" w:lineRule="auto"/>
              <w:ind w:firstLine="400" w:firstLineChars="200"/>
              <w:rPr>
                <w:rFonts w:hint="eastAsia" w:ascii="宋体" w:hAnsi="宋体" w:eastAsia="宋体" w:cs="宋体"/>
                <w:color w:val="000000" w:themeColor="text1"/>
                <w:kern w:val="0"/>
                <w:sz w:val="20"/>
                <w:szCs w:val="21"/>
                <w14:textFill>
                  <w14:solidFill>
                    <w14:schemeClr w14:val="tx1"/>
                  </w14:solidFill>
                </w14:textFill>
              </w:rPr>
            </w:pPr>
            <w:r>
              <w:rPr>
                <w:rFonts w:hint="eastAsia" w:ascii="宋体" w:hAnsi="宋体" w:eastAsia="宋体" w:cs="宋体"/>
                <w:color w:val="000000" w:themeColor="text1"/>
                <w:kern w:val="0"/>
                <w:sz w:val="20"/>
                <w:szCs w:val="21"/>
                <w14:textFill>
                  <w14:solidFill>
                    <w14:schemeClr w14:val="tx1"/>
                  </w14:solidFill>
                </w14:textFill>
              </w:rPr>
              <w:t>答：数据要素开发利用正处于积极探索阶段，市场规模不断扩大，政策支持力度持续加强。国家层面出台了一系列政策文件，如中共中央、国务院印发了《数字中国建设整体布局规划》，国家数据局等部门</w:t>
            </w:r>
            <w:r>
              <w:rPr>
                <w:rFonts w:hint="eastAsia" w:ascii="宋体" w:hAnsi="宋体" w:eastAsia="宋体" w:cs="宋体"/>
                <w:color w:val="000000" w:themeColor="text1"/>
                <w:kern w:val="0"/>
                <w:sz w:val="20"/>
                <w:szCs w:val="21"/>
                <w:lang w:val="en-US" w:eastAsia="zh-CN"/>
                <w14:textFill>
                  <w14:solidFill>
                    <w14:schemeClr w14:val="tx1"/>
                  </w14:solidFill>
                </w14:textFill>
              </w:rPr>
              <w:t>联合印发</w:t>
            </w:r>
            <w:r>
              <w:rPr>
                <w:rFonts w:hint="eastAsia" w:ascii="宋体" w:hAnsi="宋体" w:eastAsia="宋体" w:cs="宋体"/>
                <w:color w:val="000000" w:themeColor="text1"/>
                <w:kern w:val="0"/>
                <w:sz w:val="20"/>
                <w:szCs w:val="21"/>
                <w14:textFill>
                  <w14:solidFill>
                    <w14:schemeClr w14:val="tx1"/>
                  </w14:solidFill>
                </w14:textFill>
              </w:rPr>
              <w:t>了《“数据要素×”三年行动计划（2024—2026年）》，今年上半年各省市制定并实施了数据要素相关方案，包括江苏、四川、广西、甘肃、内蒙古自治区等。随着数据要素政策的发布和实施，公司将继续深耕数字政府领域，积极开展业务转型和数据要素运营方面的相关探索。</w:t>
            </w:r>
          </w:p>
          <w:p w14:paraId="781172F7">
            <w:pPr>
              <w:spacing w:line="360" w:lineRule="auto"/>
              <w:ind w:firstLine="400" w:firstLineChars="200"/>
              <w:rPr>
                <w:rFonts w:hint="eastAsia" w:ascii="宋体" w:hAnsi="宋体" w:eastAsia="宋体" w:cs="宋体"/>
                <w:color w:val="000000" w:themeColor="text1"/>
                <w:kern w:val="0"/>
                <w:sz w:val="20"/>
                <w:szCs w:val="21"/>
                <w14:textFill>
                  <w14:solidFill>
                    <w14:schemeClr w14:val="tx1"/>
                  </w14:solidFill>
                </w14:textFill>
              </w:rPr>
            </w:pPr>
            <w:r>
              <w:rPr>
                <w:rFonts w:hint="eastAsia" w:ascii="宋体" w:hAnsi="宋体" w:eastAsia="宋体" w:cs="宋体"/>
                <w:color w:val="000000" w:themeColor="text1"/>
                <w:kern w:val="0"/>
                <w:sz w:val="20"/>
                <w:szCs w:val="21"/>
                <w14:textFill>
                  <w14:solidFill>
                    <w14:schemeClr w14:val="tx1"/>
                  </w14:solidFill>
                </w14:textFill>
              </w:rPr>
              <w:t>公司推出公共数据场景运营解决方案，今年上半年已在多个项目上完成价值验证；积极拓展政企数据治理项目，深度参与上海等地区的政务数据目录运营工作，为后续的公共数据高质量服务提供保障。</w:t>
            </w:r>
          </w:p>
          <w:p w14:paraId="6C496CEA">
            <w:pPr>
              <w:spacing w:line="360" w:lineRule="auto"/>
              <w:ind w:firstLine="402" w:firstLineChars="200"/>
              <w:rPr>
                <w:rFonts w:hint="eastAsia" w:ascii="宋体" w:hAnsi="宋体" w:eastAsia="宋体" w:cs="宋体"/>
                <w:b/>
                <w:bCs/>
                <w:color w:val="000000" w:themeColor="text1"/>
                <w:kern w:val="0"/>
                <w:sz w:val="20"/>
                <w:szCs w:val="21"/>
                <w14:textFill>
                  <w14:solidFill>
                    <w14:schemeClr w14:val="tx1"/>
                  </w14:solidFill>
                </w14:textFill>
              </w:rPr>
            </w:pPr>
            <w:r>
              <w:rPr>
                <w:rFonts w:hint="eastAsia" w:ascii="宋体" w:hAnsi="宋体" w:eastAsia="宋体" w:cs="宋体"/>
                <w:b/>
                <w:bCs/>
                <w:color w:val="000000" w:themeColor="text1"/>
                <w:kern w:val="0"/>
                <w:sz w:val="20"/>
                <w:szCs w:val="21"/>
                <w14:textFill>
                  <w14:solidFill>
                    <w14:schemeClr w14:val="tx1"/>
                  </w14:solidFill>
                </w14:textFill>
              </w:rPr>
              <w:t>6、</w:t>
            </w:r>
            <w:r>
              <w:rPr>
                <w:rFonts w:hint="eastAsia" w:ascii="宋体" w:hAnsi="宋体" w:eastAsia="宋体" w:cs="宋体"/>
                <w:b/>
                <w:bCs/>
                <w:color w:val="000000" w:themeColor="text1"/>
                <w:kern w:val="0"/>
                <w:sz w:val="20"/>
                <w:szCs w:val="21"/>
                <w14:textFill>
                  <w14:solidFill>
                    <w14:schemeClr w14:val="tx1"/>
                  </w14:solidFill>
                </w14:textFill>
              </w:rPr>
              <w:tab/>
            </w:r>
            <w:r>
              <w:rPr>
                <w:rFonts w:hint="eastAsia" w:ascii="宋体" w:hAnsi="宋体" w:eastAsia="宋体" w:cs="宋体"/>
                <w:b/>
                <w:bCs/>
                <w:color w:val="000000" w:themeColor="text1"/>
                <w:kern w:val="0"/>
                <w:sz w:val="20"/>
                <w:szCs w:val="21"/>
                <w14:textFill>
                  <w14:solidFill>
                    <w14:schemeClr w14:val="tx1"/>
                  </w14:solidFill>
                </w14:textFill>
              </w:rPr>
              <w:t>政府财政压力如何变化？公司有没有做什么实质性应对措施？</w:t>
            </w:r>
          </w:p>
          <w:p w14:paraId="57E43C46">
            <w:pPr>
              <w:spacing w:line="360" w:lineRule="auto"/>
              <w:ind w:firstLine="400" w:firstLineChars="200"/>
              <w:rPr>
                <w:rFonts w:hint="eastAsia" w:ascii="宋体" w:hAnsi="宋体" w:eastAsia="宋体" w:cs="宋体"/>
                <w:color w:val="000000" w:themeColor="text1"/>
                <w:kern w:val="0"/>
                <w:sz w:val="20"/>
                <w:szCs w:val="21"/>
                <w14:textFill>
                  <w14:solidFill>
                    <w14:schemeClr w14:val="tx1"/>
                  </w14:solidFill>
                </w14:textFill>
              </w:rPr>
            </w:pPr>
            <w:r>
              <w:rPr>
                <w:rFonts w:hint="eastAsia" w:ascii="宋体" w:hAnsi="宋体" w:eastAsia="宋体" w:cs="宋体"/>
                <w:color w:val="000000" w:themeColor="text1"/>
                <w:kern w:val="0"/>
                <w:sz w:val="20"/>
                <w:szCs w:val="21"/>
                <w14:textFill>
                  <w14:solidFill>
                    <w14:schemeClr w14:val="tx1"/>
                  </w14:solidFill>
                </w14:textFill>
              </w:rPr>
              <w:t>答：财政预算存在结构性差异，以功能建设为主的投资正在减少，部分项目延后；但客户投入意愿较多的板块有：</w:t>
            </w:r>
          </w:p>
          <w:p w14:paraId="69E93F97">
            <w:pPr>
              <w:spacing w:line="360" w:lineRule="auto"/>
              <w:ind w:firstLine="400" w:firstLineChars="200"/>
              <w:rPr>
                <w:rFonts w:hint="eastAsia" w:ascii="宋体" w:hAnsi="宋体" w:eastAsia="宋体" w:cs="宋体"/>
                <w:color w:val="000000" w:themeColor="text1"/>
                <w:kern w:val="0"/>
                <w:sz w:val="20"/>
                <w:szCs w:val="21"/>
                <w14:textFill>
                  <w14:solidFill>
                    <w14:schemeClr w14:val="tx1"/>
                  </w14:solidFill>
                </w14:textFill>
              </w:rPr>
            </w:pPr>
            <w:r>
              <w:rPr>
                <w:rFonts w:hint="eastAsia" w:ascii="宋体" w:hAnsi="宋体" w:eastAsia="宋体" w:cs="宋体"/>
                <w:color w:val="000000" w:themeColor="text1"/>
                <w:kern w:val="0"/>
                <w:sz w:val="20"/>
                <w:szCs w:val="21"/>
                <w14:textFill>
                  <w14:solidFill>
                    <w14:schemeClr w14:val="tx1"/>
                  </w14:solidFill>
                </w14:textFill>
              </w:rPr>
              <w:t>（1）国家政策支持的板块，比如综合监管、一件事一次办等</w:t>
            </w:r>
            <w:r>
              <w:rPr>
                <w:rFonts w:hint="eastAsia" w:ascii="宋体" w:hAnsi="宋体" w:eastAsia="宋体" w:cs="宋体"/>
                <w:color w:val="000000" w:themeColor="text1"/>
                <w:kern w:val="0"/>
                <w:sz w:val="20"/>
                <w:szCs w:val="21"/>
                <w:lang w:eastAsia="zh-CN"/>
                <w14:textFill>
                  <w14:solidFill>
                    <w14:schemeClr w14:val="tx1"/>
                  </w14:solidFill>
                </w14:textFill>
              </w:rPr>
              <w:t>；</w:t>
            </w:r>
          </w:p>
          <w:p w14:paraId="34396EDB">
            <w:pPr>
              <w:spacing w:line="360" w:lineRule="auto"/>
              <w:ind w:firstLine="400" w:firstLineChars="200"/>
              <w:rPr>
                <w:rFonts w:hint="eastAsia" w:ascii="宋体" w:hAnsi="宋体" w:eastAsia="宋体" w:cs="宋体"/>
                <w:color w:val="000000" w:themeColor="text1"/>
                <w:kern w:val="0"/>
                <w:sz w:val="20"/>
                <w:szCs w:val="21"/>
                <w14:textFill>
                  <w14:solidFill>
                    <w14:schemeClr w14:val="tx1"/>
                  </w14:solidFill>
                </w14:textFill>
              </w:rPr>
            </w:pPr>
            <w:r>
              <w:rPr>
                <w:rFonts w:hint="eastAsia" w:ascii="宋体" w:hAnsi="宋体" w:eastAsia="宋体" w:cs="宋体"/>
                <w:color w:val="000000" w:themeColor="text1"/>
                <w:kern w:val="0"/>
                <w:sz w:val="20"/>
                <w:szCs w:val="21"/>
                <w14:textFill>
                  <w14:solidFill>
                    <w14:schemeClr w14:val="tx1"/>
                  </w14:solidFill>
                </w14:textFill>
              </w:rPr>
              <w:t>（2）智能化应用，包括大模型等新技术在实际运行中展现了提质增效的效果</w:t>
            </w:r>
            <w:r>
              <w:rPr>
                <w:rFonts w:hint="eastAsia" w:ascii="宋体" w:hAnsi="宋体" w:eastAsia="宋体" w:cs="宋体"/>
                <w:color w:val="000000" w:themeColor="text1"/>
                <w:kern w:val="0"/>
                <w:sz w:val="20"/>
                <w:szCs w:val="21"/>
                <w:lang w:eastAsia="zh-CN"/>
                <w14:textFill>
                  <w14:solidFill>
                    <w14:schemeClr w14:val="tx1"/>
                  </w14:solidFill>
                </w14:textFill>
              </w:rPr>
              <w:t>；</w:t>
            </w:r>
          </w:p>
          <w:p w14:paraId="6A1C14E3">
            <w:pPr>
              <w:spacing w:line="360" w:lineRule="auto"/>
              <w:ind w:firstLine="400" w:firstLineChars="200"/>
              <w:rPr>
                <w:rFonts w:hint="eastAsia" w:ascii="宋体" w:hAnsi="宋体" w:eastAsia="宋体" w:cs="宋体"/>
                <w:color w:val="000000" w:themeColor="text1"/>
                <w:kern w:val="0"/>
                <w:sz w:val="20"/>
                <w:szCs w:val="21"/>
                <w14:textFill>
                  <w14:solidFill>
                    <w14:schemeClr w14:val="tx1"/>
                  </w14:solidFill>
                </w14:textFill>
              </w:rPr>
            </w:pPr>
            <w:r>
              <w:rPr>
                <w:rFonts w:hint="eastAsia" w:ascii="宋体" w:hAnsi="宋体" w:eastAsia="宋体" w:cs="宋体"/>
                <w:color w:val="000000" w:themeColor="text1"/>
                <w:kern w:val="0"/>
                <w:sz w:val="20"/>
                <w:szCs w:val="21"/>
                <w14:textFill>
                  <w14:solidFill>
                    <w14:schemeClr w14:val="tx1"/>
                  </w14:solidFill>
                </w14:textFill>
              </w:rPr>
              <w:t>（3）在数据要素方面，公共数据授权运营平台和相关应用场景，结合行业数据，形成新的价值。</w:t>
            </w:r>
          </w:p>
        </w:tc>
      </w:tr>
      <w:tr w14:paraId="5006DE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47" w:type="dxa"/>
            <w:vAlign w:val="center"/>
          </w:tcPr>
          <w:p w14:paraId="6D5080A5">
            <w:pPr>
              <w:jc w:val="center"/>
              <w:rPr>
                <w:rFonts w:hint="eastAsia" w:ascii="宋体" w:hAnsi="宋体" w:eastAsia="宋体" w:cs="宋体"/>
                <w:b/>
                <w:bCs/>
                <w:kern w:val="0"/>
                <w:sz w:val="20"/>
                <w:szCs w:val="21"/>
              </w:rPr>
            </w:pPr>
            <w:r>
              <w:rPr>
                <w:rFonts w:hint="eastAsia" w:ascii="宋体" w:hAnsi="宋体" w:eastAsia="宋体" w:cs="宋体"/>
                <w:b/>
                <w:bCs/>
                <w:kern w:val="0"/>
                <w:sz w:val="20"/>
                <w:szCs w:val="21"/>
              </w:rPr>
              <w:t>关于本次活动是否涉及应当披露重大信息的说明</w:t>
            </w:r>
          </w:p>
        </w:tc>
        <w:tc>
          <w:tcPr>
            <w:tcW w:w="5749" w:type="dxa"/>
            <w:vAlign w:val="center"/>
          </w:tcPr>
          <w:p w14:paraId="44641F05">
            <w:pPr>
              <w:rPr>
                <w:rFonts w:hint="eastAsia" w:ascii="宋体" w:hAnsi="宋体" w:eastAsia="宋体" w:cs="宋体"/>
                <w:kern w:val="0"/>
                <w:sz w:val="20"/>
                <w:szCs w:val="21"/>
              </w:rPr>
            </w:pPr>
            <w:r>
              <w:rPr>
                <w:rFonts w:hint="eastAsia" w:ascii="宋体" w:hAnsi="宋体" w:eastAsia="宋体" w:cs="宋体"/>
                <w:kern w:val="0"/>
                <w:sz w:val="20"/>
                <w:szCs w:val="21"/>
              </w:rPr>
              <w:t>本次活动，公司严格按照相关规定交流沟通，不存在未公开重大信息泄露等情形。</w:t>
            </w:r>
          </w:p>
        </w:tc>
      </w:tr>
      <w:tr w14:paraId="21B0FA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47" w:type="dxa"/>
            <w:vAlign w:val="center"/>
          </w:tcPr>
          <w:p w14:paraId="6C691C61">
            <w:pPr>
              <w:jc w:val="center"/>
              <w:rPr>
                <w:rFonts w:hint="eastAsia" w:ascii="宋体" w:hAnsi="宋体" w:eastAsia="宋体" w:cs="宋体"/>
                <w:b/>
                <w:bCs/>
                <w:kern w:val="0"/>
                <w:sz w:val="20"/>
                <w:szCs w:val="21"/>
              </w:rPr>
            </w:pPr>
            <w:r>
              <w:rPr>
                <w:rFonts w:hint="eastAsia" w:ascii="宋体" w:hAnsi="宋体" w:eastAsia="宋体" w:cs="宋体"/>
                <w:b/>
                <w:bCs/>
                <w:kern w:val="0"/>
                <w:sz w:val="20"/>
                <w:szCs w:val="21"/>
              </w:rPr>
              <w:t>附件清单（如有）</w:t>
            </w:r>
          </w:p>
        </w:tc>
        <w:tc>
          <w:tcPr>
            <w:tcW w:w="5749" w:type="dxa"/>
            <w:vAlign w:val="center"/>
          </w:tcPr>
          <w:p w14:paraId="17729453">
            <w:pPr>
              <w:rPr>
                <w:rFonts w:hint="eastAsia" w:ascii="宋体" w:hAnsi="宋体" w:eastAsia="宋体" w:cs="宋体"/>
                <w:kern w:val="0"/>
                <w:sz w:val="20"/>
                <w:szCs w:val="21"/>
              </w:rPr>
            </w:pPr>
            <w:r>
              <w:rPr>
                <w:rFonts w:hint="eastAsia" w:ascii="宋体" w:hAnsi="宋体" w:eastAsia="宋体" w:cs="宋体"/>
                <w:kern w:val="0"/>
                <w:sz w:val="20"/>
                <w:szCs w:val="21"/>
              </w:rPr>
              <w:t>无</w:t>
            </w:r>
          </w:p>
        </w:tc>
      </w:tr>
      <w:tr w14:paraId="7C335E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47" w:type="dxa"/>
            <w:vAlign w:val="center"/>
          </w:tcPr>
          <w:p w14:paraId="1D987BCC">
            <w:pPr>
              <w:jc w:val="center"/>
              <w:rPr>
                <w:rFonts w:hint="eastAsia" w:ascii="宋体" w:hAnsi="宋体" w:eastAsia="宋体" w:cs="宋体"/>
                <w:b/>
                <w:bCs/>
                <w:kern w:val="0"/>
                <w:sz w:val="20"/>
                <w:szCs w:val="21"/>
              </w:rPr>
            </w:pPr>
            <w:r>
              <w:rPr>
                <w:rFonts w:hint="eastAsia" w:ascii="宋体" w:hAnsi="宋体" w:eastAsia="宋体" w:cs="宋体"/>
                <w:b/>
                <w:bCs/>
                <w:kern w:val="0"/>
                <w:sz w:val="20"/>
                <w:szCs w:val="21"/>
              </w:rPr>
              <w:t>日期</w:t>
            </w:r>
          </w:p>
        </w:tc>
        <w:tc>
          <w:tcPr>
            <w:tcW w:w="5749" w:type="dxa"/>
            <w:vAlign w:val="center"/>
          </w:tcPr>
          <w:p w14:paraId="7DD1FF12">
            <w:pPr>
              <w:rPr>
                <w:rFonts w:hint="eastAsia" w:ascii="宋体" w:hAnsi="宋体" w:eastAsia="宋体" w:cs="宋体"/>
                <w:kern w:val="0"/>
                <w:sz w:val="20"/>
                <w:szCs w:val="21"/>
              </w:rPr>
            </w:pPr>
            <w:r>
              <w:rPr>
                <w:rFonts w:hint="eastAsia" w:ascii="宋体" w:hAnsi="宋体" w:eastAsia="宋体" w:cs="宋体"/>
                <w:kern w:val="0"/>
                <w:sz w:val="20"/>
                <w:szCs w:val="21"/>
              </w:rPr>
              <w:t>2</w:t>
            </w:r>
            <w:r>
              <w:rPr>
                <w:rFonts w:ascii="宋体" w:hAnsi="宋体" w:eastAsia="宋体" w:cs="宋体"/>
                <w:kern w:val="0"/>
                <w:sz w:val="20"/>
                <w:szCs w:val="21"/>
              </w:rPr>
              <w:t>02</w:t>
            </w:r>
            <w:r>
              <w:rPr>
                <w:rFonts w:hint="eastAsia" w:ascii="宋体" w:hAnsi="宋体" w:eastAsia="宋体" w:cs="宋体"/>
                <w:kern w:val="0"/>
                <w:sz w:val="20"/>
                <w:szCs w:val="21"/>
              </w:rPr>
              <w:t>4年8月28日</w:t>
            </w:r>
          </w:p>
        </w:tc>
      </w:tr>
    </w:tbl>
    <w:p w14:paraId="526DAF75">
      <w:pPr>
        <w:spacing w:line="360" w:lineRule="auto"/>
        <w:rPr>
          <w:rFonts w:hint="eastAsia" w:ascii="宋体" w:hAnsi="宋体" w:eastAsia="宋体"/>
          <w:b/>
          <w:bCs/>
        </w:rPr>
      </w:pPr>
    </w:p>
    <w:p w14:paraId="3E0EDF77">
      <w:pPr>
        <w:widowControl/>
        <w:jc w:val="left"/>
        <w:rPr>
          <w:rFonts w:hint="eastAsia" w:ascii="宋体" w:hAnsi="宋体" w:eastAsia="宋体"/>
          <w:b/>
          <w:bCs/>
        </w:rPr>
      </w:pPr>
      <w:r>
        <w:rPr>
          <w:rFonts w:ascii="宋体" w:hAnsi="宋体" w:eastAsia="宋体"/>
          <w:b/>
          <w:bCs/>
        </w:rPr>
        <w:br w:type="page"/>
      </w:r>
    </w:p>
    <w:p w14:paraId="0A36FCD1">
      <w:pPr>
        <w:spacing w:line="360" w:lineRule="auto"/>
        <w:rPr>
          <w:rFonts w:hint="eastAsia" w:ascii="宋体" w:hAnsi="宋体" w:eastAsia="宋体"/>
        </w:rPr>
      </w:pPr>
      <w:r>
        <w:rPr>
          <w:rFonts w:hint="eastAsia" w:ascii="宋体" w:hAnsi="宋体" w:eastAsia="宋体"/>
          <w:b/>
          <w:bCs/>
        </w:rPr>
        <w:t>附表：参会人员名单（排名不分先后）</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37"/>
        <w:gridCol w:w="2985"/>
      </w:tblGrid>
      <w:tr w14:paraId="046C4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7" w:type="dxa"/>
          </w:tcPr>
          <w:p w14:paraId="7A8D8F73">
            <w:pPr>
              <w:spacing w:line="276" w:lineRule="auto"/>
              <w:rPr>
                <w:rFonts w:hint="eastAsia" w:ascii="宋体" w:hAnsi="宋体" w:eastAsia="宋体"/>
                <w:b/>
                <w:bCs/>
                <w:sz w:val="18"/>
                <w:szCs w:val="18"/>
              </w:rPr>
            </w:pPr>
            <w:r>
              <w:rPr>
                <w:rFonts w:hint="eastAsia" w:ascii="宋体" w:hAnsi="宋体" w:eastAsia="宋体"/>
                <w:b/>
                <w:bCs/>
                <w:sz w:val="18"/>
                <w:szCs w:val="18"/>
              </w:rPr>
              <w:t>机构名称</w:t>
            </w:r>
          </w:p>
          <w:p w14:paraId="3F864B0E">
            <w:pPr>
              <w:spacing w:line="276" w:lineRule="auto"/>
              <w:rPr>
                <w:rFonts w:hint="eastAsia" w:ascii="宋体" w:hAnsi="宋体" w:eastAsia="宋体"/>
                <w:sz w:val="18"/>
                <w:szCs w:val="18"/>
              </w:rPr>
            </w:pPr>
            <w:r>
              <w:rPr>
                <w:rFonts w:hint="eastAsia" w:ascii="宋体" w:hAnsi="宋体" w:eastAsia="宋体"/>
                <w:sz w:val="18"/>
                <w:szCs w:val="18"/>
              </w:rPr>
              <w:t>中泰证券</w:t>
            </w:r>
          </w:p>
          <w:p w14:paraId="1DFA2411">
            <w:pPr>
              <w:spacing w:line="276" w:lineRule="auto"/>
              <w:rPr>
                <w:rFonts w:hint="eastAsia" w:ascii="宋体" w:hAnsi="宋体" w:eastAsia="宋体"/>
                <w:sz w:val="18"/>
                <w:szCs w:val="18"/>
              </w:rPr>
            </w:pPr>
            <w:r>
              <w:rPr>
                <w:rFonts w:hint="eastAsia" w:ascii="宋体" w:hAnsi="宋体" w:eastAsia="宋体"/>
                <w:sz w:val="18"/>
                <w:szCs w:val="18"/>
              </w:rPr>
              <w:t>中金证券</w:t>
            </w:r>
          </w:p>
          <w:p w14:paraId="20465AB2">
            <w:pPr>
              <w:spacing w:line="276" w:lineRule="auto"/>
              <w:rPr>
                <w:rFonts w:hint="eastAsia" w:ascii="宋体" w:hAnsi="宋体" w:eastAsia="宋体"/>
                <w:sz w:val="18"/>
                <w:szCs w:val="18"/>
              </w:rPr>
            </w:pPr>
            <w:r>
              <w:rPr>
                <w:rFonts w:hint="eastAsia" w:ascii="宋体" w:hAnsi="宋体" w:eastAsia="宋体"/>
                <w:sz w:val="18"/>
                <w:szCs w:val="18"/>
              </w:rPr>
              <w:t>中信证券</w:t>
            </w:r>
          </w:p>
          <w:p w14:paraId="4612332F">
            <w:pPr>
              <w:spacing w:line="276" w:lineRule="auto"/>
              <w:rPr>
                <w:rFonts w:hint="eastAsia" w:ascii="宋体" w:hAnsi="宋体" w:eastAsia="宋体"/>
                <w:sz w:val="18"/>
                <w:szCs w:val="18"/>
              </w:rPr>
            </w:pPr>
            <w:r>
              <w:rPr>
                <w:rFonts w:hint="eastAsia" w:ascii="宋体" w:hAnsi="宋体" w:eastAsia="宋体"/>
                <w:sz w:val="18"/>
                <w:szCs w:val="18"/>
              </w:rPr>
              <w:t>中信证券资管部</w:t>
            </w:r>
          </w:p>
          <w:p w14:paraId="434267B8">
            <w:pPr>
              <w:spacing w:line="276" w:lineRule="auto"/>
              <w:rPr>
                <w:rFonts w:hint="eastAsia" w:ascii="宋体" w:hAnsi="宋体" w:eastAsia="宋体"/>
                <w:sz w:val="18"/>
                <w:szCs w:val="18"/>
              </w:rPr>
            </w:pPr>
            <w:r>
              <w:rPr>
                <w:rFonts w:hint="eastAsia" w:ascii="宋体" w:hAnsi="宋体" w:eastAsia="宋体"/>
                <w:sz w:val="18"/>
                <w:szCs w:val="18"/>
              </w:rPr>
              <w:t>鹏扬基金管理有限公司</w:t>
            </w:r>
          </w:p>
          <w:p w14:paraId="6591C8EC">
            <w:pPr>
              <w:spacing w:line="276" w:lineRule="auto"/>
              <w:rPr>
                <w:rFonts w:hint="eastAsia" w:ascii="宋体" w:hAnsi="宋体" w:eastAsia="宋体"/>
                <w:sz w:val="18"/>
                <w:szCs w:val="18"/>
              </w:rPr>
            </w:pPr>
            <w:r>
              <w:rPr>
                <w:rFonts w:hint="eastAsia" w:ascii="宋体" w:hAnsi="宋体" w:eastAsia="宋体"/>
                <w:sz w:val="18"/>
                <w:szCs w:val="18"/>
              </w:rPr>
              <w:t>深圳市红筹投资有限公司</w:t>
            </w:r>
          </w:p>
          <w:p w14:paraId="24D5DFBA">
            <w:pPr>
              <w:spacing w:line="276" w:lineRule="auto"/>
              <w:rPr>
                <w:rFonts w:hint="eastAsia" w:ascii="宋体" w:hAnsi="宋体" w:eastAsia="宋体"/>
                <w:sz w:val="18"/>
                <w:szCs w:val="18"/>
              </w:rPr>
            </w:pPr>
            <w:r>
              <w:rPr>
                <w:rFonts w:hint="eastAsia" w:ascii="宋体" w:hAnsi="宋体" w:eastAsia="宋体"/>
                <w:sz w:val="18"/>
                <w:szCs w:val="18"/>
              </w:rPr>
              <w:t>上海贵源投资</w:t>
            </w:r>
          </w:p>
          <w:p w14:paraId="3BF49BD1">
            <w:pPr>
              <w:spacing w:line="276" w:lineRule="auto"/>
              <w:rPr>
                <w:rFonts w:hint="eastAsia" w:ascii="宋体" w:hAnsi="宋体" w:eastAsia="宋体"/>
                <w:sz w:val="18"/>
                <w:szCs w:val="18"/>
              </w:rPr>
            </w:pPr>
            <w:r>
              <w:rPr>
                <w:rFonts w:hint="eastAsia" w:ascii="宋体" w:hAnsi="宋体" w:eastAsia="宋体"/>
                <w:sz w:val="18"/>
                <w:szCs w:val="18"/>
              </w:rPr>
              <w:t>上海冲积资产管理中心(有限合伙)</w:t>
            </w:r>
          </w:p>
          <w:p w14:paraId="320A7213">
            <w:pPr>
              <w:spacing w:line="276" w:lineRule="auto"/>
              <w:rPr>
                <w:rFonts w:hint="eastAsia" w:ascii="宋体" w:hAnsi="宋体" w:eastAsia="宋体"/>
                <w:sz w:val="18"/>
                <w:szCs w:val="18"/>
              </w:rPr>
            </w:pPr>
            <w:r>
              <w:rPr>
                <w:rFonts w:hint="eastAsia" w:ascii="宋体" w:hAnsi="宋体" w:eastAsia="宋体"/>
                <w:sz w:val="18"/>
                <w:szCs w:val="18"/>
              </w:rPr>
              <w:t>上海古曲私募基金管理有限公司</w:t>
            </w:r>
          </w:p>
          <w:p w14:paraId="55C711E0">
            <w:pPr>
              <w:spacing w:line="276" w:lineRule="auto"/>
              <w:rPr>
                <w:rFonts w:hint="eastAsia" w:ascii="宋体" w:hAnsi="宋体" w:eastAsia="宋体"/>
                <w:sz w:val="18"/>
                <w:szCs w:val="18"/>
              </w:rPr>
            </w:pPr>
            <w:r>
              <w:rPr>
                <w:rFonts w:hint="eastAsia" w:ascii="宋体" w:hAnsi="宋体" w:eastAsia="宋体"/>
                <w:sz w:val="18"/>
                <w:szCs w:val="18"/>
              </w:rPr>
              <w:t>浙江优策投资管理有限公司</w:t>
            </w:r>
          </w:p>
          <w:p w14:paraId="5105A972">
            <w:pPr>
              <w:spacing w:line="276" w:lineRule="auto"/>
              <w:rPr>
                <w:rFonts w:hint="eastAsia" w:ascii="宋体" w:hAnsi="宋体" w:eastAsia="宋体"/>
                <w:sz w:val="18"/>
                <w:szCs w:val="18"/>
              </w:rPr>
            </w:pPr>
            <w:r>
              <w:rPr>
                <w:rFonts w:hint="eastAsia" w:ascii="宋体" w:hAnsi="宋体" w:eastAsia="宋体"/>
                <w:sz w:val="18"/>
                <w:szCs w:val="18"/>
              </w:rPr>
              <w:t>格林基金管理有限公司</w:t>
            </w:r>
          </w:p>
          <w:p w14:paraId="65E686D7">
            <w:pPr>
              <w:spacing w:line="276" w:lineRule="auto"/>
              <w:rPr>
                <w:rFonts w:hint="eastAsia" w:ascii="宋体" w:hAnsi="宋体" w:eastAsia="宋体"/>
                <w:sz w:val="18"/>
                <w:szCs w:val="18"/>
              </w:rPr>
            </w:pPr>
            <w:r>
              <w:rPr>
                <w:rFonts w:hint="eastAsia" w:ascii="宋体" w:hAnsi="宋体" w:eastAsia="宋体"/>
                <w:sz w:val="18"/>
                <w:szCs w:val="18"/>
              </w:rPr>
              <w:t>拾贝投资管理（北京）有限公司</w:t>
            </w:r>
          </w:p>
        </w:tc>
        <w:tc>
          <w:tcPr>
            <w:tcW w:w="2985" w:type="dxa"/>
          </w:tcPr>
          <w:p w14:paraId="57CFC1D1">
            <w:pPr>
              <w:spacing w:line="276" w:lineRule="auto"/>
              <w:jc w:val="right"/>
              <w:rPr>
                <w:rFonts w:hint="eastAsia" w:ascii="宋体" w:hAnsi="宋体" w:eastAsia="宋体"/>
                <w:b/>
                <w:bCs/>
                <w:sz w:val="18"/>
                <w:szCs w:val="18"/>
              </w:rPr>
            </w:pPr>
            <w:r>
              <w:rPr>
                <w:rFonts w:hint="eastAsia" w:ascii="宋体" w:hAnsi="宋体" w:eastAsia="宋体"/>
                <w:b/>
                <w:bCs/>
                <w:sz w:val="18"/>
                <w:szCs w:val="18"/>
              </w:rPr>
              <w:t>姓名</w:t>
            </w:r>
          </w:p>
          <w:p w14:paraId="4276F5F2">
            <w:pPr>
              <w:spacing w:line="276" w:lineRule="auto"/>
              <w:jc w:val="right"/>
              <w:rPr>
                <w:rFonts w:hint="eastAsia" w:ascii="宋体" w:hAnsi="宋体" w:eastAsia="宋体"/>
                <w:sz w:val="18"/>
                <w:szCs w:val="18"/>
              </w:rPr>
            </w:pPr>
            <w:r>
              <w:rPr>
                <w:rFonts w:hint="eastAsia" w:ascii="宋体" w:hAnsi="宋体" w:eastAsia="宋体"/>
                <w:sz w:val="18"/>
                <w:szCs w:val="18"/>
              </w:rPr>
              <w:t>刘一哲</w:t>
            </w:r>
          </w:p>
          <w:p w14:paraId="68C62917">
            <w:pPr>
              <w:spacing w:line="276" w:lineRule="auto"/>
              <w:jc w:val="right"/>
              <w:rPr>
                <w:rFonts w:hint="eastAsia" w:ascii="宋体" w:hAnsi="宋体" w:eastAsia="宋体"/>
                <w:sz w:val="18"/>
                <w:szCs w:val="18"/>
              </w:rPr>
            </w:pPr>
            <w:r>
              <w:rPr>
                <w:rFonts w:hint="eastAsia" w:ascii="宋体" w:hAnsi="宋体" w:eastAsia="宋体"/>
                <w:sz w:val="18"/>
                <w:szCs w:val="18"/>
              </w:rPr>
              <w:t>林宝森</w:t>
            </w:r>
          </w:p>
          <w:p w14:paraId="152351F1">
            <w:pPr>
              <w:spacing w:line="276" w:lineRule="auto"/>
              <w:jc w:val="right"/>
              <w:rPr>
                <w:rFonts w:hint="eastAsia" w:ascii="宋体" w:hAnsi="宋体" w:eastAsia="宋体"/>
                <w:sz w:val="18"/>
                <w:szCs w:val="18"/>
              </w:rPr>
            </w:pPr>
            <w:r>
              <w:rPr>
                <w:rFonts w:hint="eastAsia" w:ascii="宋体" w:hAnsi="宋体" w:eastAsia="宋体"/>
                <w:sz w:val="18"/>
                <w:szCs w:val="18"/>
              </w:rPr>
              <w:t>韩林轩</w:t>
            </w:r>
          </w:p>
          <w:p w14:paraId="070B4453">
            <w:pPr>
              <w:spacing w:line="276" w:lineRule="auto"/>
              <w:jc w:val="right"/>
              <w:rPr>
                <w:rFonts w:hint="eastAsia" w:ascii="宋体" w:hAnsi="宋体" w:eastAsia="宋体"/>
                <w:sz w:val="18"/>
                <w:szCs w:val="18"/>
              </w:rPr>
            </w:pPr>
            <w:r>
              <w:rPr>
                <w:rFonts w:hint="eastAsia" w:ascii="宋体" w:hAnsi="宋体" w:eastAsia="宋体"/>
                <w:sz w:val="18"/>
                <w:szCs w:val="18"/>
              </w:rPr>
              <w:t>刘春茂</w:t>
            </w:r>
          </w:p>
          <w:p w14:paraId="5648D95A">
            <w:pPr>
              <w:spacing w:line="276" w:lineRule="auto"/>
              <w:jc w:val="right"/>
              <w:rPr>
                <w:rFonts w:hint="eastAsia" w:ascii="宋体" w:hAnsi="宋体" w:eastAsia="宋体"/>
                <w:sz w:val="18"/>
                <w:szCs w:val="18"/>
              </w:rPr>
            </w:pPr>
            <w:r>
              <w:rPr>
                <w:rFonts w:hint="eastAsia" w:ascii="宋体" w:hAnsi="宋体" w:eastAsia="宋体"/>
                <w:sz w:val="18"/>
                <w:szCs w:val="18"/>
              </w:rPr>
              <w:t>孙碧莹</w:t>
            </w:r>
          </w:p>
          <w:p w14:paraId="43C72A30">
            <w:pPr>
              <w:spacing w:line="276" w:lineRule="auto"/>
              <w:jc w:val="right"/>
              <w:rPr>
                <w:rFonts w:hint="eastAsia" w:ascii="宋体" w:hAnsi="宋体" w:eastAsia="宋体"/>
                <w:sz w:val="18"/>
                <w:szCs w:val="18"/>
              </w:rPr>
            </w:pPr>
            <w:r>
              <w:rPr>
                <w:rFonts w:hint="eastAsia" w:ascii="宋体" w:hAnsi="宋体" w:eastAsia="宋体"/>
                <w:sz w:val="18"/>
                <w:szCs w:val="18"/>
              </w:rPr>
              <w:t>闫静雅</w:t>
            </w:r>
          </w:p>
          <w:p w14:paraId="4AAA3AC5">
            <w:pPr>
              <w:spacing w:line="276" w:lineRule="auto"/>
              <w:jc w:val="right"/>
              <w:rPr>
                <w:rFonts w:hint="eastAsia" w:ascii="宋体" w:hAnsi="宋体" w:eastAsia="宋体"/>
                <w:sz w:val="18"/>
                <w:szCs w:val="18"/>
              </w:rPr>
            </w:pPr>
            <w:r>
              <w:rPr>
                <w:rFonts w:hint="eastAsia" w:ascii="宋体" w:hAnsi="宋体" w:eastAsia="宋体"/>
                <w:sz w:val="18"/>
                <w:szCs w:val="18"/>
              </w:rPr>
              <w:t>赖正健</w:t>
            </w:r>
          </w:p>
          <w:p w14:paraId="7F9D6E68">
            <w:pPr>
              <w:spacing w:line="276" w:lineRule="auto"/>
              <w:jc w:val="right"/>
              <w:rPr>
                <w:rFonts w:hint="eastAsia" w:ascii="宋体" w:hAnsi="宋体" w:eastAsia="宋体"/>
                <w:sz w:val="18"/>
                <w:szCs w:val="18"/>
              </w:rPr>
            </w:pPr>
            <w:r>
              <w:rPr>
                <w:rFonts w:hint="eastAsia" w:ascii="宋体" w:hAnsi="宋体" w:eastAsia="宋体"/>
                <w:sz w:val="18"/>
                <w:szCs w:val="18"/>
              </w:rPr>
              <w:t>桑梓</w:t>
            </w:r>
          </w:p>
          <w:p w14:paraId="55A179A0">
            <w:pPr>
              <w:spacing w:line="276" w:lineRule="auto"/>
              <w:jc w:val="right"/>
              <w:rPr>
                <w:rFonts w:hint="eastAsia" w:ascii="宋体" w:hAnsi="宋体" w:eastAsia="宋体"/>
                <w:sz w:val="18"/>
                <w:szCs w:val="18"/>
              </w:rPr>
            </w:pPr>
            <w:r>
              <w:rPr>
                <w:rFonts w:hint="eastAsia" w:ascii="宋体" w:hAnsi="宋体" w:eastAsia="宋体"/>
                <w:sz w:val="18"/>
                <w:szCs w:val="18"/>
              </w:rPr>
              <w:t>袁祥</w:t>
            </w:r>
          </w:p>
          <w:p w14:paraId="2EC3D40E">
            <w:pPr>
              <w:spacing w:line="276" w:lineRule="auto"/>
              <w:jc w:val="right"/>
              <w:rPr>
                <w:rFonts w:hint="eastAsia" w:ascii="宋体" w:hAnsi="宋体" w:eastAsia="宋体"/>
                <w:sz w:val="18"/>
                <w:szCs w:val="18"/>
              </w:rPr>
            </w:pPr>
            <w:r>
              <w:rPr>
                <w:rFonts w:hint="eastAsia" w:ascii="宋体" w:hAnsi="宋体" w:eastAsia="宋体"/>
                <w:sz w:val="18"/>
                <w:szCs w:val="18"/>
              </w:rPr>
              <w:t>王照峰</w:t>
            </w:r>
          </w:p>
          <w:p w14:paraId="29AAEA44">
            <w:pPr>
              <w:spacing w:line="276" w:lineRule="auto"/>
              <w:jc w:val="right"/>
              <w:rPr>
                <w:rFonts w:hint="eastAsia" w:ascii="宋体" w:hAnsi="宋体" w:eastAsia="宋体"/>
                <w:sz w:val="18"/>
                <w:szCs w:val="18"/>
              </w:rPr>
            </w:pPr>
            <w:r>
              <w:rPr>
                <w:rFonts w:hint="eastAsia" w:ascii="宋体" w:hAnsi="宋体" w:eastAsia="宋体"/>
                <w:sz w:val="18"/>
                <w:szCs w:val="18"/>
              </w:rPr>
              <w:t>姚飞</w:t>
            </w:r>
          </w:p>
          <w:p w14:paraId="76004BE3">
            <w:pPr>
              <w:spacing w:line="276" w:lineRule="auto"/>
              <w:jc w:val="right"/>
              <w:rPr>
                <w:rFonts w:hint="eastAsia" w:ascii="宋体" w:hAnsi="宋体" w:eastAsia="宋体"/>
                <w:sz w:val="18"/>
                <w:szCs w:val="18"/>
              </w:rPr>
            </w:pPr>
            <w:r>
              <w:rPr>
                <w:rFonts w:hint="eastAsia" w:ascii="宋体" w:hAnsi="宋体" w:eastAsia="宋体"/>
                <w:sz w:val="18"/>
                <w:szCs w:val="18"/>
              </w:rPr>
              <w:t>罗越文</w:t>
            </w:r>
          </w:p>
        </w:tc>
      </w:tr>
    </w:tbl>
    <w:p w14:paraId="49A33AE7">
      <w:pPr>
        <w:rPr>
          <w:rFonts w:hint="eastAsia" w:ascii="宋体" w:hAnsi="宋体"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1D2555"/>
    <w:multiLevelType w:val="multilevel"/>
    <w:tmpl w:val="6A1D2555"/>
    <w:lvl w:ilvl="0" w:tentative="0">
      <w:start w:val="2"/>
      <w:numFmt w:val="decimal"/>
      <w:lvlText w:val="%1、"/>
      <w:lvlJc w:val="left"/>
      <w:pPr>
        <w:ind w:left="762" w:hanging="360"/>
      </w:pPr>
      <w:rPr>
        <w:rFonts w:hint="default"/>
      </w:rPr>
    </w:lvl>
    <w:lvl w:ilvl="1" w:tentative="0">
      <w:start w:val="1"/>
      <w:numFmt w:val="lowerLetter"/>
      <w:lvlText w:val="%2)"/>
      <w:lvlJc w:val="left"/>
      <w:pPr>
        <w:ind w:left="1242" w:hanging="420"/>
      </w:pPr>
    </w:lvl>
    <w:lvl w:ilvl="2" w:tentative="0">
      <w:start w:val="1"/>
      <w:numFmt w:val="lowerRoman"/>
      <w:lvlText w:val="%3."/>
      <w:lvlJc w:val="right"/>
      <w:pPr>
        <w:ind w:left="1662" w:hanging="420"/>
      </w:pPr>
    </w:lvl>
    <w:lvl w:ilvl="3" w:tentative="0">
      <w:start w:val="1"/>
      <w:numFmt w:val="decimal"/>
      <w:lvlText w:val="%4."/>
      <w:lvlJc w:val="left"/>
      <w:pPr>
        <w:ind w:left="2082" w:hanging="420"/>
      </w:pPr>
    </w:lvl>
    <w:lvl w:ilvl="4" w:tentative="0">
      <w:start w:val="1"/>
      <w:numFmt w:val="lowerLetter"/>
      <w:lvlText w:val="%5)"/>
      <w:lvlJc w:val="left"/>
      <w:pPr>
        <w:ind w:left="2502" w:hanging="420"/>
      </w:pPr>
    </w:lvl>
    <w:lvl w:ilvl="5" w:tentative="0">
      <w:start w:val="1"/>
      <w:numFmt w:val="lowerRoman"/>
      <w:lvlText w:val="%6."/>
      <w:lvlJc w:val="right"/>
      <w:pPr>
        <w:ind w:left="2922" w:hanging="420"/>
      </w:pPr>
    </w:lvl>
    <w:lvl w:ilvl="6" w:tentative="0">
      <w:start w:val="1"/>
      <w:numFmt w:val="decimal"/>
      <w:lvlText w:val="%7."/>
      <w:lvlJc w:val="left"/>
      <w:pPr>
        <w:ind w:left="3342" w:hanging="420"/>
      </w:pPr>
    </w:lvl>
    <w:lvl w:ilvl="7" w:tentative="0">
      <w:start w:val="1"/>
      <w:numFmt w:val="lowerLetter"/>
      <w:lvlText w:val="%8)"/>
      <w:lvlJc w:val="left"/>
      <w:pPr>
        <w:ind w:left="3762" w:hanging="420"/>
      </w:pPr>
    </w:lvl>
    <w:lvl w:ilvl="8" w:tentative="0">
      <w:start w:val="1"/>
      <w:numFmt w:val="lowerRoman"/>
      <w:lvlText w:val="%9."/>
      <w:lvlJc w:val="right"/>
      <w:pPr>
        <w:ind w:left="418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RmOTRhODljMzQ3NTFjYmFhNTQ5ODJmMzFjNzkyYmEifQ=="/>
  </w:docVars>
  <w:rsids>
    <w:rsidRoot w:val="00926E8B"/>
    <w:rsid w:val="0003692E"/>
    <w:rsid w:val="00037AC0"/>
    <w:rsid w:val="00040AB0"/>
    <w:rsid w:val="0005277A"/>
    <w:rsid w:val="0005411D"/>
    <w:rsid w:val="00061C4F"/>
    <w:rsid w:val="000729B1"/>
    <w:rsid w:val="00075F5A"/>
    <w:rsid w:val="000843DA"/>
    <w:rsid w:val="000A5334"/>
    <w:rsid w:val="000B3A86"/>
    <w:rsid w:val="000B4E6D"/>
    <w:rsid w:val="000C17EF"/>
    <w:rsid w:val="000C416A"/>
    <w:rsid w:val="000C4CF3"/>
    <w:rsid w:val="000C7EFC"/>
    <w:rsid w:val="000F317B"/>
    <w:rsid w:val="000F4A7E"/>
    <w:rsid w:val="000F6753"/>
    <w:rsid w:val="00140C43"/>
    <w:rsid w:val="00143802"/>
    <w:rsid w:val="00146727"/>
    <w:rsid w:val="00152CB5"/>
    <w:rsid w:val="00154D57"/>
    <w:rsid w:val="00156BA4"/>
    <w:rsid w:val="00163FF0"/>
    <w:rsid w:val="0016415E"/>
    <w:rsid w:val="00170F59"/>
    <w:rsid w:val="00171762"/>
    <w:rsid w:val="0018452C"/>
    <w:rsid w:val="001847E0"/>
    <w:rsid w:val="001868D5"/>
    <w:rsid w:val="00193111"/>
    <w:rsid w:val="00196A42"/>
    <w:rsid w:val="001A0643"/>
    <w:rsid w:val="001B033E"/>
    <w:rsid w:val="001B1F1D"/>
    <w:rsid w:val="001B45D4"/>
    <w:rsid w:val="001C1CB5"/>
    <w:rsid w:val="001C5682"/>
    <w:rsid w:val="001D3050"/>
    <w:rsid w:val="001D51B9"/>
    <w:rsid w:val="001E699E"/>
    <w:rsid w:val="002066FD"/>
    <w:rsid w:val="002158F2"/>
    <w:rsid w:val="00234228"/>
    <w:rsid w:val="00283102"/>
    <w:rsid w:val="00291D9A"/>
    <w:rsid w:val="002A7943"/>
    <w:rsid w:val="002E4354"/>
    <w:rsid w:val="002F665A"/>
    <w:rsid w:val="0031022D"/>
    <w:rsid w:val="00312112"/>
    <w:rsid w:val="003156A5"/>
    <w:rsid w:val="00321508"/>
    <w:rsid w:val="00337863"/>
    <w:rsid w:val="00341565"/>
    <w:rsid w:val="00351B28"/>
    <w:rsid w:val="00363637"/>
    <w:rsid w:val="00367EEF"/>
    <w:rsid w:val="00374F25"/>
    <w:rsid w:val="00390FD7"/>
    <w:rsid w:val="0039153B"/>
    <w:rsid w:val="00393D2F"/>
    <w:rsid w:val="003B2BAC"/>
    <w:rsid w:val="003D7521"/>
    <w:rsid w:val="003D79ED"/>
    <w:rsid w:val="003E57C2"/>
    <w:rsid w:val="003F1124"/>
    <w:rsid w:val="003F1E45"/>
    <w:rsid w:val="004036DC"/>
    <w:rsid w:val="004104A1"/>
    <w:rsid w:val="004275CB"/>
    <w:rsid w:val="0043113C"/>
    <w:rsid w:val="0043259C"/>
    <w:rsid w:val="00471822"/>
    <w:rsid w:val="00477BA2"/>
    <w:rsid w:val="00480874"/>
    <w:rsid w:val="004C3FB3"/>
    <w:rsid w:val="004D31B0"/>
    <w:rsid w:val="004F6175"/>
    <w:rsid w:val="005101CE"/>
    <w:rsid w:val="00510B67"/>
    <w:rsid w:val="0051365E"/>
    <w:rsid w:val="0052454E"/>
    <w:rsid w:val="00537BFF"/>
    <w:rsid w:val="00547936"/>
    <w:rsid w:val="00557F50"/>
    <w:rsid w:val="00570EAB"/>
    <w:rsid w:val="005775B2"/>
    <w:rsid w:val="00580429"/>
    <w:rsid w:val="00591DF2"/>
    <w:rsid w:val="00596002"/>
    <w:rsid w:val="005A3810"/>
    <w:rsid w:val="005C2799"/>
    <w:rsid w:val="005C4F27"/>
    <w:rsid w:val="005D0954"/>
    <w:rsid w:val="005D387F"/>
    <w:rsid w:val="005D3B0B"/>
    <w:rsid w:val="005D61C5"/>
    <w:rsid w:val="005E7BDD"/>
    <w:rsid w:val="00625AEE"/>
    <w:rsid w:val="00630920"/>
    <w:rsid w:val="00630AFE"/>
    <w:rsid w:val="0063121D"/>
    <w:rsid w:val="006510BD"/>
    <w:rsid w:val="0065628B"/>
    <w:rsid w:val="00666AD3"/>
    <w:rsid w:val="00675343"/>
    <w:rsid w:val="00681EFD"/>
    <w:rsid w:val="00684514"/>
    <w:rsid w:val="00684793"/>
    <w:rsid w:val="006A7E1D"/>
    <w:rsid w:val="006B431F"/>
    <w:rsid w:val="006D3D9C"/>
    <w:rsid w:val="006E0931"/>
    <w:rsid w:val="006E2253"/>
    <w:rsid w:val="006E65F6"/>
    <w:rsid w:val="006E6F92"/>
    <w:rsid w:val="0070489E"/>
    <w:rsid w:val="007065D7"/>
    <w:rsid w:val="00721BD1"/>
    <w:rsid w:val="00764770"/>
    <w:rsid w:val="007672B7"/>
    <w:rsid w:val="00772041"/>
    <w:rsid w:val="007819AC"/>
    <w:rsid w:val="007A5064"/>
    <w:rsid w:val="007C26F4"/>
    <w:rsid w:val="007D0B5B"/>
    <w:rsid w:val="00830BDA"/>
    <w:rsid w:val="00835D25"/>
    <w:rsid w:val="00865EDB"/>
    <w:rsid w:val="00886459"/>
    <w:rsid w:val="008930F3"/>
    <w:rsid w:val="008C2F56"/>
    <w:rsid w:val="008C3E39"/>
    <w:rsid w:val="008E45BE"/>
    <w:rsid w:val="008F0F13"/>
    <w:rsid w:val="00926E8B"/>
    <w:rsid w:val="009327FA"/>
    <w:rsid w:val="00935FCF"/>
    <w:rsid w:val="009443EE"/>
    <w:rsid w:val="00960EBE"/>
    <w:rsid w:val="00962A89"/>
    <w:rsid w:val="00966E5C"/>
    <w:rsid w:val="009A30EE"/>
    <w:rsid w:val="009C3767"/>
    <w:rsid w:val="00A13BB1"/>
    <w:rsid w:val="00A275FE"/>
    <w:rsid w:val="00A34E5F"/>
    <w:rsid w:val="00A379C7"/>
    <w:rsid w:val="00A42C11"/>
    <w:rsid w:val="00A4642F"/>
    <w:rsid w:val="00A55383"/>
    <w:rsid w:val="00A631D2"/>
    <w:rsid w:val="00A64F78"/>
    <w:rsid w:val="00A870E0"/>
    <w:rsid w:val="00AA03B8"/>
    <w:rsid w:val="00AA1E5E"/>
    <w:rsid w:val="00AA381A"/>
    <w:rsid w:val="00AD57F5"/>
    <w:rsid w:val="00AF4A12"/>
    <w:rsid w:val="00B60E83"/>
    <w:rsid w:val="00B81D97"/>
    <w:rsid w:val="00BB67A5"/>
    <w:rsid w:val="00BB7B16"/>
    <w:rsid w:val="00BC4603"/>
    <w:rsid w:val="00BC50E8"/>
    <w:rsid w:val="00BE4456"/>
    <w:rsid w:val="00BE7A17"/>
    <w:rsid w:val="00C134F2"/>
    <w:rsid w:val="00C32076"/>
    <w:rsid w:val="00C33926"/>
    <w:rsid w:val="00C44670"/>
    <w:rsid w:val="00C743BB"/>
    <w:rsid w:val="00C743F0"/>
    <w:rsid w:val="00C750A5"/>
    <w:rsid w:val="00CB4C91"/>
    <w:rsid w:val="00CD1A08"/>
    <w:rsid w:val="00CD66B2"/>
    <w:rsid w:val="00CE18D7"/>
    <w:rsid w:val="00CF5ADD"/>
    <w:rsid w:val="00D07F1B"/>
    <w:rsid w:val="00D23957"/>
    <w:rsid w:val="00D52B47"/>
    <w:rsid w:val="00D54D13"/>
    <w:rsid w:val="00D575C7"/>
    <w:rsid w:val="00D70F02"/>
    <w:rsid w:val="00D844EC"/>
    <w:rsid w:val="00D85012"/>
    <w:rsid w:val="00D94E28"/>
    <w:rsid w:val="00D96F4D"/>
    <w:rsid w:val="00DA7B3C"/>
    <w:rsid w:val="00DB12D2"/>
    <w:rsid w:val="00DB1F52"/>
    <w:rsid w:val="00DC2F20"/>
    <w:rsid w:val="00DD702A"/>
    <w:rsid w:val="00DE7B04"/>
    <w:rsid w:val="00DF428C"/>
    <w:rsid w:val="00E04407"/>
    <w:rsid w:val="00E048EF"/>
    <w:rsid w:val="00E07F4E"/>
    <w:rsid w:val="00E15890"/>
    <w:rsid w:val="00E22C33"/>
    <w:rsid w:val="00E2406C"/>
    <w:rsid w:val="00E26258"/>
    <w:rsid w:val="00E34758"/>
    <w:rsid w:val="00E43D41"/>
    <w:rsid w:val="00E54F26"/>
    <w:rsid w:val="00E63DA8"/>
    <w:rsid w:val="00E756A8"/>
    <w:rsid w:val="00E76D2F"/>
    <w:rsid w:val="00EA1E0F"/>
    <w:rsid w:val="00EA2134"/>
    <w:rsid w:val="00EB2A4E"/>
    <w:rsid w:val="00EB3EEC"/>
    <w:rsid w:val="00EE2B5E"/>
    <w:rsid w:val="00EE6804"/>
    <w:rsid w:val="00EE79AE"/>
    <w:rsid w:val="00EF5BD4"/>
    <w:rsid w:val="00F12288"/>
    <w:rsid w:val="00F15355"/>
    <w:rsid w:val="00F31BEE"/>
    <w:rsid w:val="00F32609"/>
    <w:rsid w:val="00F64EC5"/>
    <w:rsid w:val="00F81129"/>
    <w:rsid w:val="00F85D9E"/>
    <w:rsid w:val="00FA4182"/>
    <w:rsid w:val="00FC08F5"/>
    <w:rsid w:val="00FC0B78"/>
    <w:rsid w:val="00FC780D"/>
    <w:rsid w:val="00FD1BAC"/>
    <w:rsid w:val="00FE281D"/>
    <w:rsid w:val="00FF0798"/>
    <w:rsid w:val="00FF2A49"/>
    <w:rsid w:val="00FF7843"/>
    <w:rsid w:val="1C1D24F1"/>
    <w:rsid w:val="2DB41456"/>
    <w:rsid w:val="39A24DF0"/>
    <w:rsid w:val="3CD70C2E"/>
    <w:rsid w:val="4E9B3060"/>
    <w:rsid w:val="53A23157"/>
    <w:rsid w:val="5E165DA0"/>
    <w:rsid w:val="696E21A2"/>
    <w:rsid w:val="74965F18"/>
    <w:rsid w:val="7AF42D02"/>
    <w:rsid w:val="7F1C0C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annotation subject"/>
    <w:basedOn w:val="2"/>
    <w:next w:val="2"/>
    <w:link w:val="16"/>
    <w:semiHidden/>
    <w:unhideWhenUsed/>
    <w:qFormat/>
    <w:uiPriority w:val="99"/>
    <w:rPr>
      <w:b/>
      <w:bCs/>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semiHidden/>
    <w:unhideWhenUsed/>
    <w:uiPriority w:val="99"/>
    <w:rPr>
      <w:sz w:val="21"/>
      <w:szCs w:val="21"/>
    </w:rPr>
  </w:style>
  <w:style w:type="paragraph" w:styleId="10">
    <w:name w:val="List Paragraph"/>
    <w:basedOn w:val="1"/>
    <w:qFormat/>
    <w:uiPriority w:val="34"/>
    <w:pPr>
      <w:ind w:firstLine="420" w:firstLineChars="200"/>
    </w:pPr>
  </w:style>
  <w:style w:type="character" w:customStyle="1" w:styleId="11">
    <w:name w:val="页眉 字符"/>
    <w:basedOn w:val="8"/>
    <w:link w:val="4"/>
    <w:qFormat/>
    <w:uiPriority w:val="99"/>
    <w:rPr>
      <w:sz w:val="18"/>
      <w:szCs w:val="18"/>
    </w:rPr>
  </w:style>
  <w:style w:type="character" w:customStyle="1" w:styleId="12">
    <w:name w:val="页脚 字符"/>
    <w:basedOn w:val="8"/>
    <w:link w:val="3"/>
    <w:uiPriority w:val="99"/>
    <w:rPr>
      <w:sz w:val="18"/>
      <w:szCs w:val="18"/>
    </w:rPr>
  </w:style>
  <w:style w:type="paragraph" w:customStyle="1" w:styleId="13">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4">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5">
    <w:name w:val="批注文字 字符"/>
    <w:basedOn w:val="8"/>
    <w:link w:val="2"/>
    <w:semiHidden/>
    <w:qFormat/>
    <w:uiPriority w:val="99"/>
    <w:rPr>
      <w:kern w:val="2"/>
      <w:sz w:val="21"/>
      <w:szCs w:val="22"/>
    </w:rPr>
  </w:style>
  <w:style w:type="character" w:customStyle="1" w:styleId="16">
    <w:name w:val="批注主题 字符"/>
    <w:basedOn w:val="15"/>
    <w:link w:val="5"/>
    <w:semiHidden/>
    <w:qFormat/>
    <w:uiPriority w:val="99"/>
    <w:rPr>
      <w:b/>
      <w:bCs/>
      <w:kern w:val="2"/>
      <w:sz w:val="21"/>
      <w:szCs w:val="22"/>
    </w:rPr>
  </w:style>
  <w:style w:type="paragraph" w:customStyle="1" w:styleId="17">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3F24C-909D-4F85-A42C-A3B9C459F353}">
  <ds:schemaRefs/>
</ds:datastoreItem>
</file>

<file path=docProps/app.xml><?xml version="1.0" encoding="utf-8"?>
<Properties xmlns="http://schemas.openxmlformats.org/officeDocument/2006/extended-properties" xmlns:vt="http://schemas.openxmlformats.org/officeDocument/2006/docPropsVTypes">
  <Template>Normal</Template>
  <Pages>6</Pages>
  <Words>3118</Words>
  <Characters>3301</Characters>
  <Lines>24</Lines>
  <Paragraphs>6</Paragraphs>
  <TotalTime>0</TotalTime>
  <ScaleCrop>false</ScaleCrop>
  <LinksUpToDate>false</LinksUpToDate>
  <CharactersWithSpaces>3357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2022-04-14T12:07:00Z</dcterms:created>
  <dc:creator>杨 红梅</dc:creator>
  <cp:lastModifiedBy>徐JW</cp:lastModifiedBy>
  <cp:lastPrinted>2022-03-03T06:11:00Z</cp:lastPrinted>
  <dcterms:modified xsi:type="dcterms:W3CDTF">2024-08-28T08:44:52Z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84DA7AF322EB4017AEDC905D2160F5EE</vt:lpwstr>
  </property>
</Properties>
</file>