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2580B7">
      <w:pPr>
        <w:pStyle w:val="2"/>
        <w:spacing w:before="40"/>
        <w:ind w:left="0" w:leftChars="0" w:firstLine="240" w:firstLineChars="100"/>
        <w:jc w:val="left"/>
        <w:rPr>
          <w:rFonts w:hint="default" w:eastAsia="宋体"/>
          <w:lang w:val="en-US" w:eastAsia="zh-CN"/>
        </w:rPr>
      </w:pPr>
      <w:r>
        <w:t>证券代码：</w:t>
      </w:r>
      <w:r>
        <w:rPr>
          <w:rFonts w:hint="eastAsia"/>
          <w:lang w:val="en-US" w:eastAsia="zh-CN"/>
        </w:rPr>
        <w:t>688380</w:t>
      </w:r>
      <w:r>
        <w:t xml:space="preserve"> </w:t>
      </w:r>
      <w:r>
        <w:rPr>
          <w:rFonts w:hint="eastAsia"/>
          <w:lang w:val="en-US" w:eastAsia="zh-CN"/>
        </w:rPr>
        <w:t xml:space="preserve">                                           </w:t>
      </w:r>
      <w:r>
        <w:t>证券简称：</w:t>
      </w:r>
      <w:r>
        <w:rPr>
          <w:rFonts w:hint="eastAsia"/>
          <w:lang w:val="en-US" w:eastAsia="zh-CN"/>
        </w:rPr>
        <w:t>中微半导</w:t>
      </w:r>
    </w:p>
    <w:p w14:paraId="1F057622">
      <w:pPr>
        <w:pStyle w:val="2"/>
        <w:rPr>
          <w:sz w:val="29"/>
        </w:rPr>
      </w:pPr>
    </w:p>
    <w:p w14:paraId="33664230">
      <w:pPr>
        <w:spacing w:before="54"/>
        <w:ind w:left="1943" w:right="1782" w:firstLine="0"/>
        <w:jc w:val="center"/>
        <w:rPr>
          <w:b/>
          <w:sz w:val="32"/>
        </w:rPr>
      </w:pPr>
      <w:r>
        <w:rPr>
          <w:rFonts w:hint="eastAsia"/>
          <w:b/>
          <w:sz w:val="32"/>
          <w:lang w:val="en-US" w:eastAsia="zh-CN"/>
        </w:rPr>
        <w:t>中微半导体（深圳）</w:t>
      </w:r>
      <w:r>
        <w:rPr>
          <w:b/>
          <w:sz w:val="32"/>
        </w:rPr>
        <w:t>股份有限公司</w:t>
      </w:r>
    </w:p>
    <w:p w14:paraId="1973570D">
      <w:pPr>
        <w:spacing w:before="54"/>
        <w:ind w:left="1943" w:right="1782" w:firstLine="0"/>
        <w:jc w:val="center"/>
        <w:rPr>
          <w:rFonts w:hint="default"/>
          <w:b/>
          <w:sz w:val="32"/>
          <w:lang w:val="en-US"/>
        </w:rPr>
      </w:pPr>
      <w:r>
        <w:rPr>
          <w:b/>
          <w:sz w:val="32"/>
        </w:rPr>
        <w:t>投资者关系活动记录表</w:t>
      </w:r>
      <w:r>
        <w:rPr>
          <w:b/>
          <w:w w:val="98"/>
          <w:sz w:val="32"/>
        </w:rPr>
        <w:t xml:space="preserve"> </w:t>
      </w:r>
    </w:p>
    <w:p w14:paraId="04D080E8">
      <w:pPr>
        <w:keepNext w:val="0"/>
        <w:keepLines w:val="0"/>
        <w:pageBreakBefore w:val="0"/>
        <w:widowControl w:val="0"/>
        <w:kinsoku/>
        <w:wordWrap/>
        <w:overflowPunct/>
        <w:topLinePunct w:val="0"/>
        <w:autoSpaceDE w:val="0"/>
        <w:autoSpaceDN w:val="0"/>
        <w:bidi w:val="0"/>
        <w:adjustRightInd/>
        <w:snapToGrid/>
        <w:spacing w:before="132" w:after="21"/>
        <w:ind w:left="0" w:right="0" w:firstLine="0"/>
        <w:jc w:val="center"/>
        <w:textAlignment w:val="auto"/>
        <w:rPr>
          <w:rFonts w:hint="default"/>
          <w:sz w:val="24"/>
          <w:szCs w:val="28"/>
          <w:highlight w:val="yellow"/>
          <w:lang w:val="en-US"/>
        </w:rPr>
      </w:pPr>
      <w:r>
        <w:rPr>
          <w:rFonts w:hint="eastAsia"/>
          <w:sz w:val="24"/>
          <w:szCs w:val="28"/>
          <w:highlight w:val="none"/>
          <w:lang w:val="en-US" w:eastAsia="zh-CN"/>
        </w:rPr>
        <w:t xml:space="preserve">                                                                 </w:t>
      </w:r>
      <w:r>
        <w:rPr>
          <w:sz w:val="24"/>
          <w:szCs w:val="28"/>
          <w:highlight w:val="none"/>
        </w:rPr>
        <w:t>编号</w:t>
      </w:r>
      <w:r>
        <w:rPr>
          <w:rFonts w:hint="eastAsia"/>
          <w:sz w:val="24"/>
          <w:szCs w:val="28"/>
          <w:highlight w:val="none"/>
          <w:lang w:eastAsia="zh-CN"/>
        </w:rPr>
        <w:t>：</w:t>
      </w:r>
      <w:r>
        <w:rPr>
          <w:sz w:val="24"/>
          <w:szCs w:val="28"/>
          <w:highlight w:val="none"/>
        </w:rPr>
        <w:t>202</w:t>
      </w:r>
      <w:r>
        <w:rPr>
          <w:rFonts w:hint="eastAsia"/>
          <w:sz w:val="24"/>
          <w:szCs w:val="28"/>
          <w:highlight w:val="none"/>
          <w:lang w:val="en-US" w:eastAsia="zh-CN"/>
        </w:rPr>
        <w:t>4</w:t>
      </w:r>
      <w:r>
        <w:rPr>
          <w:sz w:val="24"/>
          <w:szCs w:val="28"/>
          <w:highlight w:val="none"/>
        </w:rPr>
        <w:t>-</w:t>
      </w:r>
      <w:r>
        <w:rPr>
          <w:rFonts w:hint="eastAsia"/>
          <w:sz w:val="24"/>
          <w:szCs w:val="28"/>
          <w:highlight w:val="none"/>
          <w:lang w:val="en-US" w:eastAsia="zh-CN"/>
        </w:rPr>
        <w:t>010</w:t>
      </w:r>
      <w:bookmarkStart w:id="0" w:name="_GoBack"/>
      <w:bookmarkEnd w:id="0"/>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24"/>
        <w:gridCol w:w="8220"/>
      </w:tblGrid>
      <w:tr w14:paraId="51DE1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2" w:hRule="atLeast"/>
          <w:jc w:val="center"/>
        </w:trPr>
        <w:tc>
          <w:tcPr>
            <w:tcW w:w="1524" w:type="dxa"/>
            <w:tcMar>
              <w:top w:w="0" w:type="dxa"/>
              <w:left w:w="113" w:type="dxa"/>
              <w:bottom w:w="0" w:type="dxa"/>
              <w:right w:w="113" w:type="dxa"/>
            </w:tcMar>
            <w:vAlign w:val="center"/>
          </w:tcPr>
          <w:p w14:paraId="5C30FA51">
            <w:pPr>
              <w:pStyle w:val="8"/>
              <w:spacing w:line="242" w:lineRule="auto"/>
              <w:ind w:left="0" w:leftChars="0" w:right="72" w:firstLine="0" w:firstLineChars="0"/>
              <w:jc w:val="center"/>
              <w:rPr>
                <w:b w:val="0"/>
                <w:bCs w:val="0"/>
                <w:sz w:val="24"/>
                <w:szCs w:val="24"/>
              </w:rPr>
            </w:pPr>
            <w:r>
              <w:rPr>
                <w:b w:val="0"/>
                <w:bCs w:val="0"/>
                <w:sz w:val="24"/>
                <w:szCs w:val="24"/>
              </w:rPr>
              <w:t>投资者来访类别</w:t>
            </w:r>
          </w:p>
        </w:tc>
        <w:tc>
          <w:tcPr>
            <w:tcW w:w="8220" w:type="dxa"/>
            <w:vAlign w:val="center"/>
          </w:tcPr>
          <w:p w14:paraId="786097AF">
            <w:pPr>
              <w:pStyle w:val="8"/>
              <w:numPr>
                <w:ilvl w:val="0"/>
                <w:numId w:val="0"/>
              </w:numPr>
              <w:tabs>
                <w:tab w:val="left" w:pos="390"/>
              </w:tabs>
              <w:spacing w:before="132" w:after="0" w:line="240" w:lineRule="auto"/>
              <w:ind w:right="0" w:rightChars="0" w:firstLine="236" w:firstLineChars="100"/>
              <w:jc w:val="both"/>
              <w:rPr>
                <w:sz w:val="24"/>
                <w:szCs w:val="24"/>
              </w:rPr>
            </w:pPr>
            <w:r>
              <w:rPr>
                <w:spacing w:val="-2"/>
                <w:sz w:val="24"/>
                <w:szCs w:val="24"/>
              </w:rPr>
              <w:sym w:font="Wingdings 2" w:char="00A3"/>
            </w:r>
            <w:r>
              <w:rPr>
                <w:spacing w:val="-2"/>
                <w:sz w:val="24"/>
                <w:szCs w:val="24"/>
              </w:rPr>
              <w:t xml:space="preserve"> 特定对象调研 </w:t>
            </w:r>
            <w:r>
              <w:rPr>
                <w:rFonts w:hint="eastAsia"/>
                <w:spacing w:val="-2"/>
                <w:sz w:val="24"/>
                <w:szCs w:val="24"/>
                <w:lang w:val="en-US" w:eastAsia="zh-CN"/>
              </w:rPr>
              <w:t xml:space="preserve">                    </w:t>
            </w:r>
            <w:r>
              <w:rPr>
                <w:spacing w:val="-2"/>
                <w:sz w:val="24"/>
                <w:szCs w:val="24"/>
              </w:rPr>
              <w:sym w:font="Wingdings 2" w:char="00A3"/>
            </w:r>
            <w:r>
              <w:rPr>
                <w:rFonts w:hint="eastAsia"/>
                <w:spacing w:val="-2"/>
                <w:sz w:val="24"/>
                <w:szCs w:val="24"/>
                <w:lang w:val="en-US" w:eastAsia="zh-CN"/>
              </w:rPr>
              <w:t xml:space="preserve"> </w:t>
            </w:r>
            <w:r>
              <w:rPr>
                <w:spacing w:val="-2"/>
                <w:sz w:val="24"/>
                <w:szCs w:val="24"/>
              </w:rPr>
              <w:t>分析师会议</w:t>
            </w:r>
          </w:p>
          <w:p w14:paraId="6CDE1B41">
            <w:pPr>
              <w:pStyle w:val="8"/>
              <w:spacing w:before="9"/>
              <w:ind w:left="0"/>
              <w:jc w:val="both"/>
              <w:rPr>
                <w:sz w:val="24"/>
                <w:szCs w:val="24"/>
              </w:rPr>
            </w:pPr>
          </w:p>
          <w:p w14:paraId="732BB210">
            <w:pPr>
              <w:pStyle w:val="8"/>
              <w:ind w:left="0" w:leftChars="0" w:firstLine="240" w:firstLineChars="100"/>
              <w:jc w:val="both"/>
              <w:rPr>
                <w:sz w:val="24"/>
                <w:szCs w:val="24"/>
              </w:rPr>
            </w:pPr>
            <w:r>
              <w:rPr>
                <w:sz w:val="24"/>
                <w:szCs w:val="24"/>
              </w:rPr>
              <w:sym w:font="Wingdings 2" w:char="00A3"/>
            </w:r>
            <w:r>
              <w:rPr>
                <w:sz w:val="24"/>
                <w:szCs w:val="24"/>
              </w:rPr>
              <w:t xml:space="preserve"> 媒体采访 </w:t>
            </w:r>
            <w:r>
              <w:rPr>
                <w:rFonts w:hint="eastAsia"/>
                <w:sz w:val="24"/>
                <w:szCs w:val="24"/>
                <w:lang w:val="en-US" w:eastAsia="zh-CN"/>
              </w:rPr>
              <w:t xml:space="preserve">                        </w:t>
            </w:r>
            <w:r>
              <w:rPr>
                <w:spacing w:val="-2"/>
                <w:sz w:val="24"/>
                <w:szCs w:val="24"/>
              </w:rPr>
              <w:sym w:font="Wingdings 2" w:char="0052"/>
            </w:r>
            <w:r>
              <w:rPr>
                <w:rFonts w:hint="eastAsia"/>
                <w:spacing w:val="-2"/>
                <w:sz w:val="24"/>
                <w:szCs w:val="24"/>
                <w:lang w:val="en-US" w:eastAsia="zh-CN"/>
              </w:rPr>
              <w:t xml:space="preserve"> </w:t>
            </w:r>
            <w:r>
              <w:rPr>
                <w:sz w:val="24"/>
                <w:szCs w:val="24"/>
              </w:rPr>
              <w:t>业绩说明会</w:t>
            </w:r>
          </w:p>
          <w:p w14:paraId="1B424389">
            <w:pPr>
              <w:pStyle w:val="8"/>
              <w:spacing w:before="9"/>
              <w:ind w:left="0"/>
              <w:jc w:val="both"/>
              <w:rPr>
                <w:sz w:val="24"/>
                <w:szCs w:val="24"/>
              </w:rPr>
            </w:pPr>
          </w:p>
          <w:p w14:paraId="2EDC7824">
            <w:pPr>
              <w:pStyle w:val="8"/>
              <w:ind w:left="0" w:leftChars="0" w:firstLine="240" w:firstLineChars="100"/>
              <w:jc w:val="both"/>
              <w:rPr>
                <w:sz w:val="24"/>
                <w:szCs w:val="24"/>
              </w:rPr>
            </w:pPr>
            <w:r>
              <w:rPr>
                <w:sz w:val="24"/>
                <w:szCs w:val="24"/>
              </w:rPr>
              <w:sym w:font="Wingdings 2" w:char="00A3"/>
            </w:r>
            <w:r>
              <w:rPr>
                <w:rFonts w:hint="eastAsia"/>
                <w:sz w:val="24"/>
                <w:szCs w:val="24"/>
                <w:lang w:val="en-US" w:eastAsia="zh-CN"/>
              </w:rPr>
              <w:t xml:space="preserve"> </w:t>
            </w:r>
            <w:r>
              <w:rPr>
                <w:sz w:val="24"/>
                <w:szCs w:val="24"/>
              </w:rPr>
              <w:t>新闻发布会</w:t>
            </w:r>
            <w:r>
              <w:rPr>
                <w:rFonts w:hint="eastAsia"/>
                <w:sz w:val="24"/>
                <w:szCs w:val="24"/>
                <w:lang w:val="en-US" w:eastAsia="zh-CN"/>
              </w:rPr>
              <w:t xml:space="preserve">                       </w:t>
            </w:r>
            <w:r>
              <w:rPr>
                <w:sz w:val="24"/>
                <w:szCs w:val="24"/>
              </w:rPr>
              <w:sym w:font="Wingdings 2" w:char="00A3"/>
            </w:r>
            <w:r>
              <w:rPr>
                <w:rFonts w:hint="eastAsia"/>
                <w:sz w:val="24"/>
                <w:szCs w:val="24"/>
                <w:lang w:val="en-US" w:eastAsia="zh-CN"/>
              </w:rPr>
              <w:t xml:space="preserve"> </w:t>
            </w:r>
            <w:r>
              <w:rPr>
                <w:sz w:val="24"/>
                <w:szCs w:val="24"/>
              </w:rPr>
              <w:t>路演活动</w:t>
            </w:r>
          </w:p>
          <w:p w14:paraId="10160FA8">
            <w:pPr>
              <w:pStyle w:val="8"/>
              <w:spacing w:before="9"/>
              <w:ind w:left="0"/>
              <w:jc w:val="both"/>
              <w:rPr>
                <w:sz w:val="24"/>
                <w:szCs w:val="24"/>
              </w:rPr>
            </w:pPr>
          </w:p>
          <w:p w14:paraId="691182BC">
            <w:pPr>
              <w:pStyle w:val="8"/>
              <w:ind w:left="0" w:leftChars="0" w:firstLine="236" w:firstLineChars="100"/>
              <w:jc w:val="both"/>
              <w:rPr>
                <w:rFonts w:hint="default" w:eastAsia="宋体"/>
                <w:sz w:val="24"/>
                <w:lang w:val="en-US" w:eastAsia="zh-CN"/>
              </w:rPr>
            </w:pPr>
            <w:r>
              <w:rPr>
                <w:spacing w:val="-2"/>
                <w:sz w:val="24"/>
                <w:szCs w:val="24"/>
              </w:rPr>
              <w:sym w:font="Wingdings 2" w:char="00A3"/>
            </w:r>
            <w:r>
              <w:rPr>
                <w:rFonts w:hint="eastAsia"/>
                <w:spacing w:val="-2"/>
                <w:sz w:val="24"/>
                <w:szCs w:val="24"/>
                <w:lang w:val="en-US" w:eastAsia="zh-CN"/>
              </w:rPr>
              <w:t xml:space="preserve"> </w:t>
            </w:r>
            <w:r>
              <w:rPr>
                <w:sz w:val="24"/>
                <w:szCs w:val="24"/>
              </w:rPr>
              <w:t>现场参观</w:t>
            </w:r>
            <w:r>
              <w:rPr>
                <w:rFonts w:hint="eastAsia"/>
                <w:sz w:val="24"/>
                <w:szCs w:val="24"/>
                <w:lang w:val="en-US" w:eastAsia="zh-CN"/>
              </w:rPr>
              <w:t xml:space="preserve">                         </w:t>
            </w:r>
            <w:r>
              <w:rPr>
                <w:sz w:val="24"/>
                <w:szCs w:val="24"/>
              </w:rPr>
              <w:sym w:font="Wingdings 2" w:char="0052"/>
            </w:r>
            <w:r>
              <w:rPr>
                <w:sz w:val="24"/>
                <w:szCs w:val="24"/>
              </w:rPr>
              <w:t xml:space="preserve"> 其他 </w:t>
            </w:r>
            <w:r>
              <w:rPr>
                <w:rFonts w:hint="eastAsia"/>
                <w:sz w:val="24"/>
                <w:szCs w:val="24"/>
                <w:lang w:eastAsia="zh-CN"/>
              </w:rPr>
              <w:t>（</w:t>
            </w:r>
            <w:r>
              <w:rPr>
                <w:rFonts w:hint="eastAsia"/>
                <w:sz w:val="24"/>
                <w:szCs w:val="24"/>
                <w:lang w:val="en-US" w:eastAsia="zh-CN"/>
              </w:rPr>
              <w:t>线上调研）</w:t>
            </w:r>
          </w:p>
        </w:tc>
      </w:tr>
      <w:tr w14:paraId="7220F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jc w:val="center"/>
        </w:trPr>
        <w:tc>
          <w:tcPr>
            <w:tcW w:w="1524" w:type="dxa"/>
            <w:tcMar>
              <w:top w:w="0" w:type="dxa"/>
              <w:left w:w="113" w:type="dxa"/>
              <w:bottom w:w="0" w:type="dxa"/>
              <w:right w:w="113" w:type="dxa"/>
            </w:tcMar>
            <w:vAlign w:val="center"/>
          </w:tcPr>
          <w:p w14:paraId="48FE3DEB">
            <w:pPr>
              <w:pStyle w:val="8"/>
              <w:spacing w:before="156" w:line="242" w:lineRule="auto"/>
              <w:ind w:left="107" w:right="71"/>
              <w:jc w:val="center"/>
              <w:rPr>
                <w:b w:val="0"/>
                <w:bCs w:val="0"/>
                <w:sz w:val="24"/>
                <w:szCs w:val="24"/>
              </w:rPr>
            </w:pPr>
            <w:r>
              <w:rPr>
                <w:b w:val="0"/>
                <w:bCs w:val="0"/>
                <w:sz w:val="24"/>
                <w:szCs w:val="24"/>
              </w:rPr>
              <w:t>参与单位名称</w:t>
            </w:r>
          </w:p>
        </w:tc>
        <w:tc>
          <w:tcPr>
            <w:tcW w:w="8220" w:type="dxa"/>
            <w:vAlign w:val="center"/>
          </w:tcPr>
          <w:p w14:paraId="1D525856">
            <w:pPr>
              <w:pStyle w:val="8"/>
              <w:keepNext w:val="0"/>
              <w:keepLines w:val="0"/>
              <w:pageBreakBefore w:val="0"/>
              <w:widowControl w:val="0"/>
              <w:kinsoku/>
              <w:wordWrap/>
              <w:overflowPunct/>
              <w:topLinePunct w:val="0"/>
              <w:autoSpaceDE w:val="0"/>
              <w:autoSpaceDN w:val="0"/>
              <w:bidi w:val="0"/>
              <w:adjustRightInd/>
              <w:snapToGrid/>
              <w:spacing w:before="156" w:line="336" w:lineRule="auto"/>
              <w:ind w:left="108" w:right="-28"/>
              <w:jc w:val="both"/>
              <w:textAlignment w:val="auto"/>
              <w:rPr>
                <w:rFonts w:hint="default"/>
                <w:sz w:val="24"/>
                <w:lang w:val="en-US" w:eastAsia="zh-CN"/>
              </w:rPr>
            </w:pPr>
            <w:r>
              <w:rPr>
                <w:rFonts w:hint="eastAsia"/>
                <w:sz w:val="24"/>
                <w:lang w:val="en-US" w:eastAsia="zh-CN"/>
              </w:rPr>
              <w:t>中邮电子、中信电子、中庚基金、新华资产、万家、东方富海、合众资产、中金公司、阿玛拉资本、华泰证券、长城证券、光大电子、招商证券、国富基金、长信基金、瑞银资管RQFII、宏利投资管理(香港)有限公司、申万亚洲、立格资本、高盛资管、RAYS Capital、中信里昂、微明恒远、中军金融投资有限公司、深圳市金之灏基金管理有限公司、海南鑫焱创业投资有限公司、华汯资产、汇升投资、粤信资产、中金公司、汇丰晋信基金、中信证券、海润达资产、国信证券股份有限公司、思梵投资、嘉实基金、源乘投资、深圳尚诚资产、闻天投资、中欧基金、华能贵诚信托有限公司、青岛城投城金控股集团有限公司、厦门建发新兴产业股权投资有限责任公司、深圳慧利资产管理有限公司、杭州附加值投资管理有限公司、国彤创丰私募基金理有限公司、华西证券（自营）、泓德基金管理有限公司、中信证券、民生加银、三井住友资产管理股份公司、PleiadInvestmentAdvisorsLimited、北京东方睿石投资管理有限公司、百川投资、Brilliance、上海恒瑞私募基金管理有限公司、晨燕资产管理、湖南湘江新区发展集团有限公司、上海丰煜投资有限公司、四川龙蟒集团有限责任公司、太平洋证券、远信投资、博时基金管理有限公司、谢诺投资、永安国富资产管理有限公司、武汉盛帆投资集团股份有限公司、山证资管、广发证券资产管理部、民生通惠、东吴基金管理有限公司、广东远桥私募基金管理有限公司、广东正圆私募基金管理有限公司、青骊投资管理（上海）有限公司、九泰基金管理有限公司、华商基金、上海聊塑私募基金管理中心（有限合伙）、国泰基金、和谐健康保险股份有限公司、拓璞基金、平安资产</w:t>
            </w:r>
          </w:p>
        </w:tc>
      </w:tr>
      <w:tr w14:paraId="139FA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524" w:type="dxa"/>
            <w:tcMar>
              <w:top w:w="0" w:type="dxa"/>
              <w:left w:w="113" w:type="dxa"/>
              <w:bottom w:w="0" w:type="dxa"/>
              <w:right w:w="113" w:type="dxa"/>
            </w:tcMar>
            <w:vAlign w:val="center"/>
          </w:tcPr>
          <w:p w14:paraId="21BBEB87">
            <w:pPr>
              <w:pStyle w:val="8"/>
              <w:spacing w:before="170" w:line="289" w:lineRule="exact"/>
              <w:ind w:left="107"/>
              <w:jc w:val="center"/>
              <w:rPr>
                <w:b w:val="0"/>
                <w:bCs w:val="0"/>
                <w:sz w:val="24"/>
                <w:szCs w:val="24"/>
              </w:rPr>
            </w:pPr>
            <w:r>
              <w:rPr>
                <w:b w:val="0"/>
                <w:bCs w:val="0"/>
                <w:sz w:val="24"/>
                <w:szCs w:val="24"/>
              </w:rPr>
              <w:t>时间</w:t>
            </w:r>
          </w:p>
        </w:tc>
        <w:tc>
          <w:tcPr>
            <w:tcW w:w="8220" w:type="dxa"/>
            <w:vAlign w:val="center"/>
          </w:tcPr>
          <w:p w14:paraId="075846D8">
            <w:pPr>
              <w:pStyle w:val="8"/>
              <w:spacing w:before="170" w:line="289" w:lineRule="exact"/>
              <w:jc w:val="both"/>
              <w:rPr>
                <w:rFonts w:hint="default" w:eastAsia="宋体"/>
                <w:sz w:val="24"/>
                <w:lang w:val="en-US" w:eastAsia="zh-CN"/>
              </w:rPr>
            </w:pPr>
            <w:r>
              <w:rPr>
                <w:rFonts w:hint="eastAsia"/>
                <w:sz w:val="24"/>
                <w:lang w:val="en-US" w:eastAsia="zh-CN"/>
              </w:rPr>
              <w:t>2024</w:t>
            </w:r>
            <w:r>
              <w:rPr>
                <w:sz w:val="24"/>
              </w:rPr>
              <w:t>年</w:t>
            </w:r>
            <w:r>
              <w:rPr>
                <w:rFonts w:hint="eastAsia"/>
                <w:sz w:val="24"/>
                <w:lang w:val="en-US" w:eastAsia="zh-CN"/>
              </w:rPr>
              <w:t>8</w:t>
            </w:r>
            <w:r>
              <w:rPr>
                <w:sz w:val="24"/>
              </w:rPr>
              <w:t>月</w:t>
            </w:r>
            <w:r>
              <w:rPr>
                <w:rFonts w:hint="eastAsia"/>
                <w:sz w:val="24"/>
                <w:lang w:val="en-US" w:eastAsia="zh-CN"/>
              </w:rPr>
              <w:t>27日-28日</w:t>
            </w:r>
          </w:p>
        </w:tc>
      </w:tr>
      <w:tr w14:paraId="77F45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524" w:type="dxa"/>
            <w:tcMar>
              <w:top w:w="0" w:type="dxa"/>
              <w:left w:w="113" w:type="dxa"/>
              <w:bottom w:w="0" w:type="dxa"/>
              <w:right w:w="113" w:type="dxa"/>
            </w:tcMar>
            <w:vAlign w:val="center"/>
          </w:tcPr>
          <w:p w14:paraId="39EB5C8F">
            <w:pPr>
              <w:pStyle w:val="8"/>
              <w:spacing w:before="170" w:line="289" w:lineRule="exact"/>
              <w:ind w:left="107"/>
              <w:jc w:val="center"/>
              <w:rPr>
                <w:b w:val="0"/>
                <w:bCs w:val="0"/>
                <w:sz w:val="24"/>
                <w:szCs w:val="24"/>
              </w:rPr>
            </w:pPr>
            <w:r>
              <w:rPr>
                <w:b w:val="0"/>
                <w:bCs w:val="0"/>
                <w:sz w:val="24"/>
                <w:szCs w:val="24"/>
              </w:rPr>
              <w:t>地点</w:t>
            </w:r>
          </w:p>
        </w:tc>
        <w:tc>
          <w:tcPr>
            <w:tcW w:w="8220" w:type="dxa"/>
            <w:vAlign w:val="center"/>
          </w:tcPr>
          <w:p w14:paraId="53186284">
            <w:pPr>
              <w:pStyle w:val="8"/>
              <w:spacing w:before="170" w:line="289" w:lineRule="exact"/>
              <w:jc w:val="both"/>
              <w:rPr>
                <w:rFonts w:hint="default" w:eastAsia="宋体"/>
                <w:sz w:val="24"/>
                <w:lang w:val="en-US" w:eastAsia="zh-CN"/>
              </w:rPr>
            </w:pPr>
            <w:r>
              <w:rPr>
                <w:rFonts w:hint="eastAsia"/>
                <w:sz w:val="24"/>
                <w:lang w:val="en-US" w:eastAsia="zh-CN"/>
              </w:rPr>
              <w:t>线上</w:t>
            </w:r>
          </w:p>
        </w:tc>
      </w:tr>
      <w:tr w14:paraId="2CDED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jc w:val="center"/>
        </w:trPr>
        <w:tc>
          <w:tcPr>
            <w:tcW w:w="1524" w:type="dxa"/>
            <w:tcMar>
              <w:top w:w="0" w:type="dxa"/>
              <w:left w:w="113" w:type="dxa"/>
              <w:bottom w:w="0" w:type="dxa"/>
              <w:right w:w="113" w:type="dxa"/>
            </w:tcMar>
            <w:vAlign w:val="center"/>
          </w:tcPr>
          <w:p w14:paraId="28421AAF">
            <w:pPr>
              <w:pStyle w:val="8"/>
              <w:spacing w:before="60" w:line="242" w:lineRule="auto"/>
              <w:ind w:left="107" w:right="72"/>
              <w:jc w:val="center"/>
              <w:rPr>
                <w:b w:val="0"/>
                <w:bCs w:val="0"/>
                <w:sz w:val="24"/>
                <w:szCs w:val="24"/>
              </w:rPr>
            </w:pPr>
            <w:r>
              <w:rPr>
                <w:b w:val="0"/>
                <w:bCs w:val="0"/>
                <w:sz w:val="24"/>
                <w:szCs w:val="24"/>
              </w:rPr>
              <w:t>上市公司接待人员姓名</w:t>
            </w:r>
          </w:p>
        </w:tc>
        <w:tc>
          <w:tcPr>
            <w:tcW w:w="8220" w:type="dxa"/>
            <w:vAlign w:val="center"/>
          </w:tcPr>
          <w:p w14:paraId="0EB18801">
            <w:pPr>
              <w:pStyle w:val="8"/>
              <w:spacing w:before="170"/>
              <w:jc w:val="both"/>
              <w:rPr>
                <w:rFonts w:hint="default"/>
                <w:sz w:val="24"/>
                <w:lang w:val="en-US" w:eastAsia="zh-CN"/>
              </w:rPr>
            </w:pPr>
            <w:r>
              <w:rPr>
                <w:rFonts w:hint="eastAsia"/>
                <w:sz w:val="24"/>
                <w:lang w:val="en-US" w:eastAsia="zh-CN"/>
              </w:rPr>
              <w:t>董事会秘书、财务总监：吴新元</w:t>
            </w:r>
          </w:p>
        </w:tc>
      </w:tr>
      <w:tr w14:paraId="421F5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jc w:val="center"/>
        </w:trPr>
        <w:tc>
          <w:tcPr>
            <w:tcW w:w="1524" w:type="dxa"/>
            <w:tcMar>
              <w:top w:w="0" w:type="dxa"/>
              <w:left w:w="113" w:type="dxa"/>
              <w:bottom w:w="0" w:type="dxa"/>
              <w:right w:w="113" w:type="dxa"/>
            </w:tcMar>
            <w:vAlign w:val="center"/>
          </w:tcPr>
          <w:p w14:paraId="17AA6BEC">
            <w:pPr>
              <w:pStyle w:val="8"/>
              <w:spacing w:before="60" w:line="242" w:lineRule="auto"/>
              <w:ind w:left="107" w:right="72"/>
              <w:jc w:val="center"/>
              <w:rPr>
                <w:b w:val="0"/>
                <w:bCs w:val="0"/>
                <w:sz w:val="24"/>
                <w:szCs w:val="24"/>
              </w:rPr>
            </w:pPr>
            <w:r>
              <w:rPr>
                <w:rFonts w:hint="eastAsia"/>
                <w:b w:val="0"/>
                <w:bCs w:val="0"/>
                <w:sz w:val="24"/>
                <w:szCs w:val="24"/>
              </w:rPr>
              <w:t>投资者关系活动主要内容介绍</w:t>
            </w:r>
          </w:p>
        </w:tc>
        <w:tc>
          <w:tcPr>
            <w:tcW w:w="8220" w:type="dxa"/>
            <w:tcMar>
              <w:top w:w="170" w:type="dxa"/>
              <w:left w:w="170" w:type="dxa"/>
              <w:bottom w:w="170" w:type="dxa"/>
              <w:right w:w="170" w:type="dxa"/>
            </w:tcMar>
            <w:vAlign w:val="center"/>
          </w:tcPr>
          <w:p w14:paraId="4EF71F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eastAsia" w:cs="宋体"/>
                <w:b w:val="0"/>
                <w:bCs w:val="0"/>
                <w:sz w:val="24"/>
                <w:szCs w:val="24"/>
                <w:lang w:val="en-US" w:eastAsia="zh-CN" w:bidi="zh-CN"/>
              </w:rPr>
            </w:pPr>
            <w:r>
              <w:rPr>
                <w:rFonts w:hint="eastAsia" w:cs="宋体"/>
                <w:b w:val="0"/>
                <w:bCs w:val="0"/>
                <w:sz w:val="24"/>
                <w:szCs w:val="24"/>
                <w:lang w:val="en-US" w:eastAsia="zh-CN" w:bidi="zh-CN"/>
              </w:rPr>
              <w:t>一、2024年上半年业绩情况</w:t>
            </w:r>
          </w:p>
          <w:p w14:paraId="32C0B35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default" w:cs="宋体"/>
                <w:b w:val="0"/>
                <w:bCs w:val="0"/>
                <w:sz w:val="24"/>
                <w:szCs w:val="24"/>
                <w:lang w:val="en-US" w:eastAsia="zh-CN" w:bidi="zh-CN"/>
              </w:rPr>
            </w:pPr>
            <w:r>
              <w:rPr>
                <w:rFonts w:hint="eastAsia" w:cs="宋体"/>
                <w:b w:val="0"/>
                <w:bCs w:val="0"/>
                <w:sz w:val="24"/>
                <w:szCs w:val="24"/>
                <w:lang w:val="en-US" w:eastAsia="zh-CN" w:bidi="zh-CN"/>
              </w:rPr>
              <w:t>2024年上半年下游市场有所回暖，公司出货量持续增长，市场占有率继续扩大。上半年，各类芯片出货量近11亿颗，同比增长超过50%，达到2022年全年出货量水平，其中32位产品出货量近一亿颗；实现营业收入4.29亿元，同比增长近49%；实现净利润4300万元，同比增长约62%；实现扣非净利润6300万元，实现扭亏；经营性现金净流量1.26亿元。</w:t>
            </w:r>
          </w:p>
          <w:p w14:paraId="0001DE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jc w:val="both"/>
              <w:textAlignment w:val="auto"/>
              <w:rPr>
                <w:rFonts w:hint="eastAsia" w:cs="宋体"/>
                <w:b w:val="0"/>
                <w:bCs w:val="0"/>
                <w:sz w:val="24"/>
                <w:szCs w:val="24"/>
                <w:lang w:val="en-US" w:eastAsia="zh-CN" w:bidi="zh-CN"/>
              </w:rPr>
            </w:pPr>
            <w:r>
              <w:rPr>
                <w:rFonts w:hint="eastAsia" w:cs="宋体"/>
                <w:b w:val="0"/>
                <w:bCs w:val="0"/>
                <w:sz w:val="24"/>
                <w:szCs w:val="24"/>
                <w:lang w:val="en-US" w:eastAsia="zh-CN" w:bidi="zh-CN"/>
              </w:rPr>
              <w:t>二、交流问答</w:t>
            </w:r>
          </w:p>
          <w:p w14:paraId="588650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jc w:val="both"/>
              <w:textAlignment w:val="auto"/>
              <w:rPr>
                <w:rFonts w:hint="eastAsia" w:cs="宋体"/>
                <w:b w:val="0"/>
                <w:bCs w:val="0"/>
                <w:sz w:val="24"/>
                <w:szCs w:val="24"/>
                <w:lang w:val="en-US" w:eastAsia="zh-CN" w:bidi="zh-CN"/>
              </w:rPr>
            </w:pPr>
            <w:r>
              <w:rPr>
                <w:rFonts w:hint="eastAsia" w:cs="宋体"/>
                <w:b w:val="0"/>
                <w:bCs w:val="0"/>
                <w:sz w:val="24"/>
                <w:szCs w:val="24"/>
                <w:lang w:val="en-US" w:eastAsia="zh-CN" w:bidi="zh-CN"/>
              </w:rPr>
              <w:t>1、请拆分一下收入结构？</w:t>
            </w:r>
          </w:p>
          <w:p w14:paraId="4E48C2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eastAsia" w:cs="宋体"/>
                <w:b w:val="0"/>
                <w:bCs w:val="0"/>
                <w:sz w:val="24"/>
                <w:szCs w:val="24"/>
                <w:lang w:val="en-US" w:eastAsia="zh-CN" w:bidi="zh-CN"/>
              </w:rPr>
            </w:pPr>
            <w:r>
              <w:rPr>
                <w:rFonts w:hint="eastAsia" w:cs="宋体"/>
                <w:b w:val="0"/>
                <w:bCs w:val="0"/>
                <w:sz w:val="24"/>
                <w:szCs w:val="24"/>
                <w:lang w:val="en-US" w:eastAsia="zh-CN" w:bidi="zh-CN"/>
              </w:rPr>
              <w:t>答：按照产品的应用领域拆分，公司在消费电子控制领域实现营收约1.8亿元，在家电控制领域实现营收约1.5亿元，在工业控制（含无刷电机控制）领域实现营收约0.8亿元，在汽车电子领域实现营收约0.2亿元。</w:t>
            </w:r>
          </w:p>
          <w:p w14:paraId="4350589C">
            <w:pPr>
              <w:pStyle w:val="8"/>
              <w:numPr>
                <w:ilvl w:val="0"/>
                <w:numId w:val="1"/>
              </w:numPr>
              <w:spacing w:before="170" w:line="360" w:lineRule="auto"/>
              <w:ind w:left="108" w:leftChars="0" w:right="0" w:rightChars="0" w:firstLine="480" w:firstLineChars="200"/>
              <w:jc w:val="both"/>
              <w:rPr>
                <w:rFonts w:hint="eastAsia" w:cs="宋体"/>
                <w:b w:val="0"/>
                <w:bCs w:val="0"/>
                <w:sz w:val="24"/>
                <w:szCs w:val="24"/>
                <w:lang w:val="en-US" w:eastAsia="zh-CN" w:bidi="zh-CN"/>
              </w:rPr>
            </w:pPr>
            <w:r>
              <w:rPr>
                <w:rFonts w:hint="eastAsia" w:cs="宋体"/>
                <w:b w:val="0"/>
                <w:bCs w:val="0"/>
                <w:sz w:val="24"/>
                <w:szCs w:val="24"/>
                <w:lang w:val="en-US" w:eastAsia="zh-CN" w:bidi="zh-CN"/>
              </w:rPr>
              <w:t>请问公司消费电子领域，具体应用和占比及变化？</w:t>
            </w:r>
          </w:p>
          <w:p w14:paraId="246D4661">
            <w:pPr>
              <w:pStyle w:val="8"/>
              <w:numPr>
                <w:ilvl w:val="0"/>
                <w:numId w:val="0"/>
              </w:numPr>
              <w:spacing w:before="170" w:line="360" w:lineRule="auto"/>
              <w:ind w:right="0" w:rightChars="0" w:firstLine="480" w:firstLineChars="200"/>
              <w:jc w:val="both"/>
              <w:rPr>
                <w:rFonts w:hint="eastAsia" w:cs="宋体"/>
                <w:b w:val="0"/>
                <w:bCs w:val="0"/>
                <w:sz w:val="24"/>
                <w:szCs w:val="24"/>
                <w:lang w:val="en-US" w:eastAsia="zh-CN" w:bidi="zh-CN"/>
              </w:rPr>
            </w:pPr>
            <w:r>
              <w:rPr>
                <w:rFonts w:hint="eastAsia" w:cs="宋体"/>
                <w:b w:val="0"/>
                <w:bCs w:val="0"/>
                <w:sz w:val="24"/>
                <w:szCs w:val="24"/>
                <w:lang w:val="en-US" w:eastAsia="zh-CN" w:bidi="zh-CN"/>
              </w:rPr>
              <w:t>答：消费电子应用涵盖比较多，比如电子烟、电动牙刷、无线充、无线耳机、充电仓、测温计、测压仪、计血氧仪、血糖仪等等，无法做准确的统计。其中电子烟领域占比较大，应该有大几万的收入；另外在测量类，比如测温测压、血糖仪方面渗透率增长显著。</w:t>
            </w:r>
          </w:p>
          <w:p w14:paraId="2F3BB432">
            <w:pPr>
              <w:pStyle w:val="8"/>
              <w:numPr>
                <w:ilvl w:val="0"/>
                <w:numId w:val="1"/>
              </w:numPr>
              <w:spacing w:before="170" w:line="360" w:lineRule="auto"/>
              <w:ind w:left="108" w:leftChars="0" w:right="0" w:rightChars="0" w:firstLine="480" w:firstLineChars="200"/>
              <w:jc w:val="both"/>
              <w:rPr>
                <w:rFonts w:hint="eastAsia" w:cs="宋体"/>
                <w:b w:val="0"/>
                <w:bCs w:val="0"/>
                <w:sz w:val="24"/>
                <w:szCs w:val="24"/>
                <w:lang w:val="en-US" w:eastAsia="zh-CN" w:bidi="zh-CN"/>
              </w:rPr>
            </w:pPr>
            <w:r>
              <w:rPr>
                <w:rFonts w:hint="eastAsia" w:cs="宋体"/>
                <w:b w:val="0"/>
                <w:bCs w:val="0"/>
                <w:sz w:val="24"/>
                <w:szCs w:val="24"/>
                <w:lang w:val="en-US" w:eastAsia="zh-CN" w:bidi="zh-CN"/>
              </w:rPr>
              <w:t>公司无刷电机控制方面，上半年增长较快，请谈谈其快速增长的原因、主要应用领域和未来展望？</w:t>
            </w:r>
          </w:p>
          <w:p w14:paraId="491A4210">
            <w:pPr>
              <w:pStyle w:val="8"/>
              <w:numPr>
                <w:ilvl w:val="0"/>
                <w:numId w:val="0"/>
              </w:numPr>
              <w:spacing w:before="170" w:line="360" w:lineRule="auto"/>
              <w:ind w:right="0" w:rightChars="0" w:firstLine="480" w:firstLineChars="200"/>
              <w:jc w:val="both"/>
              <w:rPr>
                <w:rFonts w:hint="eastAsia" w:cs="宋体"/>
                <w:b w:val="0"/>
                <w:bCs w:val="0"/>
                <w:sz w:val="24"/>
                <w:szCs w:val="24"/>
                <w:lang w:val="en-US" w:eastAsia="zh-CN" w:bidi="zh-CN"/>
              </w:rPr>
            </w:pPr>
            <w:r>
              <w:rPr>
                <w:rFonts w:hint="eastAsia" w:cs="宋体"/>
                <w:b w:val="0"/>
                <w:bCs w:val="0"/>
                <w:sz w:val="24"/>
                <w:szCs w:val="24"/>
                <w:lang w:val="en-US" w:eastAsia="zh-CN" w:bidi="zh-CN"/>
              </w:rPr>
              <w:t>答：公司在无刷电机控制方面最能体现提供一站式整体解决方案，我们提供主控、驱动、功率器件和电机控制软件算法。我们采取软件控制方式，保持电机控制的灵活性，便于客户开发个性产品，不足的是电机调试相对复杂，要求较多的技术支持。今年无刷电机控制增长主要原因是公司技术服务队伍的服务能力得到有效提升所致。目前，公司无刷电机控制主要应用在园林工具和高速风筒等方面，未来我们会向家电、汽车领域拓展。下半年，此块业务有望延续保持增长态势。</w:t>
            </w:r>
          </w:p>
          <w:p w14:paraId="2AD70103">
            <w:pPr>
              <w:pStyle w:val="8"/>
              <w:numPr>
                <w:ilvl w:val="0"/>
                <w:numId w:val="1"/>
              </w:numPr>
              <w:spacing w:before="170" w:line="360" w:lineRule="auto"/>
              <w:ind w:left="108" w:leftChars="0" w:right="0" w:rightChars="0" w:firstLine="480" w:firstLineChars="200"/>
              <w:jc w:val="both"/>
              <w:rPr>
                <w:rFonts w:hint="eastAsia" w:cs="宋体"/>
                <w:b w:val="0"/>
                <w:bCs w:val="0"/>
                <w:sz w:val="24"/>
                <w:szCs w:val="24"/>
                <w:lang w:val="en-US" w:eastAsia="zh-CN" w:bidi="zh-CN"/>
              </w:rPr>
            </w:pPr>
            <w:r>
              <w:rPr>
                <w:rFonts w:hint="eastAsia" w:cs="宋体"/>
                <w:b w:val="0"/>
                <w:bCs w:val="0"/>
                <w:sz w:val="24"/>
                <w:szCs w:val="24"/>
                <w:lang w:val="en-US" w:eastAsia="zh-CN" w:bidi="zh-CN"/>
              </w:rPr>
              <w:t>请问公司汽车电子布局及展望？</w:t>
            </w:r>
          </w:p>
          <w:p w14:paraId="63A375D3">
            <w:pPr>
              <w:pStyle w:val="8"/>
              <w:numPr>
                <w:ilvl w:val="0"/>
                <w:numId w:val="0"/>
              </w:numPr>
              <w:spacing w:before="170" w:line="360" w:lineRule="auto"/>
              <w:ind w:right="0" w:rightChars="0" w:firstLine="480" w:firstLineChars="200"/>
              <w:jc w:val="both"/>
              <w:rPr>
                <w:rFonts w:hint="eastAsia" w:cs="宋体"/>
                <w:b w:val="0"/>
                <w:bCs w:val="0"/>
                <w:sz w:val="24"/>
                <w:szCs w:val="24"/>
                <w:lang w:val="en-US" w:eastAsia="zh-CN" w:bidi="zh-CN"/>
              </w:rPr>
            </w:pPr>
            <w:r>
              <w:rPr>
                <w:rFonts w:hint="eastAsia" w:cs="宋体"/>
                <w:b w:val="0"/>
                <w:bCs w:val="0"/>
                <w:sz w:val="24"/>
                <w:szCs w:val="24"/>
                <w:lang w:val="en-US" w:eastAsia="zh-CN" w:bidi="zh-CN"/>
              </w:rPr>
              <w:t>答：汽车电子是公司产品应用的重要战略发展方面，公司十分重视车规级产品的研发和市场开拓。董事会要求在汽车电子方面，只许成功不许失败，所以公司采取步步为营、稳慎推进策略。从小资源产品着手，向大资源产品推进，从车身控制向底盘等安全等级更高要求推进。目前车规级产品料号不断增加，产品通过tier1导入，在终端客户开发的案例越来越多，基本上与国内主要的车企均有不同程度的合作，主要应用在车身控制领域，上半年车规级产品营收1000多万元，未来会逐步起量。</w:t>
            </w:r>
          </w:p>
          <w:p w14:paraId="04221E32">
            <w:pPr>
              <w:pStyle w:val="8"/>
              <w:numPr>
                <w:ilvl w:val="0"/>
                <w:numId w:val="0"/>
              </w:numPr>
              <w:spacing w:before="170" w:line="360" w:lineRule="auto"/>
              <w:ind w:right="0" w:rightChars="0" w:firstLine="480" w:firstLineChars="200"/>
              <w:jc w:val="both"/>
              <w:rPr>
                <w:rFonts w:hint="eastAsia" w:cs="宋体"/>
                <w:b w:val="0"/>
                <w:bCs w:val="0"/>
                <w:sz w:val="24"/>
                <w:szCs w:val="24"/>
                <w:lang w:val="en-US" w:eastAsia="zh-CN" w:bidi="zh-CN"/>
              </w:rPr>
            </w:pPr>
            <w:r>
              <w:rPr>
                <w:rFonts w:hint="eastAsia" w:cs="宋体"/>
                <w:b w:val="0"/>
                <w:bCs w:val="0"/>
                <w:sz w:val="24"/>
                <w:szCs w:val="24"/>
                <w:lang w:val="en-US" w:eastAsia="zh-CN" w:bidi="zh-CN"/>
              </w:rPr>
              <w:t>5、公司产品毛利复苏的原因及未来价格策略？</w:t>
            </w:r>
          </w:p>
          <w:p w14:paraId="41ABB438">
            <w:pPr>
              <w:pStyle w:val="8"/>
              <w:numPr>
                <w:ilvl w:val="0"/>
                <w:numId w:val="0"/>
              </w:numPr>
              <w:spacing w:before="170" w:line="360" w:lineRule="auto"/>
              <w:ind w:right="0" w:rightChars="0" w:firstLine="480" w:firstLineChars="200"/>
              <w:jc w:val="both"/>
              <w:rPr>
                <w:rFonts w:hint="eastAsia" w:cs="宋体"/>
                <w:b w:val="0"/>
                <w:bCs w:val="0"/>
                <w:sz w:val="24"/>
                <w:szCs w:val="24"/>
                <w:lang w:val="en-US" w:eastAsia="zh-CN" w:bidi="zh-CN"/>
              </w:rPr>
            </w:pPr>
            <w:r>
              <w:rPr>
                <w:rFonts w:hint="eastAsia" w:cs="宋体"/>
                <w:b w:val="0"/>
                <w:bCs w:val="0"/>
                <w:sz w:val="24"/>
                <w:szCs w:val="24"/>
                <w:lang w:val="en-US" w:eastAsia="zh-CN" w:bidi="zh-CN"/>
              </w:rPr>
              <w:t>答：毛利复苏来自两方面，一是产品更新迭代，设计更有竞争力的产品所致；另一方面是产品原材料采购、代工成本下降所致。公司的价格策略会充分遵循市场规律，重市场占有率、重毛利而不重毛利率，我们会努力提供更有性价比的产品给客户。</w:t>
            </w:r>
          </w:p>
          <w:p w14:paraId="669E8C0A">
            <w:pPr>
              <w:pStyle w:val="8"/>
              <w:numPr>
                <w:ilvl w:val="0"/>
                <w:numId w:val="0"/>
              </w:numPr>
              <w:spacing w:before="170" w:line="360" w:lineRule="auto"/>
              <w:ind w:right="0" w:rightChars="0" w:firstLine="480" w:firstLineChars="200"/>
              <w:jc w:val="both"/>
              <w:rPr>
                <w:rFonts w:hint="eastAsia" w:cs="宋体"/>
                <w:b w:val="0"/>
                <w:bCs w:val="0"/>
                <w:sz w:val="24"/>
                <w:szCs w:val="24"/>
                <w:lang w:val="en-US" w:eastAsia="zh-CN" w:bidi="zh-CN"/>
              </w:rPr>
            </w:pPr>
            <w:r>
              <w:rPr>
                <w:rFonts w:hint="eastAsia" w:cs="宋体"/>
                <w:b w:val="0"/>
                <w:bCs w:val="0"/>
                <w:sz w:val="24"/>
                <w:szCs w:val="24"/>
                <w:lang w:val="en-US" w:eastAsia="zh-CN" w:bidi="zh-CN"/>
              </w:rPr>
              <w:t>6、目前晶圆代工成本有何变化？</w:t>
            </w:r>
          </w:p>
          <w:p w14:paraId="5D687FD4">
            <w:pPr>
              <w:pStyle w:val="8"/>
              <w:numPr>
                <w:ilvl w:val="0"/>
                <w:numId w:val="0"/>
              </w:numPr>
              <w:spacing w:before="170" w:line="360" w:lineRule="auto"/>
              <w:ind w:right="0" w:rightChars="0" w:firstLine="480" w:firstLineChars="200"/>
              <w:jc w:val="both"/>
              <w:rPr>
                <w:rFonts w:hint="eastAsia" w:cs="宋体"/>
                <w:b w:val="0"/>
                <w:bCs w:val="0"/>
                <w:sz w:val="24"/>
                <w:szCs w:val="24"/>
                <w:lang w:val="en-US" w:eastAsia="zh-CN" w:bidi="zh-CN"/>
              </w:rPr>
            </w:pPr>
            <w:r>
              <w:rPr>
                <w:rFonts w:hint="eastAsia" w:cs="宋体"/>
                <w:b w:val="0"/>
                <w:bCs w:val="0"/>
                <w:sz w:val="24"/>
                <w:szCs w:val="24"/>
                <w:lang w:val="en-US" w:eastAsia="zh-CN" w:bidi="zh-CN"/>
              </w:rPr>
              <w:t>答：从三季度开始，公司收到部分晶圆厂代工的涨价通知，晶圆代工有小幅上涨。</w:t>
            </w:r>
          </w:p>
          <w:p w14:paraId="5D5A0FD7">
            <w:pPr>
              <w:pStyle w:val="8"/>
              <w:numPr>
                <w:ilvl w:val="0"/>
                <w:numId w:val="2"/>
              </w:numPr>
              <w:spacing w:before="170" w:line="360" w:lineRule="auto"/>
              <w:ind w:right="0" w:rightChars="0" w:firstLine="480" w:firstLineChars="200"/>
              <w:jc w:val="both"/>
              <w:rPr>
                <w:rFonts w:hint="eastAsia" w:cs="宋体"/>
                <w:b w:val="0"/>
                <w:bCs w:val="0"/>
                <w:sz w:val="24"/>
                <w:szCs w:val="24"/>
                <w:lang w:val="en-US" w:eastAsia="zh-CN" w:bidi="zh-CN"/>
              </w:rPr>
            </w:pPr>
            <w:r>
              <w:rPr>
                <w:rFonts w:hint="eastAsia" w:cs="宋体"/>
                <w:b w:val="0"/>
                <w:bCs w:val="0"/>
                <w:sz w:val="24"/>
                <w:szCs w:val="24"/>
                <w:lang w:val="en-US" w:eastAsia="zh-CN" w:bidi="zh-CN"/>
              </w:rPr>
              <w:t>公司库存有何策略？</w:t>
            </w:r>
          </w:p>
          <w:p w14:paraId="7C50F790">
            <w:pPr>
              <w:pStyle w:val="8"/>
              <w:numPr>
                <w:ilvl w:val="0"/>
                <w:numId w:val="0"/>
              </w:numPr>
              <w:spacing w:before="170" w:line="360" w:lineRule="auto"/>
              <w:ind w:right="0" w:rightChars="0" w:firstLine="480" w:firstLineChars="200"/>
              <w:jc w:val="both"/>
              <w:rPr>
                <w:rFonts w:hint="eastAsia" w:cs="宋体"/>
                <w:b w:val="0"/>
                <w:bCs w:val="0"/>
                <w:sz w:val="24"/>
                <w:szCs w:val="24"/>
                <w:lang w:val="en-US" w:eastAsia="zh-CN" w:bidi="zh-CN"/>
              </w:rPr>
            </w:pPr>
            <w:r>
              <w:rPr>
                <w:rFonts w:hint="eastAsia" w:cs="宋体"/>
                <w:b w:val="0"/>
                <w:bCs w:val="0"/>
                <w:sz w:val="24"/>
                <w:szCs w:val="24"/>
                <w:lang w:val="en-US" w:eastAsia="zh-CN" w:bidi="zh-CN"/>
              </w:rPr>
              <w:t>答：公司董事会对经营层在库存管理方面有要求，希望把库存控制在合理范围内。与去年同期相比，库存已经有较大改善，主要有两方面原因，一是加大下游出货量；二是适当控制上游采购量。</w:t>
            </w:r>
          </w:p>
          <w:p w14:paraId="563EBA9E">
            <w:pPr>
              <w:pStyle w:val="8"/>
              <w:numPr>
                <w:ilvl w:val="0"/>
                <w:numId w:val="2"/>
              </w:numPr>
              <w:spacing w:before="170" w:line="360" w:lineRule="auto"/>
              <w:ind w:left="108" w:leftChars="0" w:right="0" w:rightChars="0" w:firstLine="480" w:firstLineChars="200"/>
              <w:jc w:val="both"/>
              <w:rPr>
                <w:rFonts w:hint="eastAsia" w:cs="宋体"/>
                <w:b w:val="0"/>
                <w:bCs w:val="0"/>
                <w:sz w:val="24"/>
                <w:szCs w:val="24"/>
                <w:lang w:val="en-US" w:eastAsia="zh-CN" w:bidi="zh-CN"/>
              </w:rPr>
            </w:pPr>
            <w:r>
              <w:rPr>
                <w:rFonts w:hint="eastAsia" w:cs="宋体"/>
                <w:b w:val="0"/>
                <w:bCs w:val="0"/>
                <w:sz w:val="24"/>
                <w:szCs w:val="24"/>
                <w:lang w:val="en-US" w:eastAsia="zh-CN" w:bidi="zh-CN"/>
              </w:rPr>
              <w:t>公司对MCU整体竞争态势判断？</w:t>
            </w:r>
          </w:p>
          <w:p w14:paraId="0389F7A8">
            <w:pPr>
              <w:pStyle w:val="8"/>
              <w:numPr>
                <w:ilvl w:val="0"/>
                <w:numId w:val="0"/>
              </w:numPr>
              <w:spacing w:before="170" w:line="360" w:lineRule="auto"/>
              <w:ind w:right="0" w:rightChars="0" w:firstLine="480" w:firstLineChars="200"/>
              <w:jc w:val="both"/>
              <w:rPr>
                <w:rFonts w:hint="eastAsia" w:cs="宋体"/>
                <w:b w:val="0"/>
                <w:bCs w:val="0"/>
                <w:sz w:val="24"/>
                <w:szCs w:val="24"/>
                <w:lang w:val="en-US" w:eastAsia="zh-CN" w:bidi="zh-CN"/>
              </w:rPr>
            </w:pPr>
            <w:r>
              <w:rPr>
                <w:rFonts w:hint="eastAsia" w:cs="宋体"/>
                <w:b w:val="0"/>
                <w:bCs w:val="0"/>
                <w:sz w:val="24"/>
                <w:szCs w:val="24"/>
                <w:lang w:val="en-US" w:eastAsia="zh-CN" w:bidi="zh-CN"/>
              </w:rPr>
              <w:t>答：MCU市场竞争十分激烈，优胜劣汰会更加明显，最终是强者恒强，剩下为数不多几家公司独占鳌头。MCU进入门槛不高，但MCU的品质门槛很高；进入容易，但做好也很难。目前大家电、工业控制、汽车电子等相对高端应用领域的主控主要还是国外大厂把控，国内公司国产替代的路还有很长要走；我们公司的优势主要在于在MCU领域时间积淀久、技术积累厚，目前品质把控走在了前列，规模有一定的优势。此轮竞争，长远来看，对我们这样的公司是有利的。</w:t>
            </w:r>
          </w:p>
          <w:p w14:paraId="60E13FD5">
            <w:pPr>
              <w:pStyle w:val="8"/>
              <w:numPr>
                <w:ilvl w:val="0"/>
                <w:numId w:val="2"/>
              </w:numPr>
              <w:spacing w:before="170" w:line="360" w:lineRule="auto"/>
              <w:ind w:left="108" w:leftChars="0" w:right="0" w:rightChars="0" w:firstLine="480" w:firstLineChars="200"/>
              <w:jc w:val="both"/>
              <w:rPr>
                <w:rFonts w:hint="eastAsia" w:cs="宋体"/>
                <w:b w:val="0"/>
                <w:bCs w:val="0"/>
                <w:sz w:val="24"/>
                <w:szCs w:val="24"/>
                <w:lang w:val="en-US" w:eastAsia="zh-CN" w:bidi="zh-CN"/>
              </w:rPr>
            </w:pPr>
            <w:r>
              <w:rPr>
                <w:rFonts w:hint="eastAsia" w:cs="宋体"/>
                <w:b w:val="0"/>
                <w:bCs w:val="0"/>
                <w:sz w:val="24"/>
                <w:szCs w:val="24"/>
                <w:lang w:val="en-US" w:eastAsia="zh-CN" w:bidi="zh-CN"/>
              </w:rPr>
              <w:t>请问公司资金充足，会不会考虑并购？</w:t>
            </w:r>
          </w:p>
          <w:p w14:paraId="3A3FF5CB">
            <w:pPr>
              <w:pStyle w:val="8"/>
              <w:numPr>
                <w:ilvl w:val="0"/>
                <w:numId w:val="0"/>
              </w:numPr>
              <w:spacing w:before="170" w:line="360" w:lineRule="auto"/>
              <w:ind w:right="0" w:rightChars="0" w:firstLine="480" w:firstLineChars="200"/>
              <w:jc w:val="both"/>
              <w:rPr>
                <w:rFonts w:hint="eastAsia" w:cs="宋体"/>
                <w:b w:val="0"/>
                <w:bCs w:val="0"/>
                <w:sz w:val="24"/>
                <w:szCs w:val="24"/>
                <w:lang w:val="en-US" w:eastAsia="zh-CN" w:bidi="zh-CN"/>
              </w:rPr>
            </w:pPr>
            <w:r>
              <w:rPr>
                <w:rFonts w:hint="eastAsia" w:cs="宋体"/>
                <w:b w:val="0"/>
                <w:bCs w:val="0"/>
                <w:sz w:val="24"/>
                <w:szCs w:val="24"/>
                <w:lang w:val="en-US" w:eastAsia="zh-CN" w:bidi="zh-CN"/>
              </w:rPr>
              <w:t>答：并购是公司快速发展的必由之路，公司始终保持开放的心态和积极的态度，与技术和市场互补的公司进行接触。未来如果有具体举措，会及时进行信息披露。</w:t>
            </w:r>
          </w:p>
          <w:p w14:paraId="0E46A274">
            <w:pPr>
              <w:pStyle w:val="8"/>
              <w:numPr>
                <w:ilvl w:val="0"/>
                <w:numId w:val="2"/>
              </w:numPr>
              <w:spacing w:before="170" w:line="360" w:lineRule="auto"/>
              <w:ind w:left="108" w:leftChars="0" w:right="0" w:rightChars="0" w:firstLine="480" w:firstLineChars="200"/>
              <w:jc w:val="both"/>
              <w:rPr>
                <w:rFonts w:hint="eastAsia" w:cs="宋体"/>
                <w:b w:val="0"/>
                <w:bCs w:val="0"/>
                <w:sz w:val="24"/>
                <w:szCs w:val="24"/>
                <w:lang w:val="en-US" w:eastAsia="zh-CN" w:bidi="zh-CN"/>
              </w:rPr>
            </w:pPr>
            <w:r>
              <w:rPr>
                <w:rFonts w:hint="eastAsia" w:cs="宋体"/>
                <w:b w:val="0"/>
                <w:bCs w:val="0"/>
                <w:sz w:val="24"/>
                <w:szCs w:val="24"/>
                <w:lang w:val="en-US" w:eastAsia="zh-CN" w:bidi="zh-CN"/>
              </w:rPr>
              <w:t>请问公司对下半年的展望？</w:t>
            </w:r>
          </w:p>
          <w:p w14:paraId="2502E90A">
            <w:pPr>
              <w:pStyle w:val="8"/>
              <w:numPr>
                <w:ilvl w:val="0"/>
                <w:numId w:val="0"/>
              </w:numPr>
              <w:spacing w:before="170" w:line="360" w:lineRule="auto"/>
              <w:ind w:right="0" w:rightChars="0" w:firstLine="480" w:firstLineChars="200"/>
              <w:jc w:val="both"/>
              <w:rPr>
                <w:rFonts w:hint="default" w:cs="宋体"/>
                <w:b w:val="0"/>
                <w:bCs w:val="0"/>
                <w:sz w:val="24"/>
                <w:szCs w:val="24"/>
                <w:lang w:val="en-US" w:eastAsia="zh-CN" w:bidi="zh-CN"/>
              </w:rPr>
            </w:pPr>
            <w:r>
              <w:rPr>
                <w:rFonts w:hint="eastAsia" w:cs="宋体"/>
                <w:b w:val="0"/>
                <w:bCs w:val="0"/>
                <w:sz w:val="24"/>
                <w:szCs w:val="24"/>
                <w:lang w:val="en-US" w:eastAsia="zh-CN" w:bidi="zh-CN"/>
              </w:rPr>
              <w:t>答：下半年是传统的旺季，我们期待有更好的市场需求和更好的业绩表现。</w:t>
            </w:r>
          </w:p>
          <w:p w14:paraId="19BACBC5">
            <w:pPr>
              <w:pStyle w:val="8"/>
              <w:numPr>
                <w:ilvl w:val="0"/>
                <w:numId w:val="0"/>
              </w:numPr>
              <w:spacing w:before="170" w:line="360" w:lineRule="auto"/>
              <w:ind w:right="0" w:rightChars="0" w:firstLine="480" w:firstLineChars="200"/>
              <w:jc w:val="both"/>
              <w:rPr>
                <w:rFonts w:hint="default" w:cs="宋体"/>
                <w:b w:val="0"/>
                <w:bCs w:val="0"/>
                <w:sz w:val="24"/>
                <w:szCs w:val="24"/>
                <w:lang w:val="en-US" w:eastAsia="zh-CN" w:bidi="zh-CN"/>
              </w:rPr>
            </w:pPr>
          </w:p>
        </w:tc>
      </w:tr>
    </w:tbl>
    <w:p w14:paraId="4E79A505">
      <w:pPr>
        <w:spacing w:before="23"/>
        <w:ind w:right="0"/>
        <w:jc w:val="left"/>
        <w:rPr>
          <w:sz w:val="21"/>
        </w:rPr>
      </w:pPr>
    </w:p>
    <w:sectPr>
      <w:pgSz w:w="11910" w:h="16840"/>
      <w:pgMar w:top="1417" w:right="1134" w:bottom="1417" w:left="1134" w:header="720" w:footer="720"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9818A2"/>
    <w:multiLevelType w:val="singleLevel"/>
    <w:tmpl w:val="D79818A2"/>
    <w:lvl w:ilvl="0" w:tentative="0">
      <w:start w:val="7"/>
      <w:numFmt w:val="decimal"/>
      <w:suff w:val="nothing"/>
      <w:lvlText w:val="%1、"/>
      <w:lvlJc w:val="left"/>
    </w:lvl>
  </w:abstractNum>
  <w:abstractNum w:abstractNumId="1">
    <w:nsid w:val="4FD48B96"/>
    <w:multiLevelType w:val="singleLevel"/>
    <w:tmpl w:val="4FD48B96"/>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1"/>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4ODQwNThiYTg4YTBlNDhkZDRmNGNiNWM5NWE1YzAifQ=="/>
  </w:docVars>
  <w:rsids>
    <w:rsidRoot w:val="00000000"/>
    <w:rsid w:val="00FD233D"/>
    <w:rsid w:val="049B5140"/>
    <w:rsid w:val="062260D2"/>
    <w:rsid w:val="06B7310D"/>
    <w:rsid w:val="0BCE5827"/>
    <w:rsid w:val="0E561013"/>
    <w:rsid w:val="0E842633"/>
    <w:rsid w:val="103109BE"/>
    <w:rsid w:val="10CC52F7"/>
    <w:rsid w:val="140D0007"/>
    <w:rsid w:val="144018FC"/>
    <w:rsid w:val="1BA42A8E"/>
    <w:rsid w:val="1E491273"/>
    <w:rsid w:val="1E6B5B60"/>
    <w:rsid w:val="204505AD"/>
    <w:rsid w:val="20E85DAE"/>
    <w:rsid w:val="24E24D18"/>
    <w:rsid w:val="24EC5A02"/>
    <w:rsid w:val="26CB631A"/>
    <w:rsid w:val="275135B6"/>
    <w:rsid w:val="296C29CE"/>
    <w:rsid w:val="2D600F4C"/>
    <w:rsid w:val="2E567099"/>
    <w:rsid w:val="2ED94800"/>
    <w:rsid w:val="302C44F1"/>
    <w:rsid w:val="32954240"/>
    <w:rsid w:val="337066A2"/>
    <w:rsid w:val="33CF2630"/>
    <w:rsid w:val="36CF10AF"/>
    <w:rsid w:val="37B625EF"/>
    <w:rsid w:val="380A05F1"/>
    <w:rsid w:val="39F5707E"/>
    <w:rsid w:val="3A0A3E69"/>
    <w:rsid w:val="3B073DC4"/>
    <w:rsid w:val="3CC11A84"/>
    <w:rsid w:val="402D334F"/>
    <w:rsid w:val="417A669A"/>
    <w:rsid w:val="42417305"/>
    <w:rsid w:val="437368FD"/>
    <w:rsid w:val="44E37ACA"/>
    <w:rsid w:val="46DB063D"/>
    <w:rsid w:val="4F3A3B86"/>
    <w:rsid w:val="51CD61A5"/>
    <w:rsid w:val="58B36C53"/>
    <w:rsid w:val="58B91A1A"/>
    <w:rsid w:val="5E056C86"/>
    <w:rsid w:val="61BA0FCA"/>
    <w:rsid w:val="645218B2"/>
    <w:rsid w:val="64E10284"/>
    <w:rsid w:val="65864EAB"/>
    <w:rsid w:val="65AC0BA1"/>
    <w:rsid w:val="684E7F52"/>
    <w:rsid w:val="6860573C"/>
    <w:rsid w:val="69007D35"/>
    <w:rsid w:val="6A8F2D01"/>
    <w:rsid w:val="6AA221E0"/>
    <w:rsid w:val="6AFE35FB"/>
    <w:rsid w:val="6BF33738"/>
    <w:rsid w:val="6C060AF4"/>
    <w:rsid w:val="6E363361"/>
    <w:rsid w:val="6E5114E1"/>
    <w:rsid w:val="6F441EB0"/>
    <w:rsid w:val="6F8659FF"/>
    <w:rsid w:val="70852816"/>
    <w:rsid w:val="73187DD2"/>
    <w:rsid w:val="78471C35"/>
    <w:rsid w:val="79213DD0"/>
    <w:rsid w:val="7A117945"/>
    <w:rsid w:val="7BC17493"/>
    <w:rsid w:val="7D2045FF"/>
    <w:rsid w:val="7F0A225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5">
    <w:name w:val="Default Paragraph Font"/>
    <w:semiHidden/>
    <w:unhideWhenUsed/>
    <w:qFormat/>
    <w:uiPriority w:val="1"/>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pPr>
      <w:spacing w:before="6"/>
    </w:pPr>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customStyle="1" w:styleId="6">
    <w:name w:val="Table Normal"/>
    <w:autoRedefine/>
    <w:semiHidden/>
    <w:unhideWhenUsed/>
    <w:qFormat/>
    <w:uiPriority w:val="2"/>
    <w:tblPr>
      <w:tblCellMar>
        <w:top w:w="0" w:type="dxa"/>
        <w:left w:w="0" w:type="dxa"/>
        <w:bottom w:w="0" w:type="dxa"/>
        <w:right w:w="0" w:type="dxa"/>
      </w:tblCellMar>
    </w:tblPr>
  </w:style>
  <w:style w:type="paragraph" w:styleId="7">
    <w:name w:val="List Paragraph"/>
    <w:basedOn w:val="1"/>
    <w:autoRedefine/>
    <w:qFormat/>
    <w:uiPriority w:val="1"/>
    <w:rPr>
      <w:lang w:val="zh-CN" w:eastAsia="zh-CN" w:bidi="zh-CN"/>
    </w:rPr>
  </w:style>
  <w:style w:type="paragraph" w:customStyle="1" w:styleId="8">
    <w:name w:val="Table Paragraph"/>
    <w:basedOn w:val="1"/>
    <w:autoRedefine/>
    <w:qFormat/>
    <w:uiPriority w:val="1"/>
    <w:pPr>
      <w:ind w:left="108"/>
    </w:pPr>
    <w:rPr>
      <w:rFonts w:ascii="宋体" w:hAnsi="宋体" w:eastAsia="宋体" w:cs="宋体"/>
      <w:lang w:val="zh-CN" w:eastAsia="zh-CN" w:bidi="zh-CN"/>
    </w:rPr>
  </w:style>
  <w:style w:type="paragraph" w:customStyle="1" w:styleId="9">
    <w:name w:val="12"/>
    <w:autoRedefine/>
    <w:qFormat/>
    <w:uiPriority w:val="0"/>
    <w:pPr>
      <w:widowControl w:val="0"/>
      <w:jc w:val="both"/>
    </w:pPr>
    <w:rPr>
      <w:rFonts w:ascii="Calibri" w:hAnsi="Calibri" w:eastAsia="宋体" w:cs="Times New Roman"/>
      <w:kern w:val="2"/>
      <w:lang w:val="en-US" w:eastAsia="zh-CN" w:bidi="ar-SA"/>
    </w:rPr>
  </w:style>
  <w:style w:type="paragraph" w:customStyle="1" w:styleId="10">
    <w:name w:val="正文5"/>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2307</Words>
  <Characters>2431</Characters>
  <TotalTime>58</TotalTime>
  <ScaleCrop>false</ScaleCrop>
  <LinksUpToDate>false</LinksUpToDate>
  <CharactersWithSpaces>2648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2022-08-11T01:07:00Z</dcterms:created>
  <dc:creator>XIONG</dc:creator>
  <cp:lastModifiedBy>Zhaoyj</cp:lastModifiedBy>
  <cp:lastPrinted>2022-09-29T09:35:00Z</cp:lastPrinted>
  <dcterms:modified xsi:type="dcterms:W3CDTF">2024-08-29T02:44:34Z</dcterms:modified>
  <dc:title>证券代码：300327                      证券简称：中颖电子</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2022-07-12T00:00:00Z</vt:filetime>
  </property>
  <property fmtid="{D5CDD505-2E9C-101B-9397-08002B2CF9AE}" pid="3" name="Creator">
    <vt:lpwstr>Microsoft® Word 2010</vt:lpwstr>
  </property>
  <property fmtid="{D5CDD505-2E9C-101B-9397-08002B2CF9AE}" pid="4" name="LastSaved">
    <vt:filetime>2022-08-11T00:00:00Z</vt:filetime>
  </property>
  <property fmtid="{D5CDD505-2E9C-101B-9397-08002B2CF9AE}" pid="5" name="KSOProductBuildVer">
    <vt:lpwstr>2052-12.1.0.17827</vt:lpwstr>
  </property>
  <property fmtid="{D5CDD505-2E9C-101B-9397-08002B2CF9AE}" pid="6" name="ICV">
    <vt:lpwstr>F8F3C6DDACB64275B8DF24E026CEFCDD_13</vt:lpwstr>
  </property>
</Properties>
</file>