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F3120">
      <w:pPr>
        <w:spacing w:before="156" w:beforeLines="50" w:after="156" w:afterLines="50" w:line="400" w:lineRule="exact"/>
        <w:ind w:firstLine="0" w:firstLineChars="0"/>
        <w:rPr>
          <w:bCs/>
          <w:iCs/>
          <w:color w:val="000000"/>
          <w:szCs w:val="22"/>
        </w:rPr>
      </w:pPr>
      <w:r>
        <w:rPr>
          <w:bCs/>
          <w:iCs/>
          <w:color w:val="000000"/>
          <w:szCs w:val="22"/>
        </w:rPr>
        <w:t>证券代码：688273                                     证券简称：麦澜德</w:t>
      </w:r>
    </w:p>
    <w:p w14:paraId="08233009">
      <w:pPr>
        <w:ind w:firstLine="0" w:firstLineChars="0"/>
        <w:jc w:val="center"/>
        <w:rPr>
          <w:b/>
          <w:bCs/>
          <w:iCs/>
          <w:color w:val="000000"/>
        </w:rPr>
      </w:pPr>
      <w:r>
        <w:rPr>
          <w:b/>
          <w:bCs/>
          <w:iCs/>
          <w:color w:val="000000"/>
          <w:sz w:val="28"/>
          <w:szCs w:val="28"/>
        </w:rPr>
        <w:t>南京麦澜德医疗科技股份有限公司投资者关系活动记录表</w:t>
      </w:r>
    </w:p>
    <w:p w14:paraId="37C8C1E6">
      <w:pPr>
        <w:ind w:firstLine="0" w:firstLineChars="0"/>
        <w:jc w:val="center"/>
        <w:rPr>
          <w:b/>
          <w:bCs/>
          <w:iCs/>
          <w:color w:val="000000"/>
        </w:rPr>
      </w:pPr>
      <w:r>
        <w:rPr>
          <w:b/>
          <w:bCs/>
          <w:iCs/>
          <w:color w:val="000000"/>
        </w:rPr>
        <w:t>（2024年8月2</w:t>
      </w:r>
      <w:r>
        <w:rPr>
          <w:rFonts w:hint="default"/>
          <w:b/>
          <w:bCs/>
          <w:iCs/>
          <w:color w:val="000000"/>
          <w:lang w:val="en-US" w:eastAsia="zh-CN"/>
        </w:rPr>
        <w:t>7</w:t>
      </w:r>
      <w:r>
        <w:rPr>
          <w:b/>
          <w:bCs/>
          <w:iCs/>
          <w:color w:val="000000"/>
        </w:rPr>
        <w:t>日）</w:t>
      </w:r>
    </w:p>
    <w:tbl>
      <w:tblPr>
        <w:tblStyle w:val="9"/>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025"/>
      </w:tblGrid>
      <w:tr w14:paraId="2257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EAC8490">
            <w:pPr>
              <w:spacing w:line="400" w:lineRule="exact"/>
              <w:ind w:firstLine="480"/>
              <w:rPr>
                <w:rFonts w:hint="default" w:ascii="Times New Roman" w:hAnsi="Times New Roman" w:cs="Times New Roman"/>
                <w:bCs/>
                <w:iCs/>
                <w:color w:val="000000"/>
              </w:rPr>
            </w:pPr>
            <w:r>
              <w:rPr>
                <w:rFonts w:hint="default" w:ascii="Times New Roman" w:hAnsi="Times New Roman" w:cs="Times New Roman"/>
                <w:bCs/>
                <w:iCs/>
                <w:color w:val="000000"/>
              </w:rPr>
              <w:t xml:space="preserve">                                                  投资者关系活动类别</w:t>
            </w:r>
          </w:p>
          <w:p w14:paraId="7E5132A9">
            <w:pPr>
              <w:ind w:firstLine="0" w:firstLineChars="0"/>
              <w:rPr>
                <w:rFonts w:hint="default" w:ascii="Times New Roman" w:hAnsi="Times New Roman" w:cs="Times New Roman"/>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159F8E70">
            <w:pPr>
              <w:spacing w:line="480" w:lineRule="atLeast"/>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52"/>
            </w:r>
            <w:r>
              <w:rPr>
                <w:rFonts w:hint="default" w:ascii="Times New Roman" w:hAnsi="Times New Roman" w:cs="Times New Roman"/>
              </w:rPr>
              <w:t xml:space="preserve">特定对象调研       </w:t>
            </w:r>
            <w:r>
              <w:rPr>
                <w:rFonts w:hint="default" w:ascii="Times New Roman" w:hAnsi="Times New Roman" w:cs="Times New Roman"/>
                <w:bCs/>
                <w:iCs/>
                <w:color w:val="000000"/>
              </w:rPr>
              <w:sym w:font="Wingdings 2" w:char="00A3"/>
            </w:r>
            <w:r>
              <w:rPr>
                <w:rFonts w:hint="default" w:ascii="Times New Roman" w:hAnsi="Times New Roman" w:cs="Times New Roman"/>
              </w:rPr>
              <w:t>分析师会议</w:t>
            </w:r>
          </w:p>
          <w:p w14:paraId="74031BEF">
            <w:pPr>
              <w:spacing w:line="480" w:lineRule="atLeast"/>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A3"/>
            </w:r>
            <w:r>
              <w:rPr>
                <w:rFonts w:hint="default" w:ascii="Times New Roman" w:hAnsi="Times New Roman" w:cs="Times New Roman"/>
              </w:rPr>
              <w:t xml:space="preserve">媒体采访            </w:t>
            </w:r>
            <w:r>
              <w:rPr>
                <w:rFonts w:hint="default" w:ascii="Times New Roman" w:hAnsi="Times New Roman" w:cs="Times New Roman"/>
                <w:bCs/>
                <w:iCs/>
                <w:color w:val="000000"/>
              </w:rPr>
              <w:sym w:font="Wingdings 2" w:char="00A3"/>
            </w:r>
            <w:r>
              <w:rPr>
                <w:rFonts w:hint="default" w:ascii="Times New Roman" w:hAnsi="Times New Roman" w:cs="Times New Roman"/>
              </w:rPr>
              <w:t>业绩说明会</w:t>
            </w:r>
          </w:p>
          <w:p w14:paraId="0D5AFCFB">
            <w:pPr>
              <w:spacing w:line="480" w:lineRule="atLeast"/>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A3"/>
            </w:r>
            <w:r>
              <w:rPr>
                <w:rFonts w:hint="default" w:ascii="Times New Roman" w:hAnsi="Times New Roman" w:cs="Times New Roman"/>
              </w:rPr>
              <w:t xml:space="preserve">新闻发布会          </w:t>
            </w:r>
            <w:r>
              <w:rPr>
                <w:rFonts w:hint="default" w:ascii="Times New Roman" w:hAnsi="Times New Roman" w:cs="Times New Roman"/>
                <w:bCs/>
                <w:iCs/>
                <w:color w:val="000000"/>
              </w:rPr>
              <w:sym w:font="Wingdings 2" w:char="00A3"/>
            </w:r>
            <w:r>
              <w:rPr>
                <w:rFonts w:hint="default" w:ascii="Times New Roman" w:hAnsi="Times New Roman" w:cs="Times New Roman"/>
              </w:rPr>
              <w:t>路演活动</w:t>
            </w:r>
          </w:p>
          <w:p w14:paraId="0AD70AB3">
            <w:pPr>
              <w:tabs>
                <w:tab w:val="left" w:pos="3045"/>
                <w:tab w:val="center" w:pos="3199"/>
              </w:tabs>
              <w:spacing w:line="480" w:lineRule="atLeast"/>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A3"/>
            </w:r>
            <w:r>
              <w:rPr>
                <w:rFonts w:hint="default" w:ascii="Times New Roman" w:hAnsi="Times New Roman" w:cs="Times New Roman"/>
              </w:rPr>
              <w:t>现场参观</w:t>
            </w:r>
            <w:r>
              <w:rPr>
                <w:rFonts w:hint="default" w:ascii="Times New Roman" w:hAnsi="Times New Roman" w:cs="Times New Roman"/>
                <w:bCs/>
                <w:iCs/>
                <w:color w:val="000000"/>
              </w:rPr>
              <w:tab/>
            </w:r>
          </w:p>
          <w:p w14:paraId="296AF1B3">
            <w:pPr>
              <w:tabs>
                <w:tab w:val="center" w:pos="3199"/>
              </w:tabs>
              <w:spacing w:line="480" w:lineRule="atLeast"/>
              <w:ind w:firstLine="0" w:firstLineChars="0"/>
              <w:rPr>
                <w:rFonts w:hint="default" w:ascii="Times New Roman" w:hAnsi="Times New Roman" w:cs="Times New Roman"/>
                <w:bCs/>
                <w:iCs/>
                <w:color w:val="000000"/>
                <w:u w:val="single"/>
              </w:rPr>
            </w:pPr>
            <w:r>
              <w:rPr>
                <w:rFonts w:hint="default" w:ascii="Times New Roman" w:hAnsi="Times New Roman" w:cs="Times New Roman"/>
                <w:bCs/>
                <w:iCs/>
                <w:color w:val="000000"/>
              </w:rPr>
              <w:sym w:font="Wingdings 2" w:char="00A3"/>
            </w:r>
            <w:r>
              <w:rPr>
                <w:rFonts w:hint="default" w:ascii="Times New Roman" w:hAnsi="Times New Roman" w:cs="Times New Roman"/>
              </w:rPr>
              <w:t xml:space="preserve">其他 </w:t>
            </w:r>
          </w:p>
        </w:tc>
      </w:tr>
      <w:tr w14:paraId="3E3B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4DA21F5">
            <w:pPr>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参与单位名称</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15751AD9">
            <w:pPr>
              <w:spacing w:line="480" w:lineRule="atLeast"/>
              <w:ind w:firstLine="0" w:firstLineChars="0"/>
              <w:rPr>
                <w:rFonts w:hint="default" w:ascii="Times New Roman" w:hAnsi="Times New Roman" w:cs="Times New Roman"/>
              </w:rPr>
            </w:pPr>
            <w:r>
              <w:rPr>
                <w:rFonts w:hint="default" w:ascii="Times New Roman" w:hAnsi="Times New Roman" w:cs="Times New Roman"/>
              </w:rPr>
              <w:t>共6家机构，7位参与人员</w:t>
            </w:r>
            <w:r>
              <w:rPr>
                <w:rFonts w:hint="default" w:ascii="Times New Roman" w:hAnsi="Times New Roman" w:cs="Times New Roman"/>
              </w:rPr>
              <w:br w:type="textWrapping"/>
            </w:r>
            <w:r>
              <w:rPr>
                <w:rFonts w:hint="default" w:ascii="Times New Roman" w:hAnsi="Times New Roman" w:cs="Times New Roman"/>
              </w:rPr>
              <w:t>国泰基金、中庚基金、嘉实基金、上投摩根、东吴证券、中信建投证券</w:t>
            </w:r>
          </w:p>
        </w:tc>
      </w:tr>
      <w:tr w14:paraId="7FCB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87E28C1">
            <w:pPr>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时间</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DE0B705">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2024年8月26日、2024年8月27日</w:t>
            </w:r>
          </w:p>
        </w:tc>
      </w:tr>
      <w:tr w14:paraId="7B9F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5698A05">
            <w:pPr>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地点（形式）</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8FE2501">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rPr>
              <w:t>腾讯会议</w:t>
            </w:r>
          </w:p>
        </w:tc>
      </w:tr>
      <w:tr w14:paraId="4A02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53DDE4C">
            <w:pPr>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上市公司接待人员姓名</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347EECF4">
            <w:pPr>
              <w:spacing w:line="480" w:lineRule="atLeast"/>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副总经理、董事会秘书  陈江宁</w:t>
            </w:r>
          </w:p>
          <w:p w14:paraId="6B70CB05">
            <w:pPr>
              <w:spacing w:line="480" w:lineRule="atLeast"/>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投资总监  焦靖</w:t>
            </w:r>
          </w:p>
          <w:p w14:paraId="6FD345B9">
            <w:pPr>
              <w:spacing w:line="480" w:lineRule="atLeast"/>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证券代表  倪清清</w:t>
            </w:r>
          </w:p>
        </w:tc>
      </w:tr>
      <w:tr w14:paraId="13B8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B777FE3">
            <w:pPr>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投资者关系活动主要内容介绍</w:t>
            </w:r>
          </w:p>
          <w:p w14:paraId="55A5C2BE">
            <w:pPr>
              <w:ind w:firstLine="0" w:firstLineChars="0"/>
              <w:rPr>
                <w:rFonts w:hint="default" w:ascii="Times New Roman" w:hAnsi="Times New Roman" w:cs="Times New Roman"/>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C0053F7">
            <w:pPr>
              <w:spacing w:line="480" w:lineRule="atLeast"/>
              <w:ind w:firstLine="482"/>
              <w:rPr>
                <w:rFonts w:hint="default" w:ascii="Times New Roman" w:hAnsi="Times New Roman" w:cs="Times New Roman"/>
                <w:b/>
                <w:iCs/>
              </w:rPr>
            </w:pPr>
            <w:r>
              <w:rPr>
                <w:rFonts w:hint="default" w:ascii="Times New Roman" w:hAnsi="Times New Roman" w:cs="Times New Roman"/>
                <w:b/>
                <w:iCs/>
              </w:rPr>
              <w:t>一、2024年上半年公司业绩概况</w:t>
            </w:r>
          </w:p>
          <w:p w14:paraId="036C5A79">
            <w:pPr>
              <w:spacing w:line="480" w:lineRule="atLeast"/>
              <w:ind w:firstLine="480"/>
              <w:rPr>
                <w:rFonts w:hint="default" w:ascii="Times New Roman" w:hAnsi="Times New Roman" w:cs="Times New Roman"/>
                <w:bCs/>
                <w:iCs/>
              </w:rPr>
            </w:pPr>
            <w:r>
              <w:rPr>
                <w:rFonts w:hint="default" w:ascii="Times New Roman" w:hAnsi="Times New Roman" w:cs="Times New Roman"/>
                <w:bCs/>
                <w:iCs/>
              </w:rPr>
              <w:t>公司于2024年8月22日披露了2024年半年度报告。</w:t>
            </w:r>
          </w:p>
          <w:p w14:paraId="436AAB56">
            <w:pPr>
              <w:spacing w:line="480" w:lineRule="atLeast"/>
              <w:ind w:firstLine="480"/>
              <w:rPr>
                <w:rFonts w:hint="default" w:ascii="Times New Roman" w:hAnsi="Times New Roman" w:cs="Times New Roman"/>
                <w:b/>
                <w:iCs/>
              </w:rPr>
            </w:pPr>
            <w:r>
              <w:rPr>
                <w:rFonts w:hint="default" w:ascii="Times New Roman" w:hAnsi="Times New Roman" w:cs="Times New Roman"/>
                <w:bCs/>
                <w:iCs/>
              </w:rPr>
              <w:t>2024年上半年，公司经营业绩营利双增，企稳向好。报告期内，公司实现营业收入2.28亿元，同比增长11.73%；归母净利润7,260.67万元，同比增长23.39%；扣非后归母净利润6,605.90万元，同比增长32.81%；研发投入2,641.79万元，</w:t>
            </w:r>
            <w:r>
              <w:rPr>
                <w:rFonts w:hint="default" w:ascii="Times New Roman" w:hAnsi="Times New Roman" w:eastAsia="瀹嬩綋" w:cs="Times New Roman"/>
                <w:bCs/>
                <w:color w:val="000000"/>
                <w:szCs w:val="21"/>
              </w:rPr>
              <w:t>占当期营业收入的</w:t>
            </w:r>
            <w:r>
              <w:rPr>
                <w:rFonts w:hint="default" w:ascii="Times New Roman" w:hAnsi="Times New Roman" w:cs="Times New Roman"/>
                <w:bCs/>
                <w:color w:val="000000"/>
                <w:szCs w:val="21"/>
              </w:rPr>
              <w:t>11.57%</w:t>
            </w:r>
            <w:r>
              <w:rPr>
                <w:rFonts w:hint="default" w:ascii="Times New Roman" w:hAnsi="Times New Roman" w:cs="Times New Roman"/>
                <w:bCs/>
                <w:iCs/>
              </w:rPr>
              <w:t>。截至2024年6月30日，公司总资产15.39亿元，归属于上市公司股东的净资产13.45亿元。经营情况稳中有升，符合预期。</w:t>
            </w:r>
          </w:p>
          <w:p w14:paraId="6ABD4725">
            <w:pPr>
              <w:spacing w:line="480" w:lineRule="atLeast"/>
              <w:ind w:firstLine="482"/>
              <w:rPr>
                <w:rFonts w:hint="default" w:ascii="Times New Roman" w:hAnsi="Times New Roman" w:cs="Times New Roman"/>
                <w:b/>
                <w:iCs/>
              </w:rPr>
            </w:pPr>
            <w:r>
              <w:rPr>
                <w:rFonts w:hint="default" w:ascii="Times New Roman" w:hAnsi="Times New Roman" w:cs="Times New Roman"/>
                <w:b/>
                <w:iCs/>
              </w:rPr>
              <w:t>二、提问交流</w:t>
            </w:r>
          </w:p>
          <w:p w14:paraId="022E2CCE">
            <w:pPr>
              <w:spacing w:line="480" w:lineRule="atLeast"/>
              <w:ind w:firstLine="482"/>
              <w:rPr>
                <w:rFonts w:hint="default" w:ascii="Times New Roman" w:hAnsi="Times New Roman" w:cs="Times New Roman"/>
                <w:b/>
                <w:iCs/>
              </w:rPr>
            </w:pPr>
            <w:r>
              <w:rPr>
                <w:rFonts w:hint="default" w:ascii="Times New Roman" w:hAnsi="Times New Roman" w:cs="Times New Roman"/>
                <w:b/>
                <w:iCs/>
              </w:rPr>
              <w:t>Q1：公司2024年上半年</w:t>
            </w:r>
            <w:r>
              <w:rPr>
                <w:rFonts w:hint="default" w:ascii="Times New Roman" w:hAnsi="Times New Roman" w:cs="Times New Roman"/>
                <w:b/>
              </w:rPr>
              <w:t>生殖康复和抗衰产品线</w:t>
            </w:r>
            <w:r>
              <w:rPr>
                <w:rFonts w:hint="default" w:ascii="Times New Roman" w:hAnsi="Times New Roman" w:cs="Times New Roman"/>
                <w:b/>
                <w:iCs/>
              </w:rPr>
              <w:t>业务增长明显，未来前景如何？</w:t>
            </w:r>
          </w:p>
          <w:p w14:paraId="40954B86">
            <w:pPr>
              <w:spacing w:line="480" w:lineRule="atLeast"/>
              <w:ind w:firstLine="480"/>
              <w:rPr>
                <w:rFonts w:hint="default" w:ascii="Times New Roman" w:hAnsi="Times New Roman" w:cs="Times New Roman"/>
              </w:rPr>
            </w:pPr>
            <w:r>
              <w:rPr>
                <w:rFonts w:hint="default" w:ascii="Times New Roman" w:hAnsi="Times New Roman" w:cs="Times New Roman"/>
                <w:bCs/>
                <w:iCs/>
              </w:rPr>
              <w:t>公司生殖康复和抗衰产品线</w:t>
            </w:r>
            <w:r>
              <w:rPr>
                <w:rFonts w:hint="default" w:ascii="Times New Roman" w:hAnsi="Times New Roman" w:cs="Times New Roman"/>
              </w:rPr>
              <w:t>主要针对人流术后、宫腔术后、不孕不育、卵巢功能早衰的辅助治疗及皮肤检测等，主要产品包括生物刺激反馈仪、高频评估电灼仪、超声波子宫复旧仪、电超声治疗仪、美际3D皮肤分析仪、便携式手持测肤仪等。</w:t>
            </w:r>
          </w:p>
          <w:p w14:paraId="027BB2A9">
            <w:pPr>
              <w:spacing w:line="480" w:lineRule="atLeast"/>
              <w:ind w:firstLine="480"/>
              <w:rPr>
                <w:rFonts w:hint="default" w:ascii="Times New Roman" w:hAnsi="Times New Roman" w:cs="Times New Roman"/>
                <w:bCs/>
              </w:rPr>
            </w:pPr>
            <w:r>
              <w:rPr>
                <w:rFonts w:hint="default" w:ascii="Times New Roman" w:hAnsi="Times New Roman" w:cs="Times New Roman"/>
                <w:bCs/>
                <w:iCs/>
              </w:rPr>
              <w:t>市场覆盖与增长潜力方面，生殖康复和抗衰产品不仅应用于医院的妇科、产科</w:t>
            </w:r>
            <w:r>
              <w:rPr>
                <w:rFonts w:hint="default" w:ascii="Times New Roman" w:hAnsi="Times New Roman" w:cs="Times New Roman"/>
                <w:bCs/>
                <w:iCs/>
                <w:lang w:eastAsia="zh-CN"/>
              </w:rPr>
              <w:t>、</w:t>
            </w:r>
            <w:r>
              <w:rPr>
                <w:rFonts w:hint="default" w:ascii="Times New Roman" w:hAnsi="Times New Roman" w:cs="Times New Roman"/>
                <w:bCs/>
                <w:iCs/>
              </w:rPr>
              <w:t>生殖中心，还拓展至医疗美容机构，</w:t>
            </w:r>
            <w:r>
              <w:rPr>
                <w:rFonts w:hint="default" w:ascii="Times New Roman" w:hAnsi="Times New Roman" w:cs="Times New Roman"/>
                <w:bCs/>
              </w:rPr>
              <w:t>为传统医疗美容机构提供转型升级的解决方案。目前公司已构建起女性生殖抗衰诊疗的循环生态链，赢得了市场的广泛认可。</w:t>
            </w:r>
          </w:p>
          <w:p w14:paraId="07950853">
            <w:pPr>
              <w:spacing w:line="480" w:lineRule="atLeast"/>
              <w:ind w:firstLine="480"/>
              <w:rPr>
                <w:rFonts w:hint="default" w:ascii="Times New Roman" w:hAnsi="Times New Roman" w:cs="Times New Roman"/>
                <w:bCs/>
                <w:iCs/>
              </w:rPr>
            </w:pPr>
            <w:r>
              <w:rPr>
                <w:rFonts w:hint="default" w:ascii="Times New Roman" w:hAnsi="Times New Roman" w:cs="Times New Roman"/>
                <w:bCs/>
                <w:iCs/>
              </w:rPr>
              <w:t>产品线布局和未来增长点方面，通过收购奥通激光和小肤科技，公司进一步</w:t>
            </w:r>
            <w:r>
              <w:rPr>
                <w:rFonts w:hint="default" w:ascii="Times New Roman" w:hAnsi="Times New Roman" w:cs="Times New Roman"/>
                <w:bCs/>
                <w:iCs/>
                <w:lang w:val="en-US" w:eastAsia="zh-CN"/>
              </w:rPr>
              <w:t>拓展至</w:t>
            </w:r>
            <w:r>
              <w:rPr>
                <w:rFonts w:hint="default" w:ascii="Times New Roman" w:hAnsi="Times New Roman" w:cs="Times New Roman"/>
                <w:bCs/>
                <w:iCs/>
              </w:rPr>
              <w:t>皮肤检测与治疗</w:t>
            </w:r>
            <w:r>
              <w:rPr>
                <w:rFonts w:hint="default" w:ascii="Times New Roman" w:hAnsi="Times New Roman" w:cs="Times New Roman"/>
                <w:bCs/>
                <w:iCs/>
                <w:lang w:val="en-US" w:eastAsia="zh-CN"/>
              </w:rPr>
              <w:t>的领域</w:t>
            </w:r>
            <w:r>
              <w:rPr>
                <w:rFonts w:hint="default" w:ascii="Times New Roman" w:hAnsi="Times New Roman" w:cs="Times New Roman"/>
                <w:bCs/>
                <w:iCs/>
              </w:rPr>
              <w:t>。公司将投入部分研发资源，完善升级相关产品，以期尽快</w:t>
            </w:r>
            <w:r>
              <w:rPr>
                <w:rFonts w:hint="default" w:ascii="Times New Roman" w:hAnsi="Times New Roman" w:cs="Times New Roman"/>
                <w:bCs/>
                <w:iCs/>
                <w:lang w:val="en-US" w:eastAsia="zh-CN"/>
              </w:rPr>
              <w:t>推动产品上市。</w:t>
            </w:r>
            <w:r>
              <w:rPr>
                <w:rFonts w:hint="default" w:ascii="Times New Roman" w:hAnsi="Times New Roman" w:cs="Times New Roman"/>
                <w:bCs/>
                <w:iCs/>
              </w:rPr>
              <w:t>公司基于多年对盆底疾病</w:t>
            </w:r>
            <w:r>
              <w:rPr>
                <w:rFonts w:hint="default" w:ascii="Times New Roman" w:hAnsi="Times New Roman" w:cs="Times New Roman"/>
                <w:bCs/>
                <w:iCs/>
                <w:lang w:val="en-US" w:eastAsia="zh-CN"/>
              </w:rPr>
              <w:t>诊疗模式的深入</w:t>
            </w:r>
            <w:r>
              <w:rPr>
                <w:rFonts w:hint="default" w:ascii="Times New Roman" w:hAnsi="Times New Roman" w:cs="Times New Roman"/>
                <w:bCs/>
                <w:iCs/>
              </w:rPr>
              <w:t>理解</w:t>
            </w:r>
            <w:r>
              <w:rPr>
                <w:rFonts w:hint="default" w:ascii="Times New Roman" w:hAnsi="Times New Roman" w:cs="Times New Roman"/>
                <w:bCs/>
                <w:iCs/>
                <w:lang w:val="en-US" w:eastAsia="zh-CN"/>
              </w:rPr>
              <w:t>和成功经验</w:t>
            </w:r>
            <w:r>
              <w:rPr>
                <w:rFonts w:hint="default" w:ascii="Times New Roman" w:hAnsi="Times New Roman" w:cs="Times New Roman"/>
                <w:bCs/>
                <w:iCs/>
              </w:rPr>
              <w:t>，为用户提供全新概念的由内而外“检测+治疗”一体化抗衰</w:t>
            </w:r>
            <w:r>
              <w:rPr>
                <w:rFonts w:hint="default" w:ascii="Times New Roman" w:hAnsi="Times New Roman" w:cs="Times New Roman"/>
                <w:bCs/>
                <w:iCs/>
                <w:lang w:val="en-US" w:eastAsia="zh-CN"/>
              </w:rPr>
              <w:t>的</w:t>
            </w:r>
            <w:r>
              <w:rPr>
                <w:rFonts w:hint="default" w:ascii="Times New Roman" w:hAnsi="Times New Roman" w:cs="Times New Roman"/>
                <w:bCs/>
                <w:iCs/>
              </w:rPr>
              <w:t>解决方案，重塑女性生殖内环境及</w:t>
            </w:r>
            <w:r>
              <w:rPr>
                <w:rFonts w:hint="default" w:ascii="Times New Roman" w:hAnsi="Times New Roman" w:cs="Times New Roman"/>
                <w:bCs/>
                <w:iCs/>
                <w:lang w:val="en-US" w:eastAsia="zh-CN"/>
              </w:rPr>
              <w:t>结构、功能的年轻态</w:t>
            </w:r>
            <w:r>
              <w:rPr>
                <w:rFonts w:hint="default" w:ascii="Times New Roman" w:hAnsi="Times New Roman" w:cs="Times New Roman"/>
                <w:bCs/>
                <w:iCs/>
              </w:rPr>
              <w:t>，进而实现私密抗衰、生殖抗衰、皮肤抗衰的效果。</w:t>
            </w:r>
          </w:p>
          <w:p w14:paraId="76D35099">
            <w:pPr>
              <w:spacing w:line="480" w:lineRule="atLeast"/>
              <w:ind w:firstLine="482"/>
              <w:rPr>
                <w:rFonts w:hint="default" w:ascii="Times New Roman" w:hAnsi="Times New Roman" w:cs="Times New Roman"/>
                <w:b/>
                <w:iCs/>
              </w:rPr>
            </w:pPr>
            <w:r>
              <w:rPr>
                <w:rFonts w:hint="default" w:ascii="Times New Roman" w:hAnsi="Times New Roman" w:cs="Times New Roman"/>
                <w:b/>
                <w:iCs/>
              </w:rPr>
              <w:t>Q2：随着生殖康复和抗衰板块持续增长，内部资源如何分配？</w:t>
            </w:r>
          </w:p>
          <w:p w14:paraId="2CFA1C4E">
            <w:pPr>
              <w:spacing w:line="480" w:lineRule="atLeast"/>
              <w:ind w:firstLine="482"/>
              <w:rPr>
                <w:rFonts w:hint="default" w:ascii="Times New Roman" w:hAnsi="Times New Roman" w:cs="Times New Roman"/>
                <w:bCs/>
                <w:iCs/>
              </w:rPr>
            </w:pPr>
            <w:r>
              <w:rPr>
                <w:rFonts w:hint="default" w:ascii="Times New Roman" w:hAnsi="Times New Roman" w:cs="Times New Roman"/>
                <w:b/>
                <w:iCs/>
                <w:color w:val="000000"/>
              </w:rPr>
              <w:t>答：</w:t>
            </w:r>
            <w:r>
              <w:rPr>
                <w:rFonts w:hint="default" w:ascii="Times New Roman" w:hAnsi="Times New Roman" w:cs="Times New Roman"/>
                <w:bCs/>
                <w:iCs/>
                <w:color w:val="000000"/>
              </w:rPr>
              <w:t>技术研发方面，经过公司十余年的底层技术开发沉淀和细分场景经验洞察，麦澜德已具备</w:t>
            </w:r>
            <w:r>
              <w:rPr>
                <w:rFonts w:hint="default" w:ascii="Times New Roman" w:hAnsi="Times New Roman" w:cs="Times New Roman"/>
                <w:bCs/>
                <w:iCs/>
              </w:rPr>
              <w:t>声、光、电、热、磁等关键核心技术积累及丰富的诊疗一体化产品解决方案，盆底与生殖板块的底层技术相通。以盆底为基石，根据生殖抗衰产品管线的特点，将底层技术运用到不同的系列产品开发上，后续研发投入较为稳定。</w:t>
            </w:r>
          </w:p>
          <w:p w14:paraId="10D1AD8A">
            <w:pPr>
              <w:spacing w:line="480" w:lineRule="atLeast"/>
              <w:ind w:firstLine="480"/>
              <w:rPr>
                <w:rFonts w:hint="default" w:ascii="Times New Roman" w:hAnsi="Times New Roman" w:cs="Times New Roman"/>
                <w:bCs/>
                <w:iCs/>
              </w:rPr>
            </w:pPr>
            <w:r>
              <w:rPr>
                <w:rFonts w:hint="default" w:ascii="Times New Roman" w:hAnsi="Times New Roman" w:cs="Times New Roman"/>
                <w:bCs/>
                <w:iCs/>
              </w:rPr>
              <w:t>人员配置方面，公司搭建了独立的生殖抗衰的营销队伍，</w:t>
            </w:r>
            <w:r>
              <w:rPr>
                <w:rFonts w:hint="default" w:ascii="Times New Roman" w:hAnsi="Times New Roman" w:cs="Times New Roman"/>
                <w:bCs/>
                <w:iCs/>
                <w:lang w:val="en-US" w:eastAsia="zh-CN"/>
              </w:rPr>
              <w:t>目前</w:t>
            </w:r>
            <w:r>
              <w:rPr>
                <w:rFonts w:hint="default" w:ascii="Times New Roman" w:hAnsi="Times New Roman" w:cs="Times New Roman"/>
                <w:bCs/>
                <w:iCs/>
              </w:rPr>
              <w:t>采用直销为主的销售模式，通过销售、运营、医学、产品及市场深度绑定，权责明确，统一目标推进生殖康复和抗衰产品市场布局。</w:t>
            </w:r>
          </w:p>
          <w:p w14:paraId="528F8EB1">
            <w:pPr>
              <w:spacing w:line="480" w:lineRule="atLeast"/>
              <w:ind w:firstLine="482"/>
              <w:rPr>
                <w:rFonts w:hint="default" w:ascii="Times New Roman" w:hAnsi="Times New Roman" w:cs="Times New Roman"/>
                <w:b/>
                <w:iCs/>
                <w:highlight w:val="none"/>
              </w:rPr>
            </w:pPr>
            <w:r>
              <w:rPr>
                <w:rFonts w:hint="default" w:ascii="Times New Roman" w:hAnsi="Times New Roman" w:cs="Times New Roman"/>
                <w:b/>
                <w:iCs/>
                <w:highlight w:val="none"/>
              </w:rPr>
              <w:t>Q3：公司2024年新产品上市的进程如何？</w:t>
            </w:r>
          </w:p>
          <w:p w14:paraId="59514F8B">
            <w:pPr>
              <w:spacing w:line="480" w:lineRule="atLeast"/>
              <w:ind w:firstLine="482"/>
              <w:rPr>
                <w:rFonts w:hint="default" w:ascii="Times New Roman" w:hAnsi="Times New Roman" w:cs="Times New Roman"/>
                <w:bCs/>
                <w:iCs/>
                <w:color w:val="000000"/>
              </w:rPr>
            </w:pPr>
            <w:r>
              <w:rPr>
                <w:rFonts w:hint="default" w:ascii="Times New Roman" w:hAnsi="Times New Roman" w:cs="Times New Roman"/>
                <w:b/>
                <w:iCs/>
                <w:color w:val="000000"/>
              </w:rPr>
              <w:t>答：</w:t>
            </w:r>
            <w:r>
              <w:rPr>
                <w:rFonts w:hint="default" w:ascii="Times New Roman" w:hAnsi="Times New Roman" w:cs="Times New Roman"/>
                <w:bCs/>
                <w:iCs/>
                <w:color w:val="000000"/>
                <w:lang w:val="en-US" w:eastAsia="zh-CN"/>
              </w:rPr>
              <w:t>基于多年对于盆底诊疗模式的成功经验</w:t>
            </w:r>
            <w:r>
              <w:rPr>
                <w:rFonts w:hint="default" w:ascii="Times New Roman" w:hAnsi="Times New Roman" w:eastAsia="宋体" w:cs="Times New Roman"/>
                <w:sz w:val="24"/>
                <w:szCs w:val="24"/>
              </w:rPr>
              <w:t>，联合公司盆底超声、盆底肌电评估以及磁电热</w:t>
            </w:r>
            <w:r>
              <w:rPr>
                <w:rFonts w:hint="default" w:ascii="Times New Roman" w:hAnsi="Times New Roman" w:cs="Times New Roman"/>
                <w:sz w:val="24"/>
                <w:szCs w:val="24"/>
                <w:lang w:val="en-US" w:eastAsia="zh-CN"/>
              </w:rPr>
              <w:t>等</w:t>
            </w:r>
            <w:r>
              <w:rPr>
                <w:rFonts w:hint="default" w:ascii="Times New Roman" w:hAnsi="Times New Roman" w:eastAsia="宋体" w:cs="Times New Roman"/>
                <w:sz w:val="24"/>
                <w:szCs w:val="24"/>
              </w:rPr>
              <w:t>治疗技术，</w:t>
            </w:r>
            <w:r>
              <w:rPr>
                <w:rFonts w:hint="default" w:ascii="Times New Roman" w:hAnsi="Times New Roman" w:cs="Times New Roman"/>
                <w:bCs/>
                <w:iCs/>
                <w:color w:val="000000"/>
              </w:rPr>
              <w:t>2024年3月</w:t>
            </w:r>
            <w:r>
              <w:rPr>
                <w:rFonts w:hint="default" w:ascii="Times New Roman" w:hAnsi="Times New Roman" w:cs="Times New Roman"/>
                <w:bCs/>
                <w:iCs/>
                <w:color w:val="000000"/>
                <w:lang w:val="en-US" w:eastAsia="zh-CN"/>
              </w:rPr>
              <w:t>麦澜德发布了</w:t>
            </w:r>
            <w:r>
              <w:rPr>
                <w:rFonts w:hint="default" w:ascii="Times New Roman" w:hAnsi="Times New Roman" w:eastAsia="宋体" w:cs="Times New Roman"/>
                <w:sz w:val="24"/>
                <w:szCs w:val="24"/>
              </w:rPr>
              <w:t>盆底智能诊疗PI-ONE系统，涵盖盆底康复线的3个新产品：二代盆底生物刺激反馈仪、盆底超声影像系统、全新系列磁刺激仪，达成盆底康复诊疗完整闭环。PI-ONE系统围绕着盆底智能化诊疗，在评估技术、基础算法、多维物理治疗等方面均取得了一系列突破，引领盆底行业从传统诊疗模式向精准化、智能化诊疗方向发展。</w:t>
            </w:r>
          </w:p>
          <w:p w14:paraId="278D300F">
            <w:pPr>
              <w:spacing w:line="480" w:lineRule="atLeast"/>
              <w:ind w:firstLine="480"/>
              <w:rPr>
                <w:rFonts w:hint="default" w:ascii="Times New Roman" w:hAnsi="Times New Roman" w:cs="Times New Roman"/>
                <w:bCs/>
                <w:iCs/>
              </w:rPr>
            </w:pPr>
            <w:r>
              <w:rPr>
                <w:rFonts w:hint="default" w:ascii="Times New Roman" w:hAnsi="Times New Roman" w:cs="Times New Roman"/>
                <w:bCs/>
                <w:iCs/>
                <w:color w:val="000000"/>
              </w:rPr>
              <w:t>目前新产品按照既定策略有计划、分节奏地进行市场推广布局</w:t>
            </w:r>
            <w:r>
              <w:rPr>
                <w:rFonts w:hint="default" w:ascii="Times New Roman" w:hAnsi="Times New Roman" w:cs="Times New Roman"/>
                <w:b/>
                <w:iCs/>
              </w:rPr>
              <w:t>，</w:t>
            </w:r>
            <w:r>
              <w:rPr>
                <w:rFonts w:hint="default" w:ascii="Times New Roman" w:hAnsi="Times New Roman" w:cs="Times New Roman"/>
                <w:bCs/>
                <w:iCs/>
                <w:color w:val="000000"/>
              </w:rPr>
              <w:t>目前已有部分医院完成销售，从上半年市场反馈情况来看，基本符合公司分阶段计划预期。</w:t>
            </w:r>
          </w:p>
          <w:p w14:paraId="55924415">
            <w:pPr>
              <w:spacing w:line="480" w:lineRule="atLeast"/>
              <w:ind w:firstLine="482"/>
              <w:rPr>
                <w:rFonts w:hint="default" w:ascii="Times New Roman" w:hAnsi="Times New Roman" w:cs="Times New Roman"/>
                <w:b/>
                <w:iCs/>
              </w:rPr>
            </w:pPr>
            <w:r>
              <w:rPr>
                <w:rFonts w:hint="default" w:ascii="Times New Roman" w:hAnsi="Times New Roman" w:cs="Times New Roman"/>
                <w:b/>
                <w:iCs/>
              </w:rPr>
              <w:t>Q4：公司未来2-3年的收入结构是否有调整？如何看待各产品线的增长趋势？</w:t>
            </w:r>
          </w:p>
          <w:p w14:paraId="3ABFD1B3">
            <w:pPr>
              <w:spacing w:line="480" w:lineRule="atLeast"/>
              <w:ind w:firstLine="482"/>
              <w:rPr>
                <w:rFonts w:hint="default" w:ascii="Times New Roman" w:hAnsi="Times New Roman" w:cs="Times New Roman"/>
                <w:b/>
                <w:iCs/>
              </w:rPr>
            </w:pPr>
            <w:r>
              <w:rPr>
                <w:rFonts w:hint="default" w:ascii="Times New Roman" w:hAnsi="Times New Roman" w:cs="Times New Roman"/>
                <w:b/>
                <w:iCs/>
              </w:rPr>
              <w:t>答：</w:t>
            </w:r>
            <w:r>
              <w:rPr>
                <w:rFonts w:hint="default" w:ascii="Times New Roman" w:hAnsi="Times New Roman" w:cs="Times New Roman"/>
                <w:bCs/>
                <w:iCs/>
              </w:rPr>
              <w:t>公司收入结构依然主要集中在盆底及妇产康复、生殖康复和抗衰、运动康复、耗材四大产品线。盆底及妇产康复作为基本盘，将通过产品迭代创新满足市场需求的变化，预计该产品线将保持稳定低速增长；生殖康复和抗衰产品线作为近两年增长较快的板块，公司将通过继续加大机构覆盖率和适时推出新产品以追求持续较快增长。2024年，公司秉持着“焕新启航、重塑增长”的发展策略，继续加强产品研发创新、市场营销力度以及内部经营管理，致力于提升公司的可持续盈利能力；同时，结合国家政策导向和市场需求增长点，努力改善和提高经营效率来实现稳健的业绩发展。</w:t>
            </w:r>
          </w:p>
          <w:p w14:paraId="01C4B386">
            <w:pPr>
              <w:spacing w:line="480" w:lineRule="atLeast"/>
              <w:ind w:firstLine="482"/>
              <w:rPr>
                <w:rFonts w:hint="default" w:ascii="Times New Roman" w:hAnsi="Times New Roman" w:cs="Times New Roman"/>
                <w:b/>
                <w:iCs/>
              </w:rPr>
            </w:pPr>
            <w:r>
              <w:rPr>
                <w:rFonts w:hint="default" w:ascii="Times New Roman" w:hAnsi="Times New Roman" w:cs="Times New Roman"/>
                <w:b/>
                <w:iCs/>
              </w:rPr>
              <w:t>Q5：当前人口出生率下降对盆底板块影响有多大？生殖板块是否会成为公司主要的增长点？</w:t>
            </w:r>
          </w:p>
          <w:p w14:paraId="72AB0302">
            <w:pPr>
              <w:spacing w:line="480" w:lineRule="atLeast"/>
              <w:ind w:firstLine="482"/>
              <w:rPr>
                <w:rFonts w:hint="default" w:ascii="Times New Roman" w:hAnsi="Times New Roman" w:cs="Times New Roman"/>
                <w:bCs/>
                <w:iCs/>
                <w:color w:val="000000"/>
              </w:rPr>
            </w:pPr>
            <w:r>
              <w:rPr>
                <w:rFonts w:hint="default" w:ascii="Times New Roman" w:hAnsi="Times New Roman" w:cs="Times New Roman"/>
                <w:b/>
                <w:iCs/>
              </w:rPr>
              <w:t>答：</w:t>
            </w:r>
            <w:r>
              <w:rPr>
                <w:rFonts w:hint="default" w:ascii="Times New Roman" w:hAnsi="Times New Roman" w:cs="Times New Roman"/>
                <w:bCs/>
                <w:iCs/>
              </w:rPr>
              <w:t>公司盆底康复客户群体分布在院内市场和院外市场，其中院内板块业务占比约85%以上。院外市场的客户群体主要为产后人群，受生育率影响，院外市场的经营业绩下滑较为明显。但除产后人群外，公司主要客户为在院内接受盆底功能障碍性疾病(pelvic floor dysfunction，PFD)诊疗的患病人群。随着全球老龄化现象的日趋严重、居民经济生活水平的不断提高以及健康意识的逐渐增强，80后、90后女性主动筛查、治疗PFD的人数逐年增多，相关医疗服务覆盖的人群呈明显递增趋势。公司持续立足盆底及妇产康复，于2024年3月上市</w:t>
            </w:r>
            <w:r>
              <w:rPr>
                <w:rFonts w:hint="default" w:ascii="Times New Roman" w:hAnsi="Times New Roman" w:cs="Times New Roman"/>
                <w:bCs/>
                <w:iCs/>
                <w:color w:val="000000"/>
              </w:rPr>
              <w:t>“磁电热影·智融PI-ONE”系统，同时公司设立最初推出的第一代盆底生物刺激反馈仪等设备已到升级换代阶段，结合国家“以旧换新”号召，抓住内、外部机遇，持续探索提升盆底相关设备临床应用的便捷性和有效性，满足更加多元化的场景使用要求。</w:t>
            </w:r>
          </w:p>
          <w:p w14:paraId="6437298C">
            <w:pPr>
              <w:spacing w:line="480" w:lineRule="atLeast"/>
              <w:ind w:firstLine="480"/>
              <w:rPr>
                <w:rFonts w:hint="default" w:ascii="Times New Roman" w:hAnsi="Times New Roman" w:cs="Times New Roman"/>
                <w:bCs/>
                <w:iCs/>
                <w:color w:val="000000"/>
              </w:rPr>
            </w:pPr>
            <w:r>
              <w:rPr>
                <w:rFonts w:hint="default" w:ascii="Times New Roman" w:hAnsi="Times New Roman" w:cs="Times New Roman"/>
                <w:bCs/>
                <w:iCs/>
                <w:color w:val="000000"/>
              </w:rPr>
              <w:t>生殖康复和抗衰板块是公司第二条重要的产品线，随着女性更年期年龄提前，发病率逐年攀升，更年期的诸多症状也严重影响了这类人群的生活工作状态。同时，基于当代女性受教育程度、经济实力、思想观念等多方面因素的提升，生殖健康保护、延缓生殖衰退、改善更年期的身体状态等需求旺盛，市场容量逐年快速增长。公司根据既定目标有序开展相关市场销售活动。</w:t>
            </w:r>
          </w:p>
          <w:p w14:paraId="1E64C16A">
            <w:pPr>
              <w:spacing w:line="480" w:lineRule="atLeast"/>
              <w:ind w:firstLine="480"/>
              <w:rPr>
                <w:rFonts w:hint="default" w:ascii="Times New Roman" w:hAnsi="Times New Roman" w:cs="Times New Roman"/>
                <w:bCs/>
                <w:iCs/>
                <w:highlight w:val="none"/>
              </w:rPr>
            </w:pPr>
            <w:r>
              <w:rPr>
                <w:rFonts w:hint="default" w:ascii="Times New Roman" w:hAnsi="Times New Roman" w:cs="Times New Roman"/>
                <w:bCs/>
                <w:iCs/>
              </w:rPr>
              <w:t>公司将坚定不移地深耕女性健康和美的领域，以市场需求导向+国家政策引导，聚焦盆底及妇产康复细分领域，加快预研技术的成果转化速度，瞄准产业技术前沿，持续推动产品的技术和性能</w:t>
            </w:r>
            <w:r>
              <w:rPr>
                <w:rFonts w:hint="default" w:ascii="Times New Roman" w:hAnsi="Times New Roman" w:cs="Times New Roman"/>
                <w:bCs/>
                <w:iCs/>
                <w:highlight w:val="none"/>
              </w:rPr>
              <w:t>升级，拓宽各类适应症和应用场景，重塑增长。</w:t>
            </w:r>
          </w:p>
          <w:p w14:paraId="16F31D31">
            <w:pPr>
              <w:spacing w:line="480" w:lineRule="atLeast"/>
              <w:ind w:firstLine="482"/>
              <w:rPr>
                <w:rFonts w:hint="default" w:ascii="Times New Roman" w:hAnsi="Times New Roman" w:cs="Times New Roman"/>
                <w:b/>
                <w:iCs/>
                <w:highlight w:val="none"/>
              </w:rPr>
            </w:pPr>
            <w:r>
              <w:rPr>
                <w:rFonts w:hint="default" w:ascii="Times New Roman" w:hAnsi="Times New Roman" w:cs="Times New Roman"/>
                <w:b/>
                <w:iCs/>
                <w:highlight w:val="none"/>
              </w:rPr>
              <w:t>Q6：公司私密抗衰产品矩阵都有哪些设备，主要疗效是什么？</w:t>
            </w:r>
          </w:p>
          <w:p w14:paraId="613061A8">
            <w:pPr>
              <w:spacing w:line="480" w:lineRule="atLeast"/>
              <w:ind w:firstLine="482"/>
              <w:rPr>
                <w:rFonts w:hint="default" w:ascii="Times New Roman" w:hAnsi="Times New Roman" w:cs="Times New Roman"/>
                <w:bCs/>
                <w:iCs/>
              </w:rPr>
            </w:pPr>
            <w:r>
              <w:rPr>
                <w:rFonts w:hint="default" w:ascii="Times New Roman" w:hAnsi="Times New Roman" w:cs="Times New Roman"/>
                <w:b/>
                <w:iCs/>
              </w:rPr>
              <w:t>答：</w:t>
            </w:r>
            <w:r>
              <w:rPr>
                <w:rFonts w:hint="default" w:ascii="Times New Roman" w:hAnsi="Times New Roman" w:cs="Times New Roman"/>
                <w:bCs/>
                <w:iCs/>
              </w:rPr>
              <w:t>公司</w:t>
            </w:r>
            <w:r>
              <w:rPr>
                <w:rFonts w:hint="default" w:ascii="Times New Roman" w:hAnsi="Times New Roman" w:cs="Times New Roman"/>
                <w:bCs/>
                <w:iCs/>
                <w:lang w:val="en-US" w:eastAsia="zh-CN"/>
              </w:rPr>
              <w:t>针对</w:t>
            </w:r>
            <w:r>
              <w:rPr>
                <w:rFonts w:hint="default" w:ascii="Times New Roman" w:hAnsi="Times New Roman" w:cs="Times New Roman"/>
                <w:bCs/>
                <w:iCs/>
              </w:rPr>
              <w:t>客户生殖抗衰需求提供整体解决方案，</w:t>
            </w:r>
            <w:r>
              <w:rPr>
                <w:rFonts w:hint="default" w:ascii="Times New Roman" w:hAnsi="Times New Roman" w:cs="Times New Roman"/>
                <w:bCs/>
                <w:iCs/>
                <w:lang w:val="en-US" w:eastAsia="zh-CN"/>
              </w:rPr>
              <w:t>基于</w:t>
            </w:r>
            <w:r>
              <w:rPr>
                <w:rFonts w:hint="default" w:ascii="Times New Roman" w:hAnsi="Times New Roman" w:cs="Times New Roman"/>
                <w:bCs/>
                <w:iCs/>
              </w:rPr>
              <w:t>电、磁、高频、聚焦超声等关键技术，推</w:t>
            </w:r>
            <w:r>
              <w:rPr>
                <w:rFonts w:hint="default" w:ascii="Times New Roman" w:hAnsi="Times New Roman" w:cs="Times New Roman"/>
                <w:bCs/>
                <w:iCs/>
                <w:lang w:val="en-US" w:eastAsia="zh-CN"/>
              </w:rPr>
              <w:t>出生殖健康</w:t>
            </w:r>
            <w:r>
              <w:rPr>
                <w:rFonts w:hint="default" w:ascii="Times New Roman" w:hAnsi="Times New Roman" w:cs="Times New Roman"/>
                <w:bCs/>
                <w:iCs/>
              </w:rPr>
              <w:t>检测与治疗</w:t>
            </w:r>
            <w:r>
              <w:rPr>
                <w:rFonts w:hint="default" w:ascii="Times New Roman" w:hAnsi="Times New Roman" w:cs="Times New Roman"/>
                <w:bCs/>
                <w:iCs/>
                <w:lang w:val="en-US" w:eastAsia="zh-CN"/>
              </w:rPr>
              <w:t>的相关产品</w:t>
            </w:r>
            <w:r>
              <w:rPr>
                <w:rFonts w:hint="default" w:ascii="Times New Roman" w:hAnsi="Times New Roman" w:cs="Times New Roman"/>
                <w:bCs/>
                <w:iCs/>
              </w:rPr>
              <w:t>，</w:t>
            </w:r>
            <w:r>
              <w:rPr>
                <w:rFonts w:hint="default" w:ascii="Times New Roman" w:hAnsi="Times New Roman" w:cs="Times New Roman"/>
                <w:bCs/>
                <w:iCs/>
                <w:lang w:val="en-US" w:eastAsia="zh-CN"/>
              </w:rPr>
              <w:t>起到改善生殖内环境、生殖功能抗衰</w:t>
            </w:r>
            <w:r>
              <w:rPr>
                <w:rFonts w:hint="default" w:ascii="Times New Roman" w:hAnsi="Times New Roman" w:cs="Times New Roman"/>
                <w:bCs/>
                <w:iCs/>
              </w:rPr>
              <w:t>等作用。</w:t>
            </w:r>
          </w:p>
          <w:p w14:paraId="025D7A7B">
            <w:pPr>
              <w:spacing w:line="480" w:lineRule="atLeast"/>
              <w:ind w:firstLine="482"/>
              <w:rPr>
                <w:rFonts w:hint="default" w:ascii="Times New Roman" w:hAnsi="Times New Roman" w:cs="Times New Roman"/>
                <w:bCs/>
                <w:iCs/>
              </w:rPr>
            </w:pPr>
            <w:r>
              <w:rPr>
                <w:rFonts w:hint="default" w:ascii="Times New Roman" w:hAnsi="Times New Roman" w:cs="Times New Roman"/>
                <w:b/>
                <w:iCs/>
              </w:rPr>
              <w:t>Q7：2024年上半年毛利率水平同比提升的原因是什么？</w:t>
            </w:r>
          </w:p>
          <w:p w14:paraId="1A00A229">
            <w:pPr>
              <w:spacing w:line="480" w:lineRule="atLeast"/>
              <w:ind w:firstLine="482"/>
              <w:rPr>
                <w:rFonts w:hint="default" w:ascii="Times New Roman" w:hAnsi="Times New Roman" w:cs="Times New Roman"/>
                <w:bCs/>
                <w:iCs/>
              </w:rPr>
            </w:pPr>
            <w:r>
              <w:rPr>
                <w:rFonts w:hint="default" w:ascii="Times New Roman" w:hAnsi="Times New Roman" w:cs="Times New Roman"/>
                <w:b/>
                <w:iCs/>
              </w:rPr>
              <w:t>答：</w:t>
            </w:r>
            <w:r>
              <w:rPr>
                <w:bCs/>
                <w:iCs/>
                <w:color w:val="000000"/>
              </w:rPr>
              <w:t>公司致力于维持毛利率在一个稳定可持续的区间，本期毛利率有所提升，主要归因于上年同期子公司欧宝祥承接</w:t>
            </w:r>
            <w:r>
              <w:rPr>
                <w:rFonts w:hint="eastAsia"/>
                <w:bCs/>
                <w:iCs/>
                <w:color w:val="000000"/>
              </w:rPr>
              <w:t>了</w:t>
            </w:r>
            <w:r>
              <w:rPr>
                <w:bCs/>
                <w:iCs/>
                <w:color w:val="000000"/>
              </w:rPr>
              <w:t>部分</w:t>
            </w:r>
            <w:r>
              <w:rPr>
                <w:rFonts w:hint="eastAsia"/>
                <w:bCs/>
                <w:iCs/>
                <w:color w:val="000000"/>
              </w:rPr>
              <w:t>注塑件</w:t>
            </w:r>
            <w:r>
              <w:rPr>
                <w:bCs/>
                <w:iCs/>
                <w:color w:val="000000"/>
              </w:rPr>
              <w:t>产品毛利较低。</w:t>
            </w:r>
          </w:p>
          <w:p w14:paraId="505BB239">
            <w:pPr>
              <w:spacing w:line="480" w:lineRule="atLeast"/>
              <w:ind w:firstLine="482"/>
              <w:rPr>
                <w:rFonts w:hint="default" w:ascii="Times New Roman" w:hAnsi="Times New Roman" w:cs="Times New Roman"/>
                <w:b/>
                <w:iCs/>
              </w:rPr>
            </w:pPr>
            <w:r>
              <w:rPr>
                <w:rFonts w:hint="default" w:ascii="Times New Roman" w:hAnsi="Times New Roman" w:cs="Times New Roman"/>
                <w:b/>
                <w:iCs/>
              </w:rPr>
              <w:t>Q8：公司今年考虑做股权激励吗？</w:t>
            </w:r>
          </w:p>
          <w:p w14:paraId="26CFB3C1">
            <w:pPr>
              <w:spacing w:line="480" w:lineRule="atLeast"/>
              <w:ind w:firstLine="482"/>
              <w:rPr>
                <w:rFonts w:hint="default" w:ascii="Times New Roman" w:hAnsi="Times New Roman" w:cs="Times New Roman"/>
                <w:b/>
                <w:iCs/>
              </w:rPr>
            </w:pPr>
            <w:r>
              <w:rPr>
                <w:rFonts w:hint="default" w:ascii="Times New Roman" w:hAnsi="Times New Roman" w:cs="Times New Roman"/>
                <w:b/>
                <w:iCs/>
              </w:rPr>
              <w:t>答：</w:t>
            </w:r>
            <w:r>
              <w:rPr>
                <w:rFonts w:hint="default" w:ascii="Times New Roman" w:hAnsi="Times New Roman" w:cs="Times New Roman"/>
                <w:bCs/>
                <w:iCs/>
              </w:rPr>
              <w:t>根据公司半年度报告显示，公司已累计回购股份214万股，</w:t>
            </w:r>
            <w:r>
              <w:rPr>
                <w:rFonts w:hint="default" w:ascii="Times New Roman" w:hAnsi="Times New Roman" w:cs="Times New Roman"/>
              </w:rPr>
              <w:t>回购的股份将在未来适宜时机全部用于员工持股计划或股权激励</w:t>
            </w:r>
            <w:r>
              <w:rPr>
                <w:rFonts w:hint="default" w:ascii="Times New Roman" w:hAnsi="Times New Roman" w:cs="Times New Roman"/>
                <w:bCs/>
                <w:iCs/>
              </w:rPr>
              <w:t>。管理层将结合公司经营实际情况和市场环境审慎考量激励计划的时机和可行性，股权激励情况请关注公司后续相关公告。</w:t>
            </w:r>
          </w:p>
        </w:tc>
      </w:tr>
      <w:tr w14:paraId="0C7B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E3C6E4A">
            <w:pPr>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风险提示</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3BD1639">
            <w:pPr>
              <w:spacing w:line="480" w:lineRule="atLeast"/>
              <w:ind w:firstLine="480"/>
              <w:rPr>
                <w:rFonts w:hint="default" w:ascii="Times New Roman" w:hAnsi="Times New Roman" w:cs="Times New Roman"/>
                <w:bCs/>
                <w:iCs/>
              </w:rPr>
            </w:pPr>
            <w:r>
              <w:rPr>
                <w:rFonts w:hint="default" w:ascii="Times New Roman" w:hAnsi="Times New Roman" w:cs="Times New Roman"/>
                <w:bCs/>
                <w:iCs/>
              </w:rPr>
              <w:t>以上如涉及对行业的预测、公司发展战略规划等相关内容，不能视作公司或公司管理层对行业、公司发展或业绩的承诺和保证，敬请广大投资者注意投资风险。</w:t>
            </w:r>
          </w:p>
        </w:tc>
      </w:tr>
      <w:tr w14:paraId="502E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31A4F6F">
            <w:pPr>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是否涉及应当披露重大信息</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32DB3759">
            <w:pPr>
              <w:spacing w:line="480" w:lineRule="atLeast"/>
              <w:ind w:firstLine="0" w:firstLineChars="0"/>
              <w:rPr>
                <w:rFonts w:hint="default" w:ascii="Times New Roman" w:hAnsi="Times New Roman" w:cs="Times New Roman"/>
                <w:bCs/>
                <w:iCs/>
              </w:rPr>
            </w:pPr>
            <w:r>
              <w:rPr>
                <w:rFonts w:hint="default" w:ascii="Times New Roman" w:hAnsi="Times New Roman" w:cs="Times New Roman"/>
                <w:bCs/>
                <w:iCs/>
              </w:rPr>
              <w:t>否</w:t>
            </w:r>
          </w:p>
        </w:tc>
      </w:tr>
      <w:tr w14:paraId="311E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9C62464">
            <w:pPr>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日期</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36870963">
            <w:pPr>
              <w:spacing w:line="240" w:lineRule="auto"/>
              <w:ind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2024年8月2</w:t>
            </w:r>
            <w:r>
              <w:rPr>
                <w:rFonts w:hint="default" w:cs="Times New Roman"/>
                <w:bCs/>
                <w:iCs/>
                <w:color w:val="000000"/>
                <w:lang w:val="en-US" w:eastAsia="zh-CN"/>
              </w:rPr>
              <w:t>7</w:t>
            </w:r>
            <w:r>
              <w:rPr>
                <w:rFonts w:hint="default" w:ascii="Times New Roman" w:hAnsi="Times New Roman" w:cs="Times New Roman"/>
                <w:bCs/>
                <w:iCs/>
                <w:color w:val="000000"/>
              </w:rPr>
              <w:t>日</w:t>
            </w:r>
          </w:p>
        </w:tc>
      </w:tr>
    </w:tbl>
    <w:p w14:paraId="661403D2">
      <w:pPr>
        <w:spacing w:line="240" w:lineRule="auto"/>
        <w:ind w:firstLine="0" w:firstLineChars="0"/>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瀹嬩綋">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D13C">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0E9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80553">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B733">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0D15">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4363">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kMDhiNzAyZGI2YTA4NjZmMTkxM2JiYjNhNDRiZjEifQ=="/>
  </w:docVars>
  <w:rsids>
    <w:rsidRoot w:val="421A00E8"/>
    <w:rsid w:val="0000604E"/>
    <w:rsid w:val="0005269E"/>
    <w:rsid w:val="00063468"/>
    <w:rsid w:val="00072EC7"/>
    <w:rsid w:val="00077E67"/>
    <w:rsid w:val="00081CA4"/>
    <w:rsid w:val="000966EF"/>
    <w:rsid w:val="000A2D4D"/>
    <w:rsid w:val="000C6D5F"/>
    <w:rsid w:val="000F0489"/>
    <w:rsid w:val="000F72AF"/>
    <w:rsid w:val="00135185"/>
    <w:rsid w:val="001365C1"/>
    <w:rsid w:val="00155473"/>
    <w:rsid w:val="0015704E"/>
    <w:rsid w:val="0017012E"/>
    <w:rsid w:val="001A5D86"/>
    <w:rsid w:val="001D5C86"/>
    <w:rsid w:val="0021391B"/>
    <w:rsid w:val="00236A00"/>
    <w:rsid w:val="00237E79"/>
    <w:rsid w:val="0024415A"/>
    <w:rsid w:val="00263CFE"/>
    <w:rsid w:val="00270B35"/>
    <w:rsid w:val="0027744C"/>
    <w:rsid w:val="002971E8"/>
    <w:rsid w:val="002A03E5"/>
    <w:rsid w:val="002B06D1"/>
    <w:rsid w:val="002B2A83"/>
    <w:rsid w:val="002C50F8"/>
    <w:rsid w:val="002D54CE"/>
    <w:rsid w:val="002E7B76"/>
    <w:rsid w:val="003154F4"/>
    <w:rsid w:val="0033461E"/>
    <w:rsid w:val="00351C53"/>
    <w:rsid w:val="0037010F"/>
    <w:rsid w:val="00390192"/>
    <w:rsid w:val="003D5FBB"/>
    <w:rsid w:val="003D65A8"/>
    <w:rsid w:val="003F1A1B"/>
    <w:rsid w:val="00414CC0"/>
    <w:rsid w:val="00485569"/>
    <w:rsid w:val="004C6129"/>
    <w:rsid w:val="004E3520"/>
    <w:rsid w:val="004F40B9"/>
    <w:rsid w:val="005122BC"/>
    <w:rsid w:val="00537400"/>
    <w:rsid w:val="005829F4"/>
    <w:rsid w:val="005C379B"/>
    <w:rsid w:val="005F3501"/>
    <w:rsid w:val="00603E07"/>
    <w:rsid w:val="00604039"/>
    <w:rsid w:val="006337EB"/>
    <w:rsid w:val="00634A02"/>
    <w:rsid w:val="006436B2"/>
    <w:rsid w:val="00677030"/>
    <w:rsid w:val="00681A16"/>
    <w:rsid w:val="00681D02"/>
    <w:rsid w:val="006A01B1"/>
    <w:rsid w:val="006A2197"/>
    <w:rsid w:val="006B2597"/>
    <w:rsid w:val="006B2E62"/>
    <w:rsid w:val="007262B1"/>
    <w:rsid w:val="007328DC"/>
    <w:rsid w:val="00735407"/>
    <w:rsid w:val="00763270"/>
    <w:rsid w:val="00846FD9"/>
    <w:rsid w:val="0088448D"/>
    <w:rsid w:val="008A7CF6"/>
    <w:rsid w:val="008D0FBF"/>
    <w:rsid w:val="008E3C20"/>
    <w:rsid w:val="008F77BB"/>
    <w:rsid w:val="0092118D"/>
    <w:rsid w:val="00926CA1"/>
    <w:rsid w:val="00954A0C"/>
    <w:rsid w:val="009677F3"/>
    <w:rsid w:val="009A2C82"/>
    <w:rsid w:val="009A7DD2"/>
    <w:rsid w:val="009D7198"/>
    <w:rsid w:val="00A22D29"/>
    <w:rsid w:val="00A26F73"/>
    <w:rsid w:val="00A33EBB"/>
    <w:rsid w:val="00A50F81"/>
    <w:rsid w:val="00A73B84"/>
    <w:rsid w:val="00A76B98"/>
    <w:rsid w:val="00AA021C"/>
    <w:rsid w:val="00AA23FA"/>
    <w:rsid w:val="00AD317C"/>
    <w:rsid w:val="00AD67E0"/>
    <w:rsid w:val="00AE190D"/>
    <w:rsid w:val="00B15B2F"/>
    <w:rsid w:val="00B26E56"/>
    <w:rsid w:val="00B314A3"/>
    <w:rsid w:val="00B367A4"/>
    <w:rsid w:val="00B37457"/>
    <w:rsid w:val="00B87D00"/>
    <w:rsid w:val="00BA4D2D"/>
    <w:rsid w:val="00BE217C"/>
    <w:rsid w:val="00C01893"/>
    <w:rsid w:val="00C34692"/>
    <w:rsid w:val="00C40F6C"/>
    <w:rsid w:val="00C73805"/>
    <w:rsid w:val="00C760B0"/>
    <w:rsid w:val="00C95628"/>
    <w:rsid w:val="00CF0BDA"/>
    <w:rsid w:val="00D010CB"/>
    <w:rsid w:val="00D023E4"/>
    <w:rsid w:val="00D20B7D"/>
    <w:rsid w:val="00D319F9"/>
    <w:rsid w:val="00D36E0D"/>
    <w:rsid w:val="00D64F2C"/>
    <w:rsid w:val="00D65BCC"/>
    <w:rsid w:val="00D867DF"/>
    <w:rsid w:val="00DB467D"/>
    <w:rsid w:val="00DC6DB7"/>
    <w:rsid w:val="00DE305F"/>
    <w:rsid w:val="00DE400C"/>
    <w:rsid w:val="00E06CE8"/>
    <w:rsid w:val="00E10695"/>
    <w:rsid w:val="00E33C86"/>
    <w:rsid w:val="00E655C2"/>
    <w:rsid w:val="00E932C3"/>
    <w:rsid w:val="00EE5002"/>
    <w:rsid w:val="00FD1285"/>
    <w:rsid w:val="01852063"/>
    <w:rsid w:val="02760E3B"/>
    <w:rsid w:val="0321400D"/>
    <w:rsid w:val="036A7762"/>
    <w:rsid w:val="05260C54"/>
    <w:rsid w:val="05DD0407"/>
    <w:rsid w:val="05E337FC"/>
    <w:rsid w:val="069B135D"/>
    <w:rsid w:val="070842DC"/>
    <w:rsid w:val="070A727B"/>
    <w:rsid w:val="0726123E"/>
    <w:rsid w:val="0731192F"/>
    <w:rsid w:val="076F3599"/>
    <w:rsid w:val="086E30CB"/>
    <w:rsid w:val="087D7BFC"/>
    <w:rsid w:val="08C64073"/>
    <w:rsid w:val="08D24321"/>
    <w:rsid w:val="09412D13"/>
    <w:rsid w:val="099B1D4D"/>
    <w:rsid w:val="09D102B6"/>
    <w:rsid w:val="09DF6945"/>
    <w:rsid w:val="09F328D9"/>
    <w:rsid w:val="0A220E20"/>
    <w:rsid w:val="0A4B12B3"/>
    <w:rsid w:val="0AE422C6"/>
    <w:rsid w:val="0B037A92"/>
    <w:rsid w:val="0B7256FC"/>
    <w:rsid w:val="0B8401A9"/>
    <w:rsid w:val="0C660EC7"/>
    <w:rsid w:val="0C7E7C46"/>
    <w:rsid w:val="0CD12600"/>
    <w:rsid w:val="0D2235D4"/>
    <w:rsid w:val="0D5D11BA"/>
    <w:rsid w:val="0DCA3C27"/>
    <w:rsid w:val="0DD81262"/>
    <w:rsid w:val="0E6619A5"/>
    <w:rsid w:val="0ECE7CE8"/>
    <w:rsid w:val="0F1113DA"/>
    <w:rsid w:val="0F5117D6"/>
    <w:rsid w:val="0F7A0F1C"/>
    <w:rsid w:val="0F925474"/>
    <w:rsid w:val="103F5AD3"/>
    <w:rsid w:val="10A312B4"/>
    <w:rsid w:val="10B20618"/>
    <w:rsid w:val="119500A0"/>
    <w:rsid w:val="11A958FA"/>
    <w:rsid w:val="11B6115E"/>
    <w:rsid w:val="11BA3663"/>
    <w:rsid w:val="11BB562D"/>
    <w:rsid w:val="121D3BF2"/>
    <w:rsid w:val="126C4455"/>
    <w:rsid w:val="12F30075"/>
    <w:rsid w:val="138A5F38"/>
    <w:rsid w:val="13DF6C1A"/>
    <w:rsid w:val="13EE43C3"/>
    <w:rsid w:val="15042DCB"/>
    <w:rsid w:val="15154AEF"/>
    <w:rsid w:val="15D90184"/>
    <w:rsid w:val="1635389E"/>
    <w:rsid w:val="16573B76"/>
    <w:rsid w:val="166C5E7A"/>
    <w:rsid w:val="169C5A2D"/>
    <w:rsid w:val="169F376F"/>
    <w:rsid w:val="16CA07EC"/>
    <w:rsid w:val="16D871BB"/>
    <w:rsid w:val="16FC7880"/>
    <w:rsid w:val="17EA6C51"/>
    <w:rsid w:val="18000331"/>
    <w:rsid w:val="180876B7"/>
    <w:rsid w:val="18C9566A"/>
    <w:rsid w:val="18DF304D"/>
    <w:rsid w:val="18F845CE"/>
    <w:rsid w:val="192F353E"/>
    <w:rsid w:val="1A13108F"/>
    <w:rsid w:val="1A3F504D"/>
    <w:rsid w:val="1A8769F4"/>
    <w:rsid w:val="1A8F4290"/>
    <w:rsid w:val="1AB82A70"/>
    <w:rsid w:val="1AD86198"/>
    <w:rsid w:val="1B1536CC"/>
    <w:rsid w:val="1BA21994"/>
    <w:rsid w:val="1BAE0248"/>
    <w:rsid w:val="1BF537FE"/>
    <w:rsid w:val="1C872CDB"/>
    <w:rsid w:val="1D1F1166"/>
    <w:rsid w:val="1D656D82"/>
    <w:rsid w:val="1D903E12"/>
    <w:rsid w:val="1DC94027"/>
    <w:rsid w:val="1F2305DA"/>
    <w:rsid w:val="1F572E39"/>
    <w:rsid w:val="1F8B2AE2"/>
    <w:rsid w:val="1FDE70B6"/>
    <w:rsid w:val="20C55EE0"/>
    <w:rsid w:val="20D46448"/>
    <w:rsid w:val="2113029B"/>
    <w:rsid w:val="211C60E8"/>
    <w:rsid w:val="21582E98"/>
    <w:rsid w:val="21785046"/>
    <w:rsid w:val="220A2C61"/>
    <w:rsid w:val="220D5A31"/>
    <w:rsid w:val="22A2261D"/>
    <w:rsid w:val="237256DF"/>
    <w:rsid w:val="23C16186"/>
    <w:rsid w:val="243248B3"/>
    <w:rsid w:val="24BA1251"/>
    <w:rsid w:val="25B032A3"/>
    <w:rsid w:val="271E64A6"/>
    <w:rsid w:val="273D6BFC"/>
    <w:rsid w:val="27C42DE0"/>
    <w:rsid w:val="2875754E"/>
    <w:rsid w:val="28A6330A"/>
    <w:rsid w:val="28F26962"/>
    <w:rsid w:val="29464110"/>
    <w:rsid w:val="296B27BD"/>
    <w:rsid w:val="297C1854"/>
    <w:rsid w:val="29C66496"/>
    <w:rsid w:val="2A6232D9"/>
    <w:rsid w:val="2A9801E3"/>
    <w:rsid w:val="2A9C2048"/>
    <w:rsid w:val="2B8723B0"/>
    <w:rsid w:val="2BCF1785"/>
    <w:rsid w:val="2BD20FFC"/>
    <w:rsid w:val="2BF10937"/>
    <w:rsid w:val="2C0461E6"/>
    <w:rsid w:val="2C1D0DE3"/>
    <w:rsid w:val="2CAE16B2"/>
    <w:rsid w:val="2CD967A8"/>
    <w:rsid w:val="2CF33D99"/>
    <w:rsid w:val="2D502C75"/>
    <w:rsid w:val="2D990AC0"/>
    <w:rsid w:val="2DB96A6D"/>
    <w:rsid w:val="2E0942F9"/>
    <w:rsid w:val="2E615D08"/>
    <w:rsid w:val="2F2D3A13"/>
    <w:rsid w:val="30332B06"/>
    <w:rsid w:val="30616556"/>
    <w:rsid w:val="30F1618A"/>
    <w:rsid w:val="313034EA"/>
    <w:rsid w:val="31422069"/>
    <w:rsid w:val="3147705B"/>
    <w:rsid w:val="31F97D80"/>
    <w:rsid w:val="321B062D"/>
    <w:rsid w:val="32A80181"/>
    <w:rsid w:val="32FB4313"/>
    <w:rsid w:val="332A12C2"/>
    <w:rsid w:val="33350C99"/>
    <w:rsid w:val="333F7A14"/>
    <w:rsid w:val="334D4E72"/>
    <w:rsid w:val="33756FB2"/>
    <w:rsid w:val="33E74334"/>
    <w:rsid w:val="33F21F69"/>
    <w:rsid w:val="344D7F0F"/>
    <w:rsid w:val="34A262E1"/>
    <w:rsid w:val="34AB38D1"/>
    <w:rsid w:val="350902DA"/>
    <w:rsid w:val="3538471B"/>
    <w:rsid w:val="35467305"/>
    <w:rsid w:val="35523A2F"/>
    <w:rsid w:val="355359F9"/>
    <w:rsid w:val="360E0311"/>
    <w:rsid w:val="369B31B3"/>
    <w:rsid w:val="36D641EB"/>
    <w:rsid w:val="36FA722C"/>
    <w:rsid w:val="373C01E0"/>
    <w:rsid w:val="37C02A49"/>
    <w:rsid w:val="38D24DAB"/>
    <w:rsid w:val="393A4F06"/>
    <w:rsid w:val="3A8F302F"/>
    <w:rsid w:val="3AAD79C2"/>
    <w:rsid w:val="3AAF722D"/>
    <w:rsid w:val="3AD663DF"/>
    <w:rsid w:val="3AE74C2D"/>
    <w:rsid w:val="3B0D5063"/>
    <w:rsid w:val="3B947CD8"/>
    <w:rsid w:val="3B9C7819"/>
    <w:rsid w:val="3D0929B2"/>
    <w:rsid w:val="3D732DB4"/>
    <w:rsid w:val="3D8B35C2"/>
    <w:rsid w:val="3DEA5509"/>
    <w:rsid w:val="3DFF04CC"/>
    <w:rsid w:val="3EB94B1E"/>
    <w:rsid w:val="3EBC460F"/>
    <w:rsid w:val="3EDE57C4"/>
    <w:rsid w:val="3F010273"/>
    <w:rsid w:val="3F255940"/>
    <w:rsid w:val="3F7942AE"/>
    <w:rsid w:val="3F7E511A"/>
    <w:rsid w:val="3FE21909"/>
    <w:rsid w:val="402204A1"/>
    <w:rsid w:val="404B5A35"/>
    <w:rsid w:val="40AD77A5"/>
    <w:rsid w:val="413A5BBD"/>
    <w:rsid w:val="4191768D"/>
    <w:rsid w:val="41A77371"/>
    <w:rsid w:val="421A00E8"/>
    <w:rsid w:val="428159D7"/>
    <w:rsid w:val="428E5D95"/>
    <w:rsid w:val="42F11136"/>
    <w:rsid w:val="4315253F"/>
    <w:rsid w:val="43282273"/>
    <w:rsid w:val="43963180"/>
    <w:rsid w:val="43B45FE5"/>
    <w:rsid w:val="43C95804"/>
    <w:rsid w:val="44074D8C"/>
    <w:rsid w:val="44783E70"/>
    <w:rsid w:val="44E74A1A"/>
    <w:rsid w:val="452A17CA"/>
    <w:rsid w:val="45B35CD2"/>
    <w:rsid w:val="46491165"/>
    <w:rsid w:val="46B1257F"/>
    <w:rsid w:val="470E79D1"/>
    <w:rsid w:val="480B792A"/>
    <w:rsid w:val="480C2163"/>
    <w:rsid w:val="48226E12"/>
    <w:rsid w:val="48677399"/>
    <w:rsid w:val="49365ADC"/>
    <w:rsid w:val="498A77E3"/>
    <w:rsid w:val="498B6D54"/>
    <w:rsid w:val="49FF5D06"/>
    <w:rsid w:val="4A275032"/>
    <w:rsid w:val="4A5C671F"/>
    <w:rsid w:val="4A7144FF"/>
    <w:rsid w:val="4A8A4060"/>
    <w:rsid w:val="4B0435C5"/>
    <w:rsid w:val="4B5D2CD5"/>
    <w:rsid w:val="4C0E0F2C"/>
    <w:rsid w:val="4C1C3566"/>
    <w:rsid w:val="4C743C8F"/>
    <w:rsid w:val="4C973DD0"/>
    <w:rsid w:val="4CCE063F"/>
    <w:rsid w:val="4D691D3D"/>
    <w:rsid w:val="4DE34C75"/>
    <w:rsid w:val="4EFA2326"/>
    <w:rsid w:val="4F141C5B"/>
    <w:rsid w:val="4F2A278D"/>
    <w:rsid w:val="50937738"/>
    <w:rsid w:val="5124051D"/>
    <w:rsid w:val="5191021A"/>
    <w:rsid w:val="51C413B8"/>
    <w:rsid w:val="51D35A9F"/>
    <w:rsid w:val="51DC4954"/>
    <w:rsid w:val="51FD5486"/>
    <w:rsid w:val="525B1CAD"/>
    <w:rsid w:val="52696B6E"/>
    <w:rsid w:val="533956A0"/>
    <w:rsid w:val="53566988"/>
    <w:rsid w:val="535B607A"/>
    <w:rsid w:val="536D782E"/>
    <w:rsid w:val="53DD0E57"/>
    <w:rsid w:val="546608B4"/>
    <w:rsid w:val="546828EF"/>
    <w:rsid w:val="54893697"/>
    <w:rsid w:val="5658621E"/>
    <w:rsid w:val="565C2507"/>
    <w:rsid w:val="566B7B47"/>
    <w:rsid w:val="5691220A"/>
    <w:rsid w:val="56A33C92"/>
    <w:rsid w:val="57087F99"/>
    <w:rsid w:val="5714693E"/>
    <w:rsid w:val="577C4B7A"/>
    <w:rsid w:val="57914433"/>
    <w:rsid w:val="583E6D91"/>
    <w:rsid w:val="585202CE"/>
    <w:rsid w:val="5853404D"/>
    <w:rsid w:val="585A2A77"/>
    <w:rsid w:val="58D2085F"/>
    <w:rsid w:val="590F1AB3"/>
    <w:rsid w:val="595F0AA1"/>
    <w:rsid w:val="59802BFB"/>
    <w:rsid w:val="59A82DA4"/>
    <w:rsid w:val="59AD307A"/>
    <w:rsid w:val="5A1B369A"/>
    <w:rsid w:val="5A1F4951"/>
    <w:rsid w:val="5A984EB0"/>
    <w:rsid w:val="5AC06FC6"/>
    <w:rsid w:val="5AD11B61"/>
    <w:rsid w:val="5ADC3C17"/>
    <w:rsid w:val="5B4812AC"/>
    <w:rsid w:val="5B50206A"/>
    <w:rsid w:val="5B8D3163"/>
    <w:rsid w:val="5BB35DCB"/>
    <w:rsid w:val="5BBB382C"/>
    <w:rsid w:val="5BC64C07"/>
    <w:rsid w:val="5BE45F24"/>
    <w:rsid w:val="5C8A31FF"/>
    <w:rsid w:val="5CDC2A68"/>
    <w:rsid w:val="5CED69AD"/>
    <w:rsid w:val="5D610403"/>
    <w:rsid w:val="5DB00ACF"/>
    <w:rsid w:val="5DB50BEA"/>
    <w:rsid w:val="5DEF1EB3"/>
    <w:rsid w:val="5F487ACD"/>
    <w:rsid w:val="5FAB3D7E"/>
    <w:rsid w:val="5FC73AE4"/>
    <w:rsid w:val="602A42E4"/>
    <w:rsid w:val="60395C5E"/>
    <w:rsid w:val="60597AB8"/>
    <w:rsid w:val="608C5797"/>
    <w:rsid w:val="60925EB2"/>
    <w:rsid w:val="60CE7B5E"/>
    <w:rsid w:val="61042B59"/>
    <w:rsid w:val="61534507"/>
    <w:rsid w:val="61937245"/>
    <w:rsid w:val="62166177"/>
    <w:rsid w:val="6230178D"/>
    <w:rsid w:val="627A2F3C"/>
    <w:rsid w:val="62954A01"/>
    <w:rsid w:val="62D3168C"/>
    <w:rsid w:val="632F4494"/>
    <w:rsid w:val="634405AB"/>
    <w:rsid w:val="63950E07"/>
    <w:rsid w:val="63A4729C"/>
    <w:rsid w:val="63AB4186"/>
    <w:rsid w:val="643C54C2"/>
    <w:rsid w:val="64A7791B"/>
    <w:rsid w:val="64E72007"/>
    <w:rsid w:val="65081772"/>
    <w:rsid w:val="65130235"/>
    <w:rsid w:val="651359D4"/>
    <w:rsid w:val="656A7A0B"/>
    <w:rsid w:val="65B23EF2"/>
    <w:rsid w:val="65D85B03"/>
    <w:rsid w:val="66372649"/>
    <w:rsid w:val="670071F1"/>
    <w:rsid w:val="674E7C4A"/>
    <w:rsid w:val="67672ABA"/>
    <w:rsid w:val="67965CD2"/>
    <w:rsid w:val="67A96C2F"/>
    <w:rsid w:val="67EA28E8"/>
    <w:rsid w:val="681A3274"/>
    <w:rsid w:val="68352C25"/>
    <w:rsid w:val="683706DE"/>
    <w:rsid w:val="690D65E2"/>
    <w:rsid w:val="692923AE"/>
    <w:rsid w:val="69677B23"/>
    <w:rsid w:val="696D635C"/>
    <w:rsid w:val="69F06698"/>
    <w:rsid w:val="6A7A254F"/>
    <w:rsid w:val="6A8D3E81"/>
    <w:rsid w:val="6AD41B9F"/>
    <w:rsid w:val="6B095ECC"/>
    <w:rsid w:val="6B8660E8"/>
    <w:rsid w:val="6BD24A49"/>
    <w:rsid w:val="6BE4624A"/>
    <w:rsid w:val="6C091C4C"/>
    <w:rsid w:val="6C150AF4"/>
    <w:rsid w:val="6CA67BE1"/>
    <w:rsid w:val="6CD54F42"/>
    <w:rsid w:val="6D13480F"/>
    <w:rsid w:val="6D24268C"/>
    <w:rsid w:val="6E056B89"/>
    <w:rsid w:val="6E565636"/>
    <w:rsid w:val="6ECC4355"/>
    <w:rsid w:val="6F280D81"/>
    <w:rsid w:val="6F381049"/>
    <w:rsid w:val="6FC8230E"/>
    <w:rsid w:val="6FE8093F"/>
    <w:rsid w:val="700823C4"/>
    <w:rsid w:val="702305E1"/>
    <w:rsid w:val="702932C7"/>
    <w:rsid w:val="7104581E"/>
    <w:rsid w:val="710857EE"/>
    <w:rsid w:val="71D01737"/>
    <w:rsid w:val="71D7083C"/>
    <w:rsid w:val="72694884"/>
    <w:rsid w:val="735D2FC3"/>
    <w:rsid w:val="73C16D4D"/>
    <w:rsid w:val="746A3BCE"/>
    <w:rsid w:val="75681C87"/>
    <w:rsid w:val="75871EE4"/>
    <w:rsid w:val="7621378B"/>
    <w:rsid w:val="7626077B"/>
    <w:rsid w:val="76402E45"/>
    <w:rsid w:val="766C59F7"/>
    <w:rsid w:val="768E1E11"/>
    <w:rsid w:val="773D3837"/>
    <w:rsid w:val="776B5CAF"/>
    <w:rsid w:val="78F12E51"/>
    <w:rsid w:val="799A7812"/>
    <w:rsid w:val="79F20909"/>
    <w:rsid w:val="79FC52E4"/>
    <w:rsid w:val="7A444ABF"/>
    <w:rsid w:val="7A931D3D"/>
    <w:rsid w:val="7AE746E5"/>
    <w:rsid w:val="7AE85672"/>
    <w:rsid w:val="7B986CF0"/>
    <w:rsid w:val="7B9E7A95"/>
    <w:rsid w:val="7C1A5EF5"/>
    <w:rsid w:val="7C4411C4"/>
    <w:rsid w:val="7C6B04FF"/>
    <w:rsid w:val="7DAF5C99"/>
    <w:rsid w:val="7DBB1012"/>
    <w:rsid w:val="7DDA520A"/>
    <w:rsid w:val="7EAA1892"/>
    <w:rsid w:val="7ECC2A49"/>
    <w:rsid w:val="7F087BEA"/>
    <w:rsid w:val="7F405C73"/>
    <w:rsid w:val="7F6148CC"/>
    <w:rsid w:val="7FE5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3"/>
    <w:autoRedefine/>
    <w:qFormat/>
    <w:uiPriority w:val="0"/>
    <w:pPr>
      <w:spacing w:line="240" w:lineRule="auto"/>
    </w:pPr>
    <w:rPr>
      <w:sz w:val="18"/>
      <w:szCs w:val="18"/>
    </w:rPr>
  </w:style>
  <w:style w:type="paragraph" w:styleId="4">
    <w:name w:val="footer"/>
    <w:basedOn w:val="1"/>
    <w:link w:val="18"/>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link w:val="17"/>
    <w:autoRedefine/>
    <w:qFormat/>
    <w:uiPriority w:val="0"/>
    <w:pPr>
      <w:tabs>
        <w:tab w:val="center" w:pos="4153"/>
        <w:tab w:val="right" w:pos="8306"/>
      </w:tabs>
      <w:snapToGrid w:val="0"/>
      <w:spacing w:line="240" w:lineRule="auto"/>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7">
    <w:name w:val="Normal (Web)"/>
    <w:basedOn w:val="1"/>
    <w:qFormat/>
    <w:uiPriority w:val="0"/>
    <w:pPr>
      <w:spacing w:beforeAutospacing="1" w:afterAutospacing="1"/>
      <w:jc w:val="left"/>
    </w:pPr>
    <w:rPr>
      <w:kern w:val="0"/>
    </w:rPr>
  </w:style>
  <w:style w:type="paragraph" w:styleId="8">
    <w:name w:val="annotation subject"/>
    <w:basedOn w:val="2"/>
    <w:next w:val="2"/>
    <w:link w:val="15"/>
    <w:autoRedefine/>
    <w:qFormat/>
    <w:uiPriority w:val="0"/>
    <w:rPr>
      <w:b/>
      <w:bCs/>
    </w:rPr>
  </w:style>
  <w:style w:type="character" w:styleId="11">
    <w:name w:val="Strong"/>
    <w:basedOn w:val="10"/>
    <w:qFormat/>
    <w:uiPriority w:val="0"/>
    <w:rPr>
      <w:b/>
    </w:rPr>
  </w:style>
  <w:style w:type="character" w:styleId="12">
    <w:name w:val="annotation reference"/>
    <w:basedOn w:val="10"/>
    <w:autoRedefine/>
    <w:qFormat/>
    <w:uiPriority w:val="0"/>
    <w:rPr>
      <w:sz w:val="21"/>
      <w:szCs w:val="21"/>
    </w:rPr>
  </w:style>
  <w:style w:type="character" w:customStyle="1" w:styleId="13">
    <w:name w:val="批注框文本 Char"/>
    <w:basedOn w:val="10"/>
    <w:link w:val="3"/>
    <w:autoRedefine/>
    <w:qFormat/>
    <w:uiPriority w:val="0"/>
    <w:rPr>
      <w:kern w:val="2"/>
      <w:sz w:val="18"/>
      <w:szCs w:val="18"/>
    </w:rPr>
  </w:style>
  <w:style w:type="character" w:customStyle="1" w:styleId="14">
    <w:name w:val="批注文字 Char"/>
    <w:basedOn w:val="10"/>
    <w:link w:val="2"/>
    <w:autoRedefine/>
    <w:qFormat/>
    <w:uiPriority w:val="0"/>
    <w:rPr>
      <w:kern w:val="2"/>
      <w:sz w:val="24"/>
      <w:szCs w:val="24"/>
    </w:rPr>
  </w:style>
  <w:style w:type="character" w:customStyle="1" w:styleId="15">
    <w:name w:val="批注主题 Char"/>
    <w:basedOn w:val="14"/>
    <w:link w:val="8"/>
    <w:autoRedefine/>
    <w:qFormat/>
    <w:uiPriority w:val="0"/>
    <w:rPr>
      <w:b/>
      <w:bCs/>
      <w:kern w:val="2"/>
      <w:sz w:val="24"/>
      <w:szCs w:val="24"/>
    </w:rPr>
  </w:style>
  <w:style w:type="paragraph" w:customStyle="1" w:styleId="16">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7">
    <w:name w:val="页眉 Char"/>
    <w:basedOn w:val="10"/>
    <w:link w:val="5"/>
    <w:autoRedefine/>
    <w:qFormat/>
    <w:uiPriority w:val="0"/>
    <w:rPr>
      <w:kern w:val="2"/>
      <w:sz w:val="18"/>
      <w:szCs w:val="18"/>
    </w:rPr>
  </w:style>
  <w:style w:type="character" w:customStyle="1" w:styleId="18">
    <w:name w:val="页脚 Char"/>
    <w:basedOn w:val="10"/>
    <w:link w:val="4"/>
    <w:autoRedefine/>
    <w:qFormat/>
    <w:uiPriority w:val="0"/>
    <w:rPr>
      <w:kern w:val="2"/>
      <w:sz w:val="18"/>
      <w:szCs w:val="18"/>
    </w:rPr>
  </w:style>
  <w:style w:type="paragraph" w:customStyle="1" w:styleId="19">
    <w:name w:val="修订2"/>
    <w:autoRedefine/>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3C93-273E-4E2C-81C7-1B7BA11914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2707</Words>
  <Characters>2873</Characters>
  <Lines>26</Lines>
  <Paragraphs>7</Paragraphs>
  <TotalTime>0</TotalTime>
  <ScaleCrop>false</ScaleCrop>
  <LinksUpToDate>false</LinksUpToDate>
  <CharactersWithSpaces>2999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2024-01-02T06:49:00Z</dcterms:created>
  <dc:creator>倪清清</dc:creator>
  <cp:lastModifiedBy>QZH</cp:lastModifiedBy>
  <cp:lastPrinted>2024-01-02T06:55:00Z</cp:lastPrinted>
  <dcterms:modified xsi:type="dcterms:W3CDTF">2024-08-29T08:06:16Z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F514B4D6229B403DB5A174E12533586C_13</vt:lpwstr>
  </property>
</Properties>
</file>