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1CE2E6A9" w:rsidR="003B1D4A" w:rsidRDefault="00DD1AC5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2024年</w:t>
      </w:r>
      <w:r w:rsidR="00273119">
        <w:rPr>
          <w:rFonts w:ascii="华文中宋" w:eastAsia="华文中宋" w:hAnsi="华文中宋" w:cs="华文中宋"/>
          <w:b/>
          <w:sz w:val="32"/>
          <w:szCs w:val="32"/>
        </w:rPr>
        <w:t>8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273119">
        <w:rPr>
          <w:rFonts w:ascii="华文中宋" w:eastAsia="华文中宋" w:hAnsi="华文中宋" w:cs="华文中宋"/>
          <w:b/>
          <w:sz w:val="32"/>
          <w:szCs w:val="32"/>
        </w:rPr>
        <w:t>29</w:t>
      </w:r>
      <w:r w:rsidR="00047AFF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273119">
        <w:rPr>
          <w:rFonts w:ascii="华文中宋" w:eastAsia="华文中宋" w:hAnsi="华文中宋" w:cs="华文中宋"/>
          <w:b/>
          <w:sz w:val="32"/>
          <w:szCs w:val="32"/>
        </w:rPr>
        <w:t>至</w:t>
      </w:r>
      <w:r w:rsidR="00273119">
        <w:rPr>
          <w:rFonts w:ascii="华文中宋" w:eastAsia="华文中宋" w:hAnsi="华文中宋" w:cs="华文中宋" w:hint="eastAsia"/>
          <w:b/>
          <w:sz w:val="32"/>
          <w:szCs w:val="32"/>
        </w:rPr>
        <w:t>8月3</w:t>
      </w:r>
      <w:r w:rsidR="00273119">
        <w:rPr>
          <w:rFonts w:ascii="华文中宋" w:eastAsia="华文中宋" w:hAnsi="华文中宋" w:cs="华文中宋"/>
          <w:b/>
          <w:sz w:val="32"/>
          <w:szCs w:val="32"/>
        </w:rPr>
        <w:t>0日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Default="003B1D4A"/>
    <w:p w14:paraId="71A75326" w14:textId="684FE6C2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>证券简称：国芯科技           证券代码：688262      编号：2024-</w:t>
      </w:r>
      <w:r w:rsidR="005F38E0">
        <w:rPr>
          <w:rFonts w:cs="宋体" w:hint="eastAsia"/>
          <w:b/>
          <w:bCs/>
        </w:rPr>
        <w:t>0</w:t>
      </w:r>
      <w:r w:rsidR="001A6034">
        <w:rPr>
          <w:rFonts w:cs="宋体"/>
          <w:b/>
          <w:bCs/>
        </w:rPr>
        <w:t>1</w:t>
      </w:r>
      <w:r w:rsidR="00273119">
        <w:rPr>
          <w:rFonts w:cs="宋体"/>
          <w:b/>
          <w:bCs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035"/>
      </w:tblGrid>
      <w:tr w:rsidR="003B1D4A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√</w:t>
            </w:r>
            <w:r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77777777" w:rsidR="003B1D4A" w:rsidRDefault="003F2E6B">
            <w:pPr>
              <w:ind w:firstLineChars="0" w:firstLine="0"/>
            </w:pPr>
            <w:r>
              <w:t>□新闻发布会          □路演活动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2F0CD8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1E6C11AB" w:rsidR="00080090" w:rsidRPr="00080090" w:rsidRDefault="00273119" w:rsidP="00AE73C0">
            <w:pPr>
              <w:ind w:firstLineChars="0" w:firstLine="0"/>
            </w:pPr>
            <w:r>
              <w:rPr>
                <w:rFonts w:hint="eastAsia"/>
              </w:rPr>
              <w:t>华商基金；</w:t>
            </w:r>
            <w:r w:rsidRPr="00273119">
              <w:rPr>
                <w:rFonts w:hint="eastAsia"/>
              </w:rPr>
              <w:t>长盛基金</w:t>
            </w:r>
            <w:r w:rsidR="00F115CB">
              <w:rPr>
                <w:rFonts w:hint="eastAsia"/>
              </w:rPr>
              <w:t>；</w:t>
            </w:r>
            <w:r w:rsidRPr="00273119">
              <w:rPr>
                <w:rFonts w:hint="eastAsia"/>
              </w:rPr>
              <w:t>交银施罗德基金</w:t>
            </w:r>
            <w:r w:rsidR="00F115CB">
              <w:rPr>
                <w:rFonts w:hint="eastAsia"/>
              </w:rPr>
              <w:t>；</w:t>
            </w:r>
            <w:r w:rsidRPr="00273119">
              <w:rPr>
                <w:rFonts w:hint="eastAsia"/>
              </w:rPr>
              <w:t>华美国际投资</w:t>
            </w:r>
            <w:r w:rsidR="00F115CB">
              <w:rPr>
                <w:rFonts w:hint="eastAsia"/>
              </w:rPr>
              <w:t>；</w:t>
            </w:r>
            <w:r w:rsidRPr="00273119">
              <w:rPr>
                <w:rFonts w:hint="eastAsia"/>
              </w:rPr>
              <w:t>华福证券</w:t>
            </w:r>
            <w:r w:rsidR="00F115CB">
              <w:rPr>
                <w:rFonts w:hint="eastAsia"/>
              </w:rPr>
              <w:t>；</w:t>
            </w:r>
            <w:proofErr w:type="gramStart"/>
            <w:r w:rsidRPr="00273119">
              <w:rPr>
                <w:rFonts w:hint="eastAsia"/>
              </w:rPr>
              <w:t>日胜隆私募</w:t>
            </w:r>
            <w:proofErr w:type="gramEnd"/>
            <w:r w:rsidRPr="00273119">
              <w:rPr>
                <w:rFonts w:hint="eastAsia"/>
              </w:rPr>
              <w:t>基金</w:t>
            </w:r>
            <w:r w:rsidR="00F115CB">
              <w:rPr>
                <w:rFonts w:hint="eastAsia"/>
              </w:rPr>
              <w:t>；</w:t>
            </w:r>
            <w:r w:rsidRPr="00273119">
              <w:rPr>
                <w:rFonts w:hint="eastAsia"/>
              </w:rPr>
              <w:t>上海牧</w:t>
            </w:r>
            <w:proofErr w:type="gramStart"/>
            <w:r w:rsidRPr="00273119">
              <w:rPr>
                <w:rFonts w:hint="eastAsia"/>
              </w:rPr>
              <w:t>鑫</w:t>
            </w:r>
            <w:proofErr w:type="gramEnd"/>
            <w:r w:rsidRPr="00273119">
              <w:rPr>
                <w:rFonts w:hint="eastAsia"/>
              </w:rPr>
              <w:t>私募基金</w:t>
            </w:r>
            <w:r w:rsidR="0033475C">
              <w:rPr>
                <w:rFonts w:hint="eastAsia"/>
              </w:rPr>
              <w:t>。</w:t>
            </w:r>
          </w:p>
        </w:tc>
      </w:tr>
      <w:tr w:rsidR="003B1D4A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240" w:type="pct"/>
            <w:vAlign w:val="center"/>
          </w:tcPr>
          <w:p w14:paraId="6C32DD5E" w14:textId="3320BC40" w:rsidR="003B1D4A" w:rsidRDefault="009B5F64" w:rsidP="00F115CB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024年</w:t>
            </w:r>
            <w:r w:rsidR="00273119">
              <w:t>8</w:t>
            </w:r>
            <w:r>
              <w:rPr>
                <w:rFonts w:hint="eastAsia"/>
              </w:rPr>
              <w:t>月</w:t>
            </w:r>
            <w:r w:rsidR="00273119">
              <w:t>29</w:t>
            </w:r>
            <w:r w:rsidR="005F38E0">
              <w:t>日</w:t>
            </w:r>
            <w:r w:rsidR="00273119">
              <w:t>；</w:t>
            </w:r>
            <w:r w:rsidR="00273119">
              <w:rPr>
                <w:rFonts w:hint="eastAsia"/>
              </w:rPr>
              <w:t>2</w:t>
            </w:r>
            <w:r w:rsidR="00273119">
              <w:t>024年8</w:t>
            </w:r>
            <w:r w:rsidR="00273119">
              <w:rPr>
                <w:rFonts w:hint="eastAsia"/>
              </w:rPr>
              <w:t>月3</w:t>
            </w:r>
            <w:r w:rsidR="00273119">
              <w:t>0日</w:t>
            </w:r>
            <w:r w:rsidR="00F115CB">
              <w:t>。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43134CB6" w:rsidR="003B1D4A" w:rsidRDefault="00F115CB" w:rsidP="00F115CB">
            <w:pPr>
              <w:ind w:firstLineChars="0" w:firstLine="0"/>
            </w:pPr>
            <w:r>
              <w:rPr>
                <w:rFonts w:hint="eastAsia"/>
              </w:rPr>
              <w:t>现场交流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49BFF728" w14:textId="1AE6A352" w:rsidR="005F38E0" w:rsidRDefault="003F2E6B" w:rsidP="00273119">
            <w:pPr>
              <w:ind w:firstLineChars="0" w:firstLine="0"/>
            </w:pPr>
            <w:r>
              <w:rPr>
                <w:rFonts w:hint="eastAsia"/>
              </w:rPr>
              <w:t>证券事务代表：龚小刚先生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0" w:type="pct"/>
          </w:tcPr>
          <w:p w14:paraId="41A12691" w14:textId="77777777" w:rsidR="003B1D4A" w:rsidRDefault="003F2E6B">
            <w:pPr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说明：对于已发布的重复问题</w:t>
            </w:r>
            <w:r w:rsidR="001A6034">
              <w:rPr>
                <w:rFonts w:hint="eastAsia"/>
                <w:b/>
                <w:bCs/>
              </w:rPr>
              <w:t>和内容</w:t>
            </w:r>
            <w:r>
              <w:rPr>
                <w:rFonts w:hint="eastAsia"/>
                <w:b/>
                <w:bCs/>
              </w:rPr>
              <w:t>，本表不再重复记录</w:t>
            </w:r>
            <w:r w:rsidR="00962EFF">
              <w:rPr>
                <w:rFonts w:hint="eastAsia"/>
                <w:b/>
                <w:bCs/>
              </w:rPr>
              <w:t>，更多关于公司的情况敬请查阅公司在《中国证券报》《上海证券报》《证券时报》《证券日报》和上海证券交易所网站上披露的定期报告和临时报告</w:t>
            </w:r>
            <w:r>
              <w:rPr>
                <w:rFonts w:hint="eastAsia"/>
                <w:b/>
                <w:bCs/>
              </w:rPr>
              <w:t>。</w:t>
            </w:r>
            <w:r w:rsidR="00E45EAD">
              <w:rPr>
                <w:rFonts w:hint="eastAsia"/>
                <w:b/>
                <w:bCs/>
              </w:rPr>
              <w:t>除重复问题及内容外，</w:t>
            </w:r>
            <w:r>
              <w:rPr>
                <w:rFonts w:hint="eastAsia"/>
                <w:b/>
                <w:bCs/>
              </w:rPr>
              <w:t>投资者</w:t>
            </w:r>
            <w:r w:rsidR="00962EFF">
              <w:rPr>
                <w:rFonts w:hint="eastAsia"/>
                <w:b/>
                <w:bCs/>
              </w:rPr>
              <w:t>本次</w:t>
            </w:r>
            <w:r>
              <w:rPr>
                <w:rFonts w:hint="eastAsia"/>
                <w:b/>
                <w:bCs/>
              </w:rPr>
              <w:t>提问的问题主要如下：</w:t>
            </w:r>
          </w:p>
          <w:p w14:paraId="5E516656" w14:textId="0FAE8272" w:rsidR="003B1D4A" w:rsidRDefault="00273119" w:rsidP="00DC7AFC">
            <w:pPr>
              <w:pStyle w:val="a"/>
              <w:ind w:left="44" w:firstLineChars="176" w:firstLine="424"/>
            </w:pPr>
            <w:r>
              <w:rPr>
                <w:rFonts w:hint="eastAsia"/>
              </w:rPr>
              <w:t>请问公司上半年毛利率是什么情况</w:t>
            </w:r>
            <w:r w:rsidR="003F2E6B">
              <w:t>？</w:t>
            </w:r>
            <w:r w:rsidR="00C52631">
              <w:t xml:space="preserve"> </w:t>
            </w:r>
          </w:p>
          <w:p w14:paraId="23F3C049" w14:textId="645EF154" w:rsidR="00DC7AFC" w:rsidRDefault="00EC1DE7" w:rsidP="009B5F64">
            <w:pPr>
              <w:ind w:firstLineChars="200" w:firstLine="480"/>
            </w:pPr>
            <w:r>
              <w:rPr>
                <w:rFonts w:hint="eastAsia"/>
              </w:rPr>
              <w:t>答：</w:t>
            </w:r>
            <w:r w:rsidR="00273119">
              <w:t>毛利率方面，</w:t>
            </w:r>
            <w:r w:rsidR="00273119" w:rsidRPr="00273119">
              <w:t>1-6月，公司毛利率为20.21%，同比下降3.55个百分点</w:t>
            </w:r>
            <w:r w:rsidR="00350417">
              <w:rPr>
                <w:rFonts w:hint="eastAsia"/>
              </w:rPr>
              <w:t>；</w:t>
            </w:r>
            <w:r w:rsidR="00273119" w:rsidRPr="00273119">
              <w:t>其中，二季度毛利率为39.26%，相较一季度的11.38%增加了27.88个百分点。</w:t>
            </w:r>
          </w:p>
          <w:p w14:paraId="59246D6F" w14:textId="0F005477" w:rsidR="00CA0004" w:rsidRDefault="00350417" w:rsidP="00A22ABD">
            <w:pPr>
              <w:pStyle w:val="a"/>
              <w:ind w:left="44" w:firstLineChars="176" w:firstLine="424"/>
            </w:pPr>
            <w:r>
              <w:rPr>
                <w:rFonts w:hint="eastAsia"/>
              </w:rPr>
              <w:t>截至</w:t>
            </w:r>
            <w:r w:rsidR="00DB6415">
              <w:rPr>
                <w:rFonts w:hint="eastAsia"/>
              </w:rPr>
              <w:t>2</w:t>
            </w:r>
            <w:r w:rsidR="00DB6415">
              <w:t>024</w:t>
            </w:r>
            <w:r w:rsidR="00DB6415">
              <w:t>年</w:t>
            </w:r>
            <w:r w:rsidR="00DB6415">
              <w:rPr>
                <w:rFonts w:hint="eastAsia"/>
              </w:rPr>
              <w:t>6</w:t>
            </w:r>
            <w:r w:rsidR="00DB6415">
              <w:rPr>
                <w:rFonts w:hint="eastAsia"/>
              </w:rPr>
              <w:t>月</w:t>
            </w:r>
            <w:r w:rsidR="00DB6415">
              <w:rPr>
                <w:rFonts w:hint="eastAsia"/>
              </w:rPr>
              <w:t>3</w:t>
            </w:r>
            <w:r w:rsidR="00DB6415">
              <w:t>0</w:t>
            </w:r>
            <w:r w:rsidR="00DB6415">
              <w:t>日</w:t>
            </w:r>
            <w:r>
              <w:rPr>
                <w:rFonts w:hint="eastAsia"/>
              </w:rPr>
              <w:t>，公司合同负债相比去年末增幅较大的原因能介绍一下吗？</w:t>
            </w:r>
          </w:p>
          <w:p w14:paraId="2CFDC966" w14:textId="37963A47" w:rsidR="00E70AFB" w:rsidRPr="0079143B" w:rsidRDefault="00CA0004" w:rsidP="00236D23">
            <w:pPr>
              <w:ind w:firstLineChars="200" w:firstLine="480"/>
            </w:pPr>
            <w:r>
              <w:rPr>
                <w:rFonts w:hint="eastAsia"/>
              </w:rPr>
              <w:t>答：</w:t>
            </w:r>
            <w:r w:rsidR="00236D23">
              <w:rPr>
                <w:rFonts w:hint="eastAsia"/>
              </w:rPr>
              <w:t>截止2024年6月30日，</w:t>
            </w:r>
            <w:r w:rsidR="00653106">
              <w:t>公司的合同负债</w:t>
            </w:r>
            <w:r w:rsidR="00236D23">
              <w:rPr>
                <w:rFonts w:hint="eastAsia"/>
              </w:rPr>
              <w:t>总额为6.33亿</w:t>
            </w:r>
            <w:r w:rsidR="00236D23">
              <w:rPr>
                <w:rFonts w:hint="eastAsia"/>
              </w:rPr>
              <w:lastRenderedPageBreak/>
              <w:t>元，</w:t>
            </w:r>
            <w:r w:rsidR="00653106">
              <w:t>相比</w:t>
            </w:r>
            <w:r w:rsidR="00653106">
              <w:rPr>
                <w:rFonts w:hint="eastAsia"/>
              </w:rPr>
              <w:t>2</w:t>
            </w:r>
            <w:r w:rsidR="00653106">
              <w:t>023年</w:t>
            </w:r>
            <w:r w:rsidR="00653106">
              <w:rPr>
                <w:rFonts w:hint="eastAsia"/>
              </w:rPr>
              <w:t>1</w:t>
            </w:r>
            <w:r w:rsidR="00653106">
              <w:t>2月</w:t>
            </w:r>
            <w:r w:rsidR="00653106">
              <w:rPr>
                <w:rFonts w:hint="eastAsia"/>
              </w:rPr>
              <w:t>3</w:t>
            </w:r>
            <w:r w:rsidR="00653106">
              <w:t>1日上升了</w:t>
            </w:r>
            <w:r w:rsidR="00653106">
              <w:rPr>
                <w:rFonts w:hint="eastAsia"/>
              </w:rPr>
              <w:t>7</w:t>
            </w:r>
            <w:r w:rsidR="00653106">
              <w:t>9.41%，相比去年同期上升了</w:t>
            </w:r>
            <w:r w:rsidR="00653106" w:rsidRPr="00653106">
              <w:t>132.14%</w:t>
            </w:r>
            <w:r w:rsidR="00653106">
              <w:t>。合同负债增幅较大是</w:t>
            </w:r>
            <w:r w:rsidR="00653106">
              <w:rPr>
                <w:rFonts w:hint="eastAsia"/>
              </w:rPr>
              <w:t>由于</w:t>
            </w:r>
            <w:r w:rsidR="00653106">
              <w:t>公司</w:t>
            </w:r>
            <w:r w:rsidR="0079284D">
              <w:rPr>
                <w:rFonts w:hint="eastAsia"/>
              </w:rPr>
              <w:t>已签订但尚未完成</w:t>
            </w:r>
            <w:r w:rsidR="00653106">
              <w:t>的业务</w:t>
            </w:r>
            <w:r w:rsidR="0079284D">
              <w:rPr>
                <w:rFonts w:hint="eastAsia"/>
              </w:rPr>
              <w:t>合同的</w:t>
            </w:r>
            <w:r w:rsidR="00653106">
              <w:t>增长带来</w:t>
            </w:r>
            <w:r w:rsidR="00653106">
              <w:rPr>
                <w:rFonts w:hint="eastAsia"/>
              </w:rPr>
              <w:t>了</w:t>
            </w:r>
            <w:r w:rsidR="0079284D">
              <w:rPr>
                <w:rFonts w:hint="eastAsia"/>
              </w:rPr>
              <w:t>公司对客户的</w:t>
            </w:r>
            <w:r w:rsidR="00653106">
              <w:t>预收账款的增加</w:t>
            </w:r>
            <w:r w:rsidR="00E70AFB" w:rsidRPr="00A2295A">
              <w:t>。</w:t>
            </w:r>
          </w:p>
          <w:p w14:paraId="2DFC4F7B" w14:textId="194699D3" w:rsidR="00E70AFB" w:rsidRPr="00EC1DE7" w:rsidRDefault="00720027" w:rsidP="00720027">
            <w:pPr>
              <w:pStyle w:val="a"/>
              <w:ind w:left="548"/>
            </w:pPr>
            <w:r>
              <w:rPr>
                <w:rFonts w:hint="eastAsia"/>
              </w:rPr>
              <w:t>请问，公司的</w:t>
            </w:r>
            <w:r w:rsidR="00601B40">
              <w:rPr>
                <w:rFonts w:hint="eastAsia"/>
              </w:rPr>
              <w:t>研发和管理</w:t>
            </w:r>
            <w:r>
              <w:rPr>
                <w:rFonts w:hint="eastAsia"/>
              </w:rPr>
              <w:t>费用情况可否介绍一下，特别是</w:t>
            </w:r>
            <w:r w:rsidRPr="00720027">
              <w:rPr>
                <w:rFonts w:hint="eastAsia"/>
              </w:rPr>
              <w:t>研发费用</w:t>
            </w:r>
            <w:r w:rsidR="003A4952">
              <w:rPr>
                <w:rFonts w:hint="eastAsia"/>
              </w:rPr>
              <w:t>？</w:t>
            </w:r>
          </w:p>
          <w:p w14:paraId="3ABA8876" w14:textId="1BC4D3F2" w:rsidR="00C52631" w:rsidRDefault="005A0297" w:rsidP="00720027">
            <w:pPr>
              <w:ind w:firstLineChars="200" w:firstLine="480"/>
            </w:pPr>
            <w:r w:rsidRPr="005A0297">
              <w:t>答：</w:t>
            </w:r>
            <w:r w:rsidR="00DB6415" w:rsidRPr="00C52631">
              <w:rPr>
                <w:rFonts w:hint="eastAsia"/>
              </w:rPr>
              <w:t>截至</w:t>
            </w:r>
            <w:r w:rsidR="00DB6415">
              <w:rPr>
                <w:rFonts w:hint="eastAsia"/>
              </w:rPr>
              <w:t>2</w:t>
            </w:r>
            <w:r w:rsidR="00DB6415">
              <w:t>024年</w:t>
            </w:r>
            <w:r w:rsidR="00DB6415" w:rsidRPr="00C52631">
              <w:t>6月30日</w:t>
            </w:r>
            <w:r w:rsidR="00720027">
              <w:t>，公司投入研发费用共计14,413.02万元，其中一季度投入研发费用7,173.68万元，二季度投入7,239.34万元，环比增长0.92%。</w:t>
            </w:r>
            <w:r w:rsidR="00C52631" w:rsidRPr="00C52631">
              <w:rPr>
                <w:rFonts w:hint="eastAsia"/>
              </w:rPr>
              <w:t>稳定的研发投入有力保证了公司新产品新技术的研发进度如期推进</w:t>
            </w:r>
            <w:r w:rsidR="00C52631">
              <w:rPr>
                <w:rFonts w:hint="eastAsia"/>
              </w:rPr>
              <w:t>。</w:t>
            </w:r>
          </w:p>
          <w:p w14:paraId="11858F6A" w14:textId="117CEE5D" w:rsidR="003A7D35" w:rsidRDefault="00720027" w:rsidP="00720027">
            <w:pPr>
              <w:ind w:firstLineChars="200" w:firstLine="480"/>
            </w:pPr>
            <w:r>
              <w:t>另外，公司</w:t>
            </w:r>
            <w:r>
              <w:rPr>
                <w:rFonts w:hint="eastAsia"/>
              </w:rPr>
              <w:t>1</w:t>
            </w:r>
            <w:r>
              <w:t>-6月的管理费用共计2263.43万元，同比下降7.90%</w:t>
            </w:r>
            <w:r>
              <w:rPr>
                <w:rFonts w:hint="eastAsia"/>
              </w:rPr>
              <w:t>，</w:t>
            </w:r>
            <w:r w:rsidRPr="00720027">
              <w:rPr>
                <w:rFonts w:hint="eastAsia"/>
              </w:rPr>
              <w:t>主要是</w:t>
            </w:r>
            <w:r>
              <w:rPr>
                <w:rFonts w:hint="eastAsia"/>
              </w:rPr>
              <w:t>在降本增效的措施下，公司减少了部分办公费用、中介机构费用等</w:t>
            </w:r>
            <w:r w:rsidR="003A7D35">
              <w:rPr>
                <w:rFonts w:hint="eastAsia"/>
              </w:rPr>
              <w:t>。</w:t>
            </w:r>
          </w:p>
          <w:p w14:paraId="1C32F73B" w14:textId="15441D7C" w:rsidR="00720027" w:rsidRDefault="00720027" w:rsidP="00720027">
            <w:pPr>
              <w:ind w:firstLineChars="200" w:firstLine="480"/>
            </w:pPr>
            <w:r w:rsidRPr="00720027">
              <w:rPr>
                <w:rFonts w:hint="eastAsia"/>
              </w:rPr>
              <w:t>公司将</w:t>
            </w:r>
            <w:r>
              <w:rPr>
                <w:rFonts w:hint="eastAsia"/>
              </w:rPr>
              <w:t>继续</w:t>
            </w:r>
            <w:proofErr w:type="gramStart"/>
            <w:r>
              <w:rPr>
                <w:rFonts w:hint="eastAsia"/>
              </w:rPr>
              <w:t>践行</w:t>
            </w:r>
            <w:proofErr w:type="gramEnd"/>
            <w:r w:rsidR="00F115CB">
              <w:rPr>
                <w:rFonts w:hint="eastAsia"/>
              </w:rPr>
              <w:t>已制定的“提质增效重回报”行动方案，提高效率，</w:t>
            </w:r>
            <w:r w:rsidRPr="00720027">
              <w:rPr>
                <w:rFonts w:hint="eastAsia"/>
              </w:rPr>
              <w:t>控制费用规模的增长速度</w:t>
            </w:r>
            <w:r w:rsidR="00F115CB">
              <w:rPr>
                <w:rFonts w:hint="eastAsia"/>
              </w:rPr>
              <w:t>，进一步提升经营效能。</w:t>
            </w:r>
          </w:p>
          <w:p w14:paraId="3221F50E" w14:textId="2F8C2E33" w:rsidR="00C52631" w:rsidRDefault="00C52631" w:rsidP="00C52631">
            <w:pPr>
              <w:pStyle w:val="a"/>
              <w:ind w:left="-19" w:firstLineChars="235" w:firstLine="566"/>
            </w:pPr>
            <w:r>
              <w:rPr>
                <w:rFonts w:hint="eastAsia"/>
              </w:rPr>
              <w:t>公司汽车电子</w:t>
            </w:r>
            <w:r w:rsidR="00601B40">
              <w:rPr>
                <w:rFonts w:hint="eastAsia"/>
              </w:rPr>
              <w:t>芯片</w:t>
            </w:r>
            <w:r>
              <w:rPr>
                <w:rFonts w:hint="eastAsia"/>
              </w:rPr>
              <w:t>的</w:t>
            </w:r>
            <w:r w:rsidR="00601B40">
              <w:rPr>
                <w:rFonts w:hint="eastAsia"/>
              </w:rPr>
              <w:t>客户应用</w:t>
            </w:r>
            <w:r>
              <w:rPr>
                <w:rFonts w:hint="eastAsia"/>
              </w:rPr>
              <w:t>以及量</w:t>
            </w:r>
            <w:proofErr w:type="gramStart"/>
            <w:r>
              <w:rPr>
                <w:rFonts w:hint="eastAsia"/>
              </w:rPr>
              <w:t>产情况</w:t>
            </w:r>
            <w:proofErr w:type="gramEnd"/>
            <w:r>
              <w:rPr>
                <w:rFonts w:hint="eastAsia"/>
              </w:rPr>
              <w:t>如何？</w:t>
            </w:r>
          </w:p>
          <w:p w14:paraId="1A363D14" w14:textId="00D13045" w:rsidR="00EC1DE7" w:rsidRPr="005A0297" w:rsidRDefault="00DB6415" w:rsidP="00601B40">
            <w:pPr>
              <w:ind w:firstLineChars="200" w:firstLine="480"/>
            </w:pPr>
            <w:r>
              <w:rPr>
                <w:rFonts w:hint="eastAsia"/>
              </w:rPr>
              <w:t>答：</w:t>
            </w:r>
            <w:r w:rsidR="00C52631" w:rsidRPr="00C52631">
              <w:rPr>
                <w:rFonts w:hint="eastAsia"/>
              </w:rPr>
              <w:t>截至</w:t>
            </w:r>
            <w:r>
              <w:rPr>
                <w:rFonts w:hint="eastAsia"/>
              </w:rPr>
              <w:t>2</w:t>
            </w:r>
            <w:r>
              <w:t>024年</w:t>
            </w:r>
            <w:r w:rsidR="00C52631" w:rsidRPr="00C52631">
              <w:t>6月30日，客户</w:t>
            </w:r>
            <w:r w:rsidR="0079284D">
              <w:rPr>
                <w:rFonts w:hint="eastAsia"/>
              </w:rPr>
              <w:t>累计</w:t>
            </w:r>
            <w:r w:rsidR="00C52631" w:rsidRPr="00C52631">
              <w:t>基于公司汽车电子芯片开发的项目数达到126个，同比增加125%；汽车电子芯片</w:t>
            </w:r>
            <w:r w:rsidR="0079284D">
              <w:rPr>
                <w:rFonts w:hint="eastAsia"/>
              </w:rPr>
              <w:t>累计</w:t>
            </w:r>
            <w:r w:rsidR="00C52631" w:rsidRPr="00C52631">
              <w:t>量</w:t>
            </w:r>
            <w:proofErr w:type="gramStart"/>
            <w:r w:rsidR="00C52631" w:rsidRPr="00C52631">
              <w:t>产项目</w:t>
            </w:r>
            <w:proofErr w:type="gramEnd"/>
            <w:r w:rsidR="00C52631" w:rsidRPr="00C52631">
              <w:t>数26个，同比增加100%。</w:t>
            </w:r>
            <w:r w:rsidR="00EE2F6A" w:rsidRPr="00EE2F6A">
              <w:t>2024年上半年，公司围绕着在汽车电子芯片领域的12条产品线布局，不断推出适应市场需求的新产品，</w:t>
            </w:r>
            <w:r w:rsidR="00601B40">
              <w:rPr>
                <w:rFonts w:hint="eastAsia"/>
              </w:rPr>
              <w:t>积极拓展市场，客户基于公司汽车电子芯片开发的</w:t>
            </w:r>
            <w:r w:rsidR="00EE2F6A" w:rsidRPr="00EE2F6A">
              <w:t>项目</w:t>
            </w:r>
            <w:r w:rsidR="00601B40">
              <w:rPr>
                <w:rFonts w:hint="eastAsia"/>
              </w:rPr>
              <w:t>数</w:t>
            </w:r>
            <w:r w:rsidR="00EE2F6A" w:rsidRPr="00EE2F6A">
              <w:t>不断增多，</w:t>
            </w:r>
            <w:r w:rsidR="0079284D">
              <w:rPr>
                <w:rFonts w:hint="eastAsia"/>
              </w:rPr>
              <w:t>更多的</w:t>
            </w:r>
            <w:r w:rsidR="00EE2F6A" w:rsidRPr="00EE2F6A">
              <w:t>汽车电子芯片项目实现量产。</w:t>
            </w:r>
            <w:r w:rsidR="00C52631" w:rsidRPr="00C52631">
              <w:t>2024年上半年，汽车电子芯片业务</w:t>
            </w:r>
            <w:r w:rsidRPr="00DB6415">
              <w:rPr>
                <w:rFonts w:hint="eastAsia"/>
              </w:rPr>
              <w:t>收入</w:t>
            </w:r>
            <w:r w:rsidRPr="00DB6415">
              <w:t>3,000.73万元</w:t>
            </w:r>
            <w:r>
              <w:t>，</w:t>
            </w:r>
            <w:r w:rsidR="00C52631" w:rsidRPr="00C52631">
              <w:t>实现了</w:t>
            </w:r>
            <w:r>
              <w:t>同比</w:t>
            </w:r>
            <w:r w:rsidR="00C52631" w:rsidRPr="00C52631">
              <w:t>42.6%的增长</w:t>
            </w:r>
            <w:r w:rsidR="0079284D">
              <w:rPr>
                <w:rFonts w:hint="eastAsia"/>
              </w:rPr>
              <w:t>。</w:t>
            </w:r>
            <w:r w:rsidR="00C52631">
              <w:t>公司</w:t>
            </w:r>
            <w:r w:rsidR="00EE2F6A">
              <w:t>将</w:t>
            </w:r>
            <w:r w:rsidR="00C52631">
              <w:t>继续</w:t>
            </w:r>
            <w:r w:rsidR="00C52631" w:rsidRPr="00C52631">
              <w:rPr>
                <w:rFonts w:hint="eastAsia"/>
              </w:rPr>
              <w:t>不断突破汽车电子</w:t>
            </w:r>
            <w:r w:rsidR="00C52631" w:rsidRPr="00C52631">
              <w:t>中高端</w:t>
            </w:r>
            <w:r w:rsidR="0079284D">
              <w:rPr>
                <w:rFonts w:hint="eastAsia"/>
              </w:rPr>
              <w:t>MCU芯片</w:t>
            </w:r>
            <w:r w:rsidR="00C52631" w:rsidRPr="00C52631">
              <w:t>产品的技术壁垒，积极通过“MCU+”策略拓展市场，逐步搭建出丰富的汽车电子</w:t>
            </w:r>
            <w:r w:rsidR="0079284D">
              <w:rPr>
                <w:rFonts w:hint="eastAsia"/>
              </w:rPr>
              <w:t>芯片</w:t>
            </w:r>
            <w:r w:rsidR="00C52631" w:rsidRPr="00C52631">
              <w:t>产品矩阵，推进公司汽车电子芯片业务做大做强</w:t>
            </w:r>
            <w:r w:rsidR="00C52631">
              <w:t>。</w:t>
            </w: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005D8147" w:rsidR="003B1D4A" w:rsidRDefault="00DB2524" w:rsidP="00F115CB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024年</w:t>
            </w:r>
            <w:r w:rsidR="00F115CB">
              <w:t>8</w:t>
            </w:r>
            <w:r w:rsidR="003F2E6B">
              <w:rPr>
                <w:rFonts w:hint="eastAsia"/>
              </w:rPr>
              <w:t>月</w:t>
            </w:r>
            <w:bookmarkStart w:id="0" w:name="_GoBack"/>
            <w:bookmarkEnd w:id="0"/>
          </w:p>
        </w:tc>
      </w:tr>
    </w:tbl>
    <w:p w14:paraId="47872F2C" w14:textId="77777777" w:rsidR="003B1D4A" w:rsidRDefault="003B1D4A" w:rsidP="00093096">
      <w:pPr>
        <w:ind w:firstLineChars="0" w:firstLine="0"/>
        <w:rPr>
          <w:rFonts w:hint="eastAsia"/>
        </w:rPr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D64AF" w14:textId="77777777" w:rsidR="0053050B" w:rsidRDefault="0053050B">
      <w:pPr>
        <w:spacing w:line="240" w:lineRule="auto"/>
      </w:pPr>
      <w:r>
        <w:separator/>
      </w:r>
    </w:p>
  </w:endnote>
  <w:endnote w:type="continuationSeparator" w:id="0">
    <w:p w14:paraId="4933C405" w14:textId="77777777" w:rsidR="0053050B" w:rsidRDefault="00530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3B1D4A" w:rsidRDefault="003F2E6B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6"/>
      <w:ind w:firstLine="180"/>
    </w:pPr>
  </w:p>
  <w:p w14:paraId="063A4A46" w14:textId="77777777" w:rsidR="003B1D4A" w:rsidRDefault="003B1D4A"/>
  <w:p w14:paraId="05401801" w14:textId="77777777" w:rsidR="003B1D4A" w:rsidRDefault="003B1D4A"/>
  <w:p w14:paraId="06E5972A" w14:textId="77777777" w:rsidR="003B1D4A" w:rsidRDefault="003B1D4A"/>
  <w:p w14:paraId="30E4CD99" w14:textId="77777777" w:rsidR="003B1D4A" w:rsidRDefault="003B1D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77777777" w:rsidR="00E45EAD" w:rsidRDefault="00E45EAD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096" w:rsidRPr="00093096">
          <w:rPr>
            <w:noProof/>
            <w:lang w:val="zh-CN"/>
          </w:rPr>
          <w:t>1</w:t>
        </w:r>
        <w:r>
          <w:fldChar w:fldCharType="end"/>
        </w:r>
      </w:p>
    </w:sdtContent>
  </w:sdt>
  <w:p w14:paraId="44699B6D" w14:textId="77777777" w:rsidR="003B1D4A" w:rsidRDefault="003B1D4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3B1D4A" w:rsidRDefault="003B1D4A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72E9" w14:textId="77777777" w:rsidR="0053050B" w:rsidRDefault="0053050B">
      <w:r>
        <w:separator/>
      </w:r>
    </w:p>
  </w:footnote>
  <w:footnote w:type="continuationSeparator" w:id="0">
    <w:p w14:paraId="6027866B" w14:textId="77777777" w:rsidR="0053050B" w:rsidRDefault="00530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3B1D4A" w:rsidRDefault="003B1D4A">
    <w:pPr>
      <w:pStyle w:val="a7"/>
      <w:ind w:firstLine="180"/>
    </w:pPr>
  </w:p>
  <w:p w14:paraId="3422A703" w14:textId="77777777" w:rsidR="003B1D4A" w:rsidRDefault="003B1D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640888" w:rsidRPr="00A22ABD" w:rsidRDefault="00640888" w:rsidP="00A22ABD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3B1D4A" w:rsidRDefault="003B1D4A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3724"/>
    <w:rsid w:val="00013A85"/>
    <w:rsid w:val="00031087"/>
    <w:rsid w:val="00044F32"/>
    <w:rsid w:val="00047AFF"/>
    <w:rsid w:val="000530E5"/>
    <w:rsid w:val="00064B5B"/>
    <w:rsid w:val="0007629F"/>
    <w:rsid w:val="00080090"/>
    <w:rsid w:val="0008101A"/>
    <w:rsid w:val="00091CC9"/>
    <w:rsid w:val="00093096"/>
    <w:rsid w:val="000A251F"/>
    <w:rsid w:val="000A3134"/>
    <w:rsid w:val="000B1DD2"/>
    <w:rsid w:val="000B4D51"/>
    <w:rsid w:val="000C0A85"/>
    <w:rsid w:val="000C77C8"/>
    <w:rsid w:val="000D496E"/>
    <w:rsid w:val="000E4190"/>
    <w:rsid w:val="000F29AC"/>
    <w:rsid w:val="000F76F1"/>
    <w:rsid w:val="0010693D"/>
    <w:rsid w:val="00111531"/>
    <w:rsid w:val="00112DB2"/>
    <w:rsid w:val="001242F6"/>
    <w:rsid w:val="00152377"/>
    <w:rsid w:val="00163FEB"/>
    <w:rsid w:val="0016400F"/>
    <w:rsid w:val="00165441"/>
    <w:rsid w:val="001716CA"/>
    <w:rsid w:val="00192429"/>
    <w:rsid w:val="00197E4E"/>
    <w:rsid w:val="001A0D8B"/>
    <w:rsid w:val="001A4172"/>
    <w:rsid w:val="001A42A9"/>
    <w:rsid w:val="001A6034"/>
    <w:rsid w:val="001B288F"/>
    <w:rsid w:val="001B415F"/>
    <w:rsid w:val="001E393D"/>
    <w:rsid w:val="001F3965"/>
    <w:rsid w:val="00221D0E"/>
    <w:rsid w:val="00226B8D"/>
    <w:rsid w:val="00236D23"/>
    <w:rsid w:val="00240ADB"/>
    <w:rsid w:val="00241E16"/>
    <w:rsid w:val="0024207E"/>
    <w:rsid w:val="00273119"/>
    <w:rsid w:val="00296139"/>
    <w:rsid w:val="002B5D4D"/>
    <w:rsid w:val="002C786C"/>
    <w:rsid w:val="002F0CD8"/>
    <w:rsid w:val="002F2F47"/>
    <w:rsid w:val="002F5D0C"/>
    <w:rsid w:val="00302D69"/>
    <w:rsid w:val="003031DA"/>
    <w:rsid w:val="003128D5"/>
    <w:rsid w:val="00312BFB"/>
    <w:rsid w:val="00312FB7"/>
    <w:rsid w:val="00326D0E"/>
    <w:rsid w:val="00333F0D"/>
    <w:rsid w:val="0033475C"/>
    <w:rsid w:val="003446DB"/>
    <w:rsid w:val="00350417"/>
    <w:rsid w:val="00354495"/>
    <w:rsid w:val="00377CAE"/>
    <w:rsid w:val="00385DD4"/>
    <w:rsid w:val="003A4952"/>
    <w:rsid w:val="003A7D35"/>
    <w:rsid w:val="003B12F2"/>
    <w:rsid w:val="003B1D4A"/>
    <w:rsid w:val="003C0A41"/>
    <w:rsid w:val="003C4C3F"/>
    <w:rsid w:val="003E10BA"/>
    <w:rsid w:val="003F232D"/>
    <w:rsid w:val="003F2E6B"/>
    <w:rsid w:val="003F7E36"/>
    <w:rsid w:val="0043525E"/>
    <w:rsid w:val="00457CFD"/>
    <w:rsid w:val="00462710"/>
    <w:rsid w:val="0048424D"/>
    <w:rsid w:val="004B5DC8"/>
    <w:rsid w:val="004D3594"/>
    <w:rsid w:val="004E1938"/>
    <w:rsid w:val="004E7967"/>
    <w:rsid w:val="00510501"/>
    <w:rsid w:val="00515580"/>
    <w:rsid w:val="00516F78"/>
    <w:rsid w:val="0053050B"/>
    <w:rsid w:val="005355E0"/>
    <w:rsid w:val="00540173"/>
    <w:rsid w:val="005639B1"/>
    <w:rsid w:val="00575414"/>
    <w:rsid w:val="00592BDD"/>
    <w:rsid w:val="005A0297"/>
    <w:rsid w:val="005B2184"/>
    <w:rsid w:val="005B2D9E"/>
    <w:rsid w:val="005D0399"/>
    <w:rsid w:val="005D08E7"/>
    <w:rsid w:val="005F38E0"/>
    <w:rsid w:val="0060128D"/>
    <w:rsid w:val="00601B40"/>
    <w:rsid w:val="00635DFD"/>
    <w:rsid w:val="00640888"/>
    <w:rsid w:val="00653106"/>
    <w:rsid w:val="00661F60"/>
    <w:rsid w:val="00665066"/>
    <w:rsid w:val="0068525D"/>
    <w:rsid w:val="006A7D22"/>
    <w:rsid w:val="006C1FB5"/>
    <w:rsid w:val="006C6924"/>
    <w:rsid w:val="006D3F9F"/>
    <w:rsid w:val="006E1508"/>
    <w:rsid w:val="006E6A5D"/>
    <w:rsid w:val="006F53B9"/>
    <w:rsid w:val="0070643C"/>
    <w:rsid w:val="00707CF0"/>
    <w:rsid w:val="00707F88"/>
    <w:rsid w:val="00720027"/>
    <w:rsid w:val="00723AF3"/>
    <w:rsid w:val="00746A93"/>
    <w:rsid w:val="00764707"/>
    <w:rsid w:val="00771743"/>
    <w:rsid w:val="00773489"/>
    <w:rsid w:val="00775044"/>
    <w:rsid w:val="00785C70"/>
    <w:rsid w:val="0079143B"/>
    <w:rsid w:val="0079284D"/>
    <w:rsid w:val="00792A7D"/>
    <w:rsid w:val="007B3ADF"/>
    <w:rsid w:val="007B5CFF"/>
    <w:rsid w:val="007C1342"/>
    <w:rsid w:val="007E2D8C"/>
    <w:rsid w:val="007F541E"/>
    <w:rsid w:val="00805D5B"/>
    <w:rsid w:val="008140F1"/>
    <w:rsid w:val="008243C3"/>
    <w:rsid w:val="00826966"/>
    <w:rsid w:val="008318ED"/>
    <w:rsid w:val="0083242D"/>
    <w:rsid w:val="008342E7"/>
    <w:rsid w:val="0084062B"/>
    <w:rsid w:val="00841D6E"/>
    <w:rsid w:val="008468EA"/>
    <w:rsid w:val="00850D62"/>
    <w:rsid w:val="00864578"/>
    <w:rsid w:val="00864D3C"/>
    <w:rsid w:val="00870501"/>
    <w:rsid w:val="00875674"/>
    <w:rsid w:val="008952D4"/>
    <w:rsid w:val="008C740E"/>
    <w:rsid w:val="008D0F98"/>
    <w:rsid w:val="008D4E8C"/>
    <w:rsid w:val="008D5334"/>
    <w:rsid w:val="008D7A17"/>
    <w:rsid w:val="008D7A90"/>
    <w:rsid w:val="008E34B2"/>
    <w:rsid w:val="009144FD"/>
    <w:rsid w:val="00920255"/>
    <w:rsid w:val="00932F1F"/>
    <w:rsid w:val="00933089"/>
    <w:rsid w:val="00935BF7"/>
    <w:rsid w:val="00935C92"/>
    <w:rsid w:val="00943ABD"/>
    <w:rsid w:val="0094461D"/>
    <w:rsid w:val="009465C7"/>
    <w:rsid w:val="009624C1"/>
    <w:rsid w:val="00962EFF"/>
    <w:rsid w:val="00976AFB"/>
    <w:rsid w:val="00983A69"/>
    <w:rsid w:val="009979F9"/>
    <w:rsid w:val="009B5F64"/>
    <w:rsid w:val="009C5347"/>
    <w:rsid w:val="009D3CE9"/>
    <w:rsid w:val="009D66BE"/>
    <w:rsid w:val="009D6C5B"/>
    <w:rsid w:val="009E2187"/>
    <w:rsid w:val="009F20B0"/>
    <w:rsid w:val="009F2E64"/>
    <w:rsid w:val="009F52B8"/>
    <w:rsid w:val="009F7E66"/>
    <w:rsid w:val="00A10FD9"/>
    <w:rsid w:val="00A160EB"/>
    <w:rsid w:val="00A2295A"/>
    <w:rsid w:val="00A22ABD"/>
    <w:rsid w:val="00A24A19"/>
    <w:rsid w:val="00A474CA"/>
    <w:rsid w:val="00A729AA"/>
    <w:rsid w:val="00A75A65"/>
    <w:rsid w:val="00A86646"/>
    <w:rsid w:val="00AA480E"/>
    <w:rsid w:val="00AB1FF8"/>
    <w:rsid w:val="00AC3063"/>
    <w:rsid w:val="00AD3EDD"/>
    <w:rsid w:val="00AE261B"/>
    <w:rsid w:val="00AE3FBB"/>
    <w:rsid w:val="00AE73C0"/>
    <w:rsid w:val="00AF4BB5"/>
    <w:rsid w:val="00B00A68"/>
    <w:rsid w:val="00B20404"/>
    <w:rsid w:val="00B22D20"/>
    <w:rsid w:val="00B25FC2"/>
    <w:rsid w:val="00B3690C"/>
    <w:rsid w:val="00B36E30"/>
    <w:rsid w:val="00B50D65"/>
    <w:rsid w:val="00B521E9"/>
    <w:rsid w:val="00B56851"/>
    <w:rsid w:val="00B61B68"/>
    <w:rsid w:val="00BB145A"/>
    <w:rsid w:val="00BC143B"/>
    <w:rsid w:val="00BE5606"/>
    <w:rsid w:val="00BE6D16"/>
    <w:rsid w:val="00BF3F89"/>
    <w:rsid w:val="00C0129E"/>
    <w:rsid w:val="00C100A4"/>
    <w:rsid w:val="00C1213A"/>
    <w:rsid w:val="00C20B79"/>
    <w:rsid w:val="00C52631"/>
    <w:rsid w:val="00C75F48"/>
    <w:rsid w:val="00C84EC2"/>
    <w:rsid w:val="00C960BA"/>
    <w:rsid w:val="00CA0004"/>
    <w:rsid w:val="00CA0B36"/>
    <w:rsid w:val="00CA7956"/>
    <w:rsid w:val="00CD1524"/>
    <w:rsid w:val="00CE33A7"/>
    <w:rsid w:val="00CF5937"/>
    <w:rsid w:val="00D05AAC"/>
    <w:rsid w:val="00D1193B"/>
    <w:rsid w:val="00D15E0E"/>
    <w:rsid w:val="00D20994"/>
    <w:rsid w:val="00D25D4D"/>
    <w:rsid w:val="00D25E43"/>
    <w:rsid w:val="00D260FF"/>
    <w:rsid w:val="00D3552F"/>
    <w:rsid w:val="00D4169A"/>
    <w:rsid w:val="00D51CDF"/>
    <w:rsid w:val="00D54025"/>
    <w:rsid w:val="00D76E49"/>
    <w:rsid w:val="00D86467"/>
    <w:rsid w:val="00DB2524"/>
    <w:rsid w:val="00DB61FA"/>
    <w:rsid w:val="00DB6415"/>
    <w:rsid w:val="00DB65BF"/>
    <w:rsid w:val="00DB683D"/>
    <w:rsid w:val="00DC7AFC"/>
    <w:rsid w:val="00DD1AC5"/>
    <w:rsid w:val="00DD747B"/>
    <w:rsid w:val="00DE0F32"/>
    <w:rsid w:val="00DE5002"/>
    <w:rsid w:val="00E201F0"/>
    <w:rsid w:val="00E37791"/>
    <w:rsid w:val="00E4113C"/>
    <w:rsid w:val="00E45EAD"/>
    <w:rsid w:val="00E5430E"/>
    <w:rsid w:val="00E55826"/>
    <w:rsid w:val="00E563AD"/>
    <w:rsid w:val="00E64910"/>
    <w:rsid w:val="00E70AFB"/>
    <w:rsid w:val="00E80BEE"/>
    <w:rsid w:val="00E81D55"/>
    <w:rsid w:val="00E9545F"/>
    <w:rsid w:val="00EA1CA1"/>
    <w:rsid w:val="00EB5EFC"/>
    <w:rsid w:val="00EC1DE7"/>
    <w:rsid w:val="00EC5F3B"/>
    <w:rsid w:val="00EC6768"/>
    <w:rsid w:val="00EE1BFB"/>
    <w:rsid w:val="00EE2F6A"/>
    <w:rsid w:val="00EE56F9"/>
    <w:rsid w:val="00F039FF"/>
    <w:rsid w:val="00F115CB"/>
    <w:rsid w:val="00F13FE9"/>
    <w:rsid w:val="00F16C7E"/>
    <w:rsid w:val="00F2345B"/>
    <w:rsid w:val="00F371E2"/>
    <w:rsid w:val="00F40EE2"/>
    <w:rsid w:val="00F676EE"/>
    <w:rsid w:val="00F67BDE"/>
    <w:rsid w:val="00F73632"/>
    <w:rsid w:val="00F8011E"/>
    <w:rsid w:val="00F80EF9"/>
    <w:rsid w:val="00F948B8"/>
    <w:rsid w:val="00FB28C4"/>
    <w:rsid w:val="00FE0D9E"/>
    <w:rsid w:val="00FE1FAE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05CB7A8C-E098-4200-BB3A-3B3B38BA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4367-11BB-478F-B036-69911284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1129</Characters>
  <Application>Microsoft Office Word</Application>
  <DocSecurity>0</DocSecurity>
  <Lines>9</Lines>
  <Paragraphs>2</Paragraphs>
  <ScaleCrop>false</ScaleCrop>
  <Company>應之軒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ZhengJiang</dc:creator>
  <cp:lastModifiedBy>WLX</cp:lastModifiedBy>
  <cp:revision>3</cp:revision>
  <cp:lastPrinted>2023-11-07T07:48:00Z</cp:lastPrinted>
  <dcterms:created xsi:type="dcterms:W3CDTF">2024-08-30T07:15:00Z</dcterms:created>
  <dcterms:modified xsi:type="dcterms:W3CDTF">2024-08-30T07:19:00Z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