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9C63B">
      <w:pPr>
        <w:spacing w:line="360" w:lineRule="auto"/>
        <w:ind w:firstLine="241" w:firstLineChars="100"/>
        <w:rPr>
          <w:rFonts w:ascii="Times New Roman" w:hAnsi="Times New Roman"/>
          <w:b/>
          <w:kern w:val="0"/>
          <w:sz w:val="30"/>
          <w:szCs w:val="30"/>
          <w:lang w:val="zh-CN" w:bidi="zh-CN"/>
        </w:rPr>
      </w:pPr>
      <w:r>
        <w:rPr>
          <w:rFonts w:ascii="Times New Roman" w:hAnsi="Times New Roman"/>
          <w:b/>
          <w:kern w:val="0"/>
          <w:sz w:val="24"/>
          <w:szCs w:val="24"/>
          <w:lang w:val="zh-CN" w:bidi="zh-CN"/>
        </w:rPr>
        <w:t>证券代码：688037</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bidi="zh-CN"/>
        </w:rPr>
        <w:t xml:space="preserve">                   </w:t>
      </w:r>
      <w:r>
        <w:rPr>
          <w:rFonts w:ascii="Times New Roman" w:hAnsi="Times New Roman"/>
          <w:b/>
          <w:kern w:val="0"/>
          <w:sz w:val="24"/>
          <w:szCs w:val="24"/>
          <w:lang w:val="zh-CN" w:bidi="zh-CN"/>
        </w:rPr>
        <w:t>证券简称：芯源微</w:t>
      </w:r>
    </w:p>
    <w:p w14:paraId="2186AEB6">
      <w:pPr>
        <w:spacing w:before="312" w:beforeLines="100" w:after="156" w:afterLines="50" w:line="360" w:lineRule="auto"/>
        <w:ind w:firstLine="602" w:firstLineChars="200"/>
        <w:jc w:val="center"/>
        <w:rPr>
          <w:rFonts w:ascii="Times New Roman" w:hAnsi="Times New Roman"/>
          <w:b/>
          <w:kern w:val="0"/>
          <w:sz w:val="30"/>
          <w:szCs w:val="30"/>
          <w:lang w:val="zh-CN" w:bidi="zh-CN"/>
        </w:rPr>
      </w:pPr>
      <w:r>
        <w:rPr>
          <w:rFonts w:ascii="Times New Roman" w:hAnsi="Times New Roman"/>
          <w:b/>
          <w:kern w:val="0"/>
          <w:sz w:val="30"/>
          <w:szCs w:val="30"/>
          <w:lang w:val="zh-CN" w:bidi="zh-CN"/>
        </w:rPr>
        <w:t>沈阳芯源微电子设备股份有限公司投资者关系活动记录表</w:t>
      </w:r>
    </w:p>
    <w:p w14:paraId="46E93776">
      <w:pPr>
        <w:spacing w:line="360" w:lineRule="auto"/>
        <w:ind w:firstLine="120" w:firstLineChars="50"/>
        <w:jc w:val="right"/>
        <w:rPr>
          <w:rFonts w:hint="default" w:ascii="Times New Roman" w:hAnsi="Times New Roman"/>
          <w:kern w:val="0"/>
          <w:sz w:val="24"/>
          <w:szCs w:val="24"/>
          <w:lang w:val="en-US" w:bidi="zh-CN"/>
        </w:rPr>
      </w:pPr>
      <w:r>
        <w:rPr>
          <w:rFonts w:ascii="Times New Roman" w:hAnsi="Times New Roman"/>
          <w:kern w:val="0"/>
          <w:sz w:val="24"/>
          <w:szCs w:val="24"/>
          <w:lang w:val="zh-CN" w:bidi="zh-CN"/>
        </w:rPr>
        <w:t>编号：202</w:t>
      </w:r>
      <w:r>
        <w:rPr>
          <w:rFonts w:ascii="Times New Roman" w:hAnsi="Times New Roman"/>
          <w:kern w:val="0"/>
          <w:sz w:val="24"/>
          <w:szCs w:val="24"/>
          <w:lang w:bidi="zh-CN"/>
        </w:rPr>
        <w:t>4</w:t>
      </w:r>
      <w:r>
        <w:rPr>
          <w:rFonts w:ascii="Times New Roman" w:hAnsi="Times New Roman"/>
          <w:kern w:val="0"/>
          <w:sz w:val="24"/>
          <w:szCs w:val="24"/>
          <w:lang w:val="zh-CN" w:bidi="zh-CN"/>
        </w:rPr>
        <w:t>-</w:t>
      </w:r>
      <w:r>
        <w:rPr>
          <w:rFonts w:ascii="Times New Roman" w:hAnsi="Times New Roman"/>
          <w:kern w:val="0"/>
          <w:sz w:val="24"/>
          <w:szCs w:val="24"/>
          <w:lang w:bidi="zh-CN"/>
        </w:rPr>
        <w:t>0</w:t>
      </w:r>
      <w:r>
        <w:rPr>
          <w:rFonts w:hint="eastAsia" w:ascii="Times New Roman" w:hAnsi="Times New Roman"/>
          <w:kern w:val="0"/>
          <w:sz w:val="24"/>
          <w:szCs w:val="24"/>
          <w:lang w:val="en-US" w:bidi="zh-CN"/>
        </w:rPr>
        <w:t>5</w:t>
      </w:r>
    </w:p>
    <w:tbl>
      <w:tblPr>
        <w:tblStyle w:val="6"/>
        <w:tblW w:w="8276" w:type="dxa"/>
        <w:tblInd w:w="17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57" w:type="dxa"/>
          <w:bottom w:w="0" w:type="dxa"/>
          <w:right w:w="57" w:type="dxa"/>
        </w:tblCellMar>
      </w:tblPr>
      <w:tblGrid>
        <w:gridCol w:w="1828"/>
        <w:gridCol w:w="6448"/>
      </w:tblGrid>
      <w:tr w14:paraId="1B70988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1828" w:type="dxa"/>
            <w:vAlign w:val="center"/>
          </w:tcPr>
          <w:p w14:paraId="605791B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投资者关系活动类别</w:t>
            </w:r>
          </w:p>
        </w:tc>
        <w:tc>
          <w:tcPr>
            <w:tcW w:w="6448" w:type="dxa"/>
            <w:vAlign w:val="center"/>
          </w:tcPr>
          <w:p w14:paraId="1A7ECF03">
            <w:pPr>
              <w:pStyle w:val="8"/>
              <w:jc w:val="both"/>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iCs/>
                <w:color w:val="000000"/>
              </w:rPr>
              <w:sym w:font="Wingdings 2" w:char="00A3"/>
            </w:r>
            <w:r>
              <w:rPr>
                <w:rFonts w:hint="eastAsia" w:asciiTheme="minorEastAsia" w:hAnsiTheme="minorEastAsia" w:eastAsiaTheme="minorEastAsia" w:cstheme="minorEastAsia"/>
                <w:b w:val="0"/>
                <w:bCs w:val="0"/>
                <w:lang w:eastAsia="zh-CN"/>
              </w:rPr>
              <w:t>特定对象调研</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iCs/>
                <w:color w:val="000000"/>
              </w:rPr>
              <w:sym w:font="Wingdings 2" w:char="00A3"/>
            </w:r>
            <w:r>
              <w:rPr>
                <w:rFonts w:hint="eastAsia" w:asciiTheme="minorEastAsia" w:hAnsiTheme="minorEastAsia" w:eastAsiaTheme="minorEastAsia" w:cstheme="minorEastAsia"/>
                <w:b w:val="0"/>
                <w:bCs w:val="0"/>
                <w:lang w:eastAsia="zh-CN"/>
              </w:rPr>
              <w:t>分析师会议</w:t>
            </w:r>
            <w:r>
              <w:rPr>
                <w:rFonts w:hint="eastAsia" w:asciiTheme="minorEastAsia" w:hAnsiTheme="minorEastAsia" w:eastAsiaTheme="minorEastAsia" w:cstheme="minorEastAsia"/>
                <w:b w:val="0"/>
                <w:bCs w:val="0"/>
                <w:lang w:val="en-US" w:eastAsia="zh-CN"/>
              </w:rPr>
              <w:t xml:space="preserve"> </w:t>
            </w:r>
          </w:p>
          <w:p w14:paraId="0DD86748">
            <w:pPr>
              <w:pStyle w:val="8"/>
              <w:jc w:val="both"/>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iCs/>
                <w:color w:val="000000"/>
              </w:rPr>
              <w:sym w:font="Wingdings 2" w:char="00A3"/>
            </w:r>
            <w:r>
              <w:rPr>
                <w:rFonts w:hint="eastAsia" w:asciiTheme="minorEastAsia" w:hAnsiTheme="minorEastAsia" w:eastAsiaTheme="minorEastAsia" w:cstheme="minorEastAsia"/>
                <w:b w:val="0"/>
                <w:bCs w:val="0"/>
                <w:lang w:eastAsia="zh-CN"/>
              </w:rPr>
              <w:t xml:space="preserve">媒体采访           </w:t>
            </w:r>
            <w:r>
              <w:rPr>
                <w:rFonts w:hint="eastAsia" w:asciiTheme="minorEastAsia" w:hAnsiTheme="minorEastAsia" w:eastAsiaTheme="minorEastAsia" w:cstheme="minorEastAsia"/>
                <w:b w:val="0"/>
                <w:bCs w:val="0"/>
                <w:iCs/>
                <w:color w:val="000000"/>
              </w:rPr>
              <w:sym w:font="Wingdings 2" w:char="00A3"/>
            </w:r>
            <w:r>
              <w:rPr>
                <w:rFonts w:hint="eastAsia" w:asciiTheme="minorEastAsia" w:hAnsiTheme="minorEastAsia" w:eastAsiaTheme="minorEastAsia" w:cstheme="minorEastAsia"/>
                <w:b w:val="0"/>
                <w:bCs w:val="0"/>
                <w:lang w:eastAsia="zh-CN"/>
              </w:rPr>
              <w:t xml:space="preserve">业绩说明会 </w:t>
            </w:r>
          </w:p>
          <w:p w14:paraId="41FEE9AE">
            <w:pPr>
              <w:pStyle w:val="8"/>
              <w:jc w:val="both"/>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iCs/>
                <w:color w:val="000000"/>
              </w:rPr>
              <w:sym w:font="Wingdings 2" w:char="00A3"/>
            </w:r>
            <w:r>
              <w:rPr>
                <w:rFonts w:hint="eastAsia" w:asciiTheme="minorEastAsia" w:hAnsiTheme="minorEastAsia" w:eastAsiaTheme="minorEastAsia" w:cstheme="minorEastAsia"/>
                <w:b w:val="0"/>
                <w:bCs w:val="0"/>
                <w:lang w:eastAsia="zh-CN"/>
              </w:rPr>
              <w:t>新闻发布会</w:t>
            </w: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val="0"/>
                <w:bCs w:val="0"/>
                <w:iCs/>
                <w:color w:val="000000"/>
              </w:rPr>
              <w:sym w:font="Wingdings 2" w:char="00A3"/>
            </w:r>
            <w:r>
              <w:rPr>
                <w:rFonts w:hint="eastAsia" w:asciiTheme="minorEastAsia" w:hAnsiTheme="minorEastAsia" w:eastAsiaTheme="minorEastAsia" w:cstheme="minorEastAsia"/>
                <w:b w:val="0"/>
                <w:bCs w:val="0"/>
                <w:lang w:eastAsia="zh-CN"/>
              </w:rPr>
              <w:t>路演活动</w:t>
            </w:r>
          </w:p>
          <w:p w14:paraId="6B579EB6">
            <w:pPr>
              <w:pStyle w:val="8"/>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Cs/>
                <w:color w:val="000000"/>
              </w:rPr>
              <w:sym w:font="Wingdings 2" w:char="00A3"/>
            </w:r>
            <w:r>
              <w:rPr>
                <w:rFonts w:hint="eastAsia" w:asciiTheme="minorEastAsia" w:hAnsiTheme="minorEastAsia" w:eastAsiaTheme="minorEastAsia" w:cstheme="minorEastAsia"/>
                <w:b w:val="0"/>
                <w:bCs w:val="0"/>
              </w:rPr>
              <w:t xml:space="preserve">现场参观           </w:t>
            </w:r>
            <w:r>
              <w:rPr>
                <w:rFonts w:hint="eastAsia" w:asciiTheme="minorEastAsia" w:hAnsiTheme="minorEastAsia" w:eastAsiaTheme="minorEastAsia" w:cstheme="minorEastAsia"/>
                <w:b w:val="0"/>
                <w:bCs w:val="0"/>
                <w:iCs/>
                <w:color w:val="000000"/>
              </w:rPr>
              <w:sym w:font="Wingdings 2" w:char="0052"/>
            </w:r>
            <w:r>
              <w:rPr>
                <w:rFonts w:hint="eastAsia" w:asciiTheme="minorEastAsia" w:hAnsiTheme="minorEastAsia" w:eastAsiaTheme="minorEastAsia" w:cstheme="minorEastAsia"/>
                <w:b w:val="0"/>
                <w:bCs w:val="0"/>
              </w:rPr>
              <w:t>其他</w:t>
            </w:r>
          </w:p>
        </w:tc>
      </w:tr>
      <w:tr w14:paraId="22AB374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828" w:type="dxa"/>
            <w:vAlign w:val="center"/>
          </w:tcPr>
          <w:p w14:paraId="03180FFF">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参与单位名称</w:t>
            </w:r>
          </w:p>
        </w:tc>
        <w:tc>
          <w:tcPr>
            <w:tcW w:w="6448" w:type="dxa"/>
            <w:vAlign w:val="center"/>
          </w:tcPr>
          <w:tbl>
            <w:tblPr>
              <w:tblStyle w:val="6"/>
              <w:tblW w:w="626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8"/>
            </w:tblGrid>
            <w:tr w14:paraId="4D0B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38DAA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霸菱资产管理(亚洲)有限公司</w:t>
                  </w:r>
                </w:p>
              </w:tc>
            </w:tr>
            <w:tr w14:paraId="090B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6F4D0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百川财富(北京)投资管理有限公司</w:t>
                  </w:r>
                </w:p>
              </w:tc>
            </w:tr>
            <w:tr w14:paraId="18AD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7D810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百嘉基金管理有限公司</w:t>
                  </w:r>
                </w:p>
              </w:tc>
            </w:tr>
            <w:tr w14:paraId="405B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F8ABF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北大方正人寿保险有限公司</w:t>
                  </w:r>
                </w:p>
              </w:tc>
            </w:tr>
            <w:tr w14:paraId="6091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7F0E5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北京东方睿石投资管理有限公司</w:t>
                  </w:r>
                </w:p>
              </w:tc>
            </w:tr>
            <w:tr w14:paraId="50BA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3EC05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北京富智投资管理有限公司</w:t>
                  </w:r>
                </w:p>
              </w:tc>
            </w:tr>
            <w:tr w14:paraId="12F9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96B5E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北京神农投资管理股份有限公司</w:t>
                  </w:r>
                </w:p>
              </w:tc>
            </w:tr>
            <w:tr w14:paraId="6744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BEC91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北京盛曦投资管理有限责任公司</w:t>
                  </w:r>
                </w:p>
              </w:tc>
            </w:tr>
            <w:tr w14:paraId="41E6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E93B5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北京市星石投资管理有限公司</w:t>
                  </w:r>
                </w:p>
              </w:tc>
            </w:tr>
            <w:tr w14:paraId="39B9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712EB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北京泰康投资管理有限公司</w:t>
                  </w:r>
                </w:p>
              </w:tc>
            </w:tr>
            <w:tr w14:paraId="2639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7C2A5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北京中承东方资产管理有限公司</w:t>
                  </w:r>
                </w:p>
              </w:tc>
            </w:tr>
            <w:tr w14:paraId="3290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F2008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北京中泽控股集团有限公司</w:t>
                  </w:r>
                </w:p>
              </w:tc>
            </w:tr>
            <w:tr w14:paraId="7192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4AA32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博时基金管理有限公司</w:t>
                  </w:r>
                </w:p>
              </w:tc>
            </w:tr>
            <w:tr w14:paraId="4D83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8F951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才华资本管理有限公司</w:t>
                  </w:r>
                </w:p>
              </w:tc>
            </w:tr>
            <w:tr w14:paraId="2773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BEA27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财通证券股份有限公司</w:t>
                  </w:r>
                </w:p>
              </w:tc>
            </w:tr>
            <w:tr w14:paraId="6FEA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9AD48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财通证券资产管理有限公司</w:t>
                  </w:r>
                </w:p>
              </w:tc>
            </w:tr>
            <w:tr w14:paraId="0E02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6251D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创金合信基金管理有限公司</w:t>
                  </w:r>
                </w:p>
              </w:tc>
            </w:tr>
            <w:tr w14:paraId="704E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C62AC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大和证券株式会社</w:t>
                  </w:r>
                </w:p>
              </w:tc>
            </w:tr>
            <w:tr w14:paraId="25A9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5F2A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东北证券股份有限公司</w:t>
                  </w:r>
                </w:p>
              </w:tc>
            </w:tr>
            <w:tr w14:paraId="65A7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23A53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东方基金管理股份有限公司</w:t>
                  </w:r>
                </w:p>
              </w:tc>
            </w:tr>
            <w:tr w14:paraId="7B00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388FB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东方基金管理有限责任公司</w:t>
                  </w:r>
                </w:p>
              </w:tc>
            </w:tr>
            <w:tr w14:paraId="6383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8B45E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东吴证券股份有限公司</w:t>
                  </w:r>
                </w:p>
              </w:tc>
            </w:tr>
            <w:tr w14:paraId="34AF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3A048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敦和资产管理有限公司</w:t>
                  </w:r>
                </w:p>
              </w:tc>
            </w:tr>
            <w:tr w14:paraId="4881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6355D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方正证券股份有限公司</w:t>
                  </w:r>
                </w:p>
              </w:tc>
            </w:tr>
            <w:tr w14:paraId="4368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96D76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丰琰投资管理(浙江自贸区)有限公司</w:t>
                  </w:r>
                </w:p>
              </w:tc>
            </w:tr>
            <w:tr w14:paraId="0EAA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FB342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富国基金管理有限公司</w:t>
                  </w:r>
                </w:p>
              </w:tc>
            </w:tr>
            <w:tr w14:paraId="4D06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2E616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高盛(亚洲)有限责任公司</w:t>
                  </w:r>
                </w:p>
              </w:tc>
            </w:tr>
            <w:tr w14:paraId="65D19E56">
              <w:tblPrEx>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5CF66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工银瑞信基金管理有限公司</w:t>
                  </w:r>
                </w:p>
              </w:tc>
            </w:tr>
            <w:tr w14:paraId="5454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2EBC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共青城鼎睿资产管理有限公司</w:t>
                  </w:r>
                </w:p>
              </w:tc>
            </w:tr>
            <w:tr w14:paraId="2C3E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D1D90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光大证券股份有限公司</w:t>
                  </w:r>
                </w:p>
              </w:tc>
            </w:tr>
            <w:tr w14:paraId="2AC9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75AE8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广东润达私募基金管理有限公司</w:t>
                  </w:r>
                </w:p>
              </w:tc>
            </w:tr>
            <w:tr w14:paraId="2458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D6BBA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广东正圆私募基金管理有限公司</w:t>
                  </w:r>
                </w:p>
              </w:tc>
            </w:tr>
            <w:tr w14:paraId="3652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4416F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广发证券股份有限公司</w:t>
                  </w:r>
                </w:p>
              </w:tc>
            </w:tr>
            <w:tr w14:paraId="588C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14EE6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广州市航长投资管理有限公司</w:t>
                  </w:r>
                </w:p>
              </w:tc>
            </w:tr>
            <w:tr w14:paraId="4481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C3318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广州由榕管理咨询有限公司</w:t>
                  </w:r>
                </w:p>
              </w:tc>
            </w:tr>
            <w:tr w14:paraId="3C91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F7027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广州云禧私募证券投资基金管理有限公司</w:t>
                  </w:r>
                </w:p>
              </w:tc>
            </w:tr>
            <w:tr w14:paraId="4297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EB943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贵山私募基金管理(苏州)有限公司</w:t>
                  </w:r>
                </w:p>
              </w:tc>
            </w:tr>
            <w:tr w14:paraId="1A04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4FA3C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国富人寿保险股份有限公司</w:t>
                  </w:r>
                </w:p>
              </w:tc>
            </w:tr>
            <w:tr w14:paraId="53FC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8B9AE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国海证券股份有限公司</w:t>
                  </w:r>
                </w:p>
              </w:tc>
            </w:tr>
            <w:tr w14:paraId="6D8A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E589F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国金证券股份有限公司</w:t>
                  </w:r>
                </w:p>
              </w:tc>
            </w:tr>
            <w:tr w14:paraId="6CE9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D9271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国联证券股份有限公司</w:t>
                  </w:r>
                </w:p>
              </w:tc>
            </w:tr>
            <w:tr w14:paraId="57FC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853E6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国融基金管理有限公司</w:t>
                  </w:r>
                </w:p>
              </w:tc>
            </w:tr>
            <w:tr w14:paraId="7C56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C625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国泰君安证券股份有限公司</w:t>
                  </w:r>
                </w:p>
              </w:tc>
            </w:tr>
            <w:tr w14:paraId="2169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B1F08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国投证券股份有限公司</w:t>
                  </w:r>
                </w:p>
              </w:tc>
            </w:tr>
            <w:tr w14:paraId="084E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19269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国信证券股份有限公司</w:t>
                  </w:r>
                </w:p>
              </w:tc>
            </w:tr>
            <w:tr w14:paraId="6E74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FAF5E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国元证券股份有限公司</w:t>
                  </w:r>
                </w:p>
              </w:tc>
            </w:tr>
            <w:tr w14:paraId="3E97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BAB6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海南果实私募基金管理有限公司</w:t>
                  </w:r>
                </w:p>
              </w:tc>
            </w:tr>
            <w:tr w14:paraId="0876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98522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海南鸿盛私募基金管理有限公司</w:t>
                  </w:r>
                </w:p>
              </w:tc>
            </w:tr>
            <w:tr w14:paraId="59AB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77E85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海通证券股份有限公司</w:t>
                  </w:r>
                </w:p>
              </w:tc>
            </w:tr>
            <w:tr w14:paraId="2FEC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2AFE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杭州正鑫私募基金管理有限公司</w:t>
                  </w:r>
                </w:p>
              </w:tc>
            </w:tr>
            <w:tr w14:paraId="50A4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E6D34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红杉资本股权投资管理(天津)有限公司</w:t>
                  </w:r>
                </w:p>
              </w:tc>
            </w:tr>
            <w:tr w14:paraId="23B5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A4139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泓德基金管理有限公司</w:t>
                  </w:r>
                </w:p>
              </w:tc>
            </w:tr>
            <w:tr w14:paraId="6BA2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70E38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鸿运私募基金管理(海南)有限公司</w:t>
                  </w:r>
                </w:p>
              </w:tc>
            </w:tr>
            <w:tr w14:paraId="6ABD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6F160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湖南源乘私募基金管理有限公司</w:t>
                  </w:r>
                </w:p>
              </w:tc>
            </w:tr>
            <w:tr w14:paraId="2BC0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B3B4D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华安基金管理有限公司</w:t>
                  </w:r>
                </w:p>
              </w:tc>
            </w:tr>
            <w:tr w14:paraId="764D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5EDBF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华安证券股份有限公司</w:t>
                  </w:r>
                </w:p>
              </w:tc>
            </w:tr>
            <w:tr w14:paraId="3EB1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F873E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华创证券有限责任公司</w:t>
                  </w:r>
                </w:p>
              </w:tc>
            </w:tr>
            <w:tr w14:paraId="6AE2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094DA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华福证券有限责任公司</w:t>
                  </w:r>
                </w:p>
              </w:tc>
            </w:tr>
            <w:tr w14:paraId="2E41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B9813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华美国际投资集团有限公司</w:t>
                  </w:r>
                </w:p>
              </w:tc>
            </w:tr>
            <w:tr w14:paraId="2F94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430ED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华杉瑞联基金管理有限公司</w:t>
                  </w:r>
                </w:p>
              </w:tc>
            </w:tr>
            <w:tr w14:paraId="1D8E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FA60E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华商基金管理有限公司</w:t>
                  </w:r>
                </w:p>
              </w:tc>
            </w:tr>
            <w:tr w14:paraId="6105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80ECF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华泰保兴基金管理有限公司</w:t>
                  </w:r>
                </w:p>
              </w:tc>
            </w:tr>
            <w:tr w14:paraId="0CF6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F3CBC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华泰金融控股(香港)有限公司</w:t>
                  </w:r>
                </w:p>
              </w:tc>
            </w:tr>
            <w:tr w14:paraId="012E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7BB7E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华泰证券(上海)资产管理有限公司</w:t>
                  </w:r>
                </w:p>
              </w:tc>
            </w:tr>
            <w:tr w14:paraId="6815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457D3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华泰证券股份有限公司</w:t>
                  </w:r>
                </w:p>
              </w:tc>
            </w:tr>
            <w:tr w14:paraId="4A53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85DB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华泰资产管理有限公司</w:t>
                  </w:r>
                </w:p>
              </w:tc>
            </w:tr>
            <w:tr w14:paraId="0A15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10A23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华西证券股份有限公司</w:t>
                  </w:r>
                </w:p>
              </w:tc>
            </w:tr>
            <w:tr w14:paraId="78D5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5927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华夏基金管理有限公司</w:t>
                  </w:r>
                </w:p>
              </w:tc>
            </w:tr>
            <w:tr w14:paraId="591C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D76F1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华兴证券有限公司</w:t>
                  </w:r>
                </w:p>
              </w:tc>
            </w:tr>
            <w:tr w14:paraId="67FE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961B8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汇丰晋信基金管理有限公司</w:t>
                  </w:r>
                </w:p>
              </w:tc>
            </w:tr>
            <w:tr w14:paraId="6E86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DD822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汇丰前海证券有限责任公司</w:t>
                  </w:r>
                </w:p>
              </w:tc>
            </w:tr>
            <w:tr w14:paraId="7603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DB69A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汇丰投资管理(香港)有限公司</w:t>
                  </w:r>
                </w:p>
              </w:tc>
            </w:tr>
            <w:tr w14:paraId="2A36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36EC6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汇华理财有限公司</w:t>
                  </w:r>
                </w:p>
              </w:tc>
            </w:tr>
            <w:tr w14:paraId="3D32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F491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汇泉基金管理有限公司</w:t>
                  </w:r>
                </w:p>
              </w:tc>
            </w:tr>
            <w:tr w14:paraId="3094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A4375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嘉实基金管理有限公司</w:t>
                  </w:r>
                </w:p>
              </w:tc>
            </w:tr>
            <w:tr w14:paraId="6736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E1972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江海证券有限公司</w:t>
                  </w:r>
                </w:p>
              </w:tc>
            </w:tr>
            <w:tr w14:paraId="052F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77AA3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江苏第五公理投资管理有限公司</w:t>
                  </w:r>
                </w:p>
              </w:tc>
            </w:tr>
            <w:tr w14:paraId="2D94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804C0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江苏瑞华投资控股集团有限公司</w:t>
                  </w:r>
                </w:p>
              </w:tc>
            </w:tr>
            <w:tr w14:paraId="3160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21A35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江苏天麒私募基金管理有限公司</w:t>
                  </w:r>
                </w:p>
              </w:tc>
            </w:tr>
            <w:tr w14:paraId="2802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6CBA9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江西彼得明奇私募基金管理有限公司</w:t>
                  </w:r>
                </w:p>
              </w:tc>
            </w:tr>
            <w:tr w14:paraId="3A6E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ED4FC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江信基金管理有限公司</w:t>
                  </w:r>
                </w:p>
              </w:tc>
            </w:tr>
            <w:tr w14:paraId="02A8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B0838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九泰基金管理有限公司</w:t>
                  </w:r>
                </w:p>
              </w:tc>
            </w:tr>
            <w:tr w14:paraId="7AB3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F4F33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君义振华(北京)管理咨询有限公司</w:t>
                  </w:r>
                </w:p>
              </w:tc>
            </w:tr>
            <w:tr w14:paraId="7DF2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8C606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开源证券股份有限公司</w:t>
                  </w:r>
                </w:p>
              </w:tc>
            </w:tr>
            <w:tr w14:paraId="2262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66126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凯基证券亚洲有限公司</w:t>
                  </w:r>
                </w:p>
              </w:tc>
            </w:tr>
            <w:tr w14:paraId="6FCE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67844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立格资本投资有限公司</w:t>
                  </w:r>
                </w:p>
              </w:tc>
            </w:tr>
            <w:tr w14:paraId="7D19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57A8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龙石资本管理有限公司</w:t>
                  </w:r>
                </w:p>
              </w:tc>
            </w:tr>
            <w:tr w14:paraId="4353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C3784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美林(亚太)有限公司</w:t>
                  </w:r>
                </w:p>
              </w:tc>
            </w:tr>
            <w:tr w14:paraId="4103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3B9D3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民生加银基金管理有限公司</w:t>
                  </w:r>
                </w:p>
              </w:tc>
            </w:tr>
            <w:tr w14:paraId="39BB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D237E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民生证券股份有限公司</w:t>
                  </w:r>
                </w:p>
              </w:tc>
            </w:tr>
            <w:tr w14:paraId="1D5E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43A5D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明世伙伴基金管理(珠海)有限公司</w:t>
                  </w:r>
                </w:p>
              </w:tc>
            </w:tr>
            <w:tr w14:paraId="0E8D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A1122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摩根大通证券(中国)有限公司</w:t>
                  </w:r>
                </w:p>
              </w:tc>
            </w:tr>
            <w:tr w14:paraId="640A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15761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摩根士丹利基金管理(中国)有限公司</w:t>
                  </w:r>
                </w:p>
              </w:tc>
            </w:tr>
            <w:tr w14:paraId="3492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AD37D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摩根士丹利投资管理公司</w:t>
                  </w:r>
                </w:p>
              </w:tc>
            </w:tr>
            <w:tr w14:paraId="0222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5223B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南华基金管理有限公司</w:t>
                  </w:r>
                </w:p>
              </w:tc>
            </w:tr>
            <w:tr w14:paraId="47D5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60114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南京证券股份有限公司</w:t>
                  </w:r>
                </w:p>
              </w:tc>
            </w:tr>
            <w:tr w14:paraId="0329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B93D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农银人寿保险股份有限公司</w:t>
                  </w:r>
                </w:p>
              </w:tc>
            </w:tr>
            <w:tr w14:paraId="5B6D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A80F4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平安银行股份有限公司</w:t>
                  </w:r>
                </w:p>
              </w:tc>
            </w:tr>
            <w:tr w14:paraId="1CAA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BADD0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平安证券股份有限公司</w:t>
                  </w:r>
                </w:p>
              </w:tc>
            </w:tr>
            <w:tr w14:paraId="3BEB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61B2A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青岛金光紫金创业投资管理有限公司</w:t>
                  </w:r>
                </w:p>
              </w:tc>
            </w:tr>
            <w:tr w14:paraId="22C9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A77AE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融通基金管理有限公司</w:t>
                  </w:r>
                </w:p>
              </w:tc>
            </w:tr>
            <w:tr w14:paraId="4813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330C6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锐方(上海)私募基金管理有限公司</w:t>
                  </w:r>
                </w:p>
              </w:tc>
            </w:tr>
            <w:tr w14:paraId="4888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8BEDB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瑞信证券(中国)有限公司</w:t>
                  </w:r>
                </w:p>
              </w:tc>
            </w:tr>
            <w:tr w14:paraId="7179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E56B3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山西证券股份有限公司</w:t>
                  </w:r>
                </w:p>
              </w:tc>
            </w:tr>
            <w:tr w14:paraId="5870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2CD85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上海百济投资管理有限公司</w:t>
                  </w:r>
                </w:p>
              </w:tc>
            </w:tr>
            <w:tr w14:paraId="6EFC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A16EB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上海博笃投资管理有限公司</w:t>
                  </w:r>
                </w:p>
              </w:tc>
            </w:tr>
            <w:tr w14:paraId="3A9B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301CC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上海晨燕资产管理中心(有限合伙)</w:t>
                  </w:r>
                </w:p>
              </w:tc>
            </w:tr>
            <w:tr w14:paraId="6B10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7CE0D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上海东方证券资产管理有限公司</w:t>
                  </w:r>
                </w:p>
              </w:tc>
            </w:tr>
            <w:tr w14:paraId="76CF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5770E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上海沣谊投资管理有限公司</w:t>
                  </w:r>
                </w:p>
              </w:tc>
            </w:tr>
            <w:tr w14:paraId="02DC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FDC3D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上海复霈投资管理有限公司</w:t>
                  </w:r>
                </w:p>
              </w:tc>
            </w:tr>
            <w:tr w14:paraId="21BD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84FF2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上海复胜资产管理合伙企业(有限合伙)</w:t>
                  </w:r>
                </w:p>
              </w:tc>
            </w:tr>
            <w:tr w14:paraId="70F2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5FB9A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上海贵源投资有限公司</w:t>
                  </w:r>
                </w:p>
              </w:tc>
            </w:tr>
            <w:tr w14:paraId="7BD9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DD17D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上海鸿涵投资管理有限公司</w:t>
                  </w:r>
                </w:p>
              </w:tc>
            </w:tr>
            <w:tr w14:paraId="2AEB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AF712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上海寰鼎投资管理有限公司</w:t>
                  </w:r>
                </w:p>
              </w:tc>
            </w:tr>
            <w:tr w14:paraId="2466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09E79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上海今赫资产管理中心(有限合伙)</w:t>
                  </w:r>
                </w:p>
              </w:tc>
            </w:tr>
            <w:tr w14:paraId="331D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6E361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上海旌乾企业管理有限公司</w:t>
                  </w:r>
                </w:p>
              </w:tc>
            </w:tr>
            <w:tr w14:paraId="48C8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82D10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上海隆象私募基金管理有限公司</w:t>
                  </w:r>
                </w:p>
              </w:tc>
            </w:tr>
            <w:tr w14:paraId="2CC5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3272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上海庐雍资产管理有限公司</w:t>
                  </w:r>
                </w:p>
              </w:tc>
            </w:tr>
            <w:tr w14:paraId="6DD0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79A05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上海盘京投资管理中心(有限合伙)</w:t>
                  </w:r>
                </w:p>
              </w:tc>
            </w:tr>
            <w:tr w14:paraId="2A7A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4470B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上海七叶树资产管理有限公司</w:t>
                  </w:r>
                </w:p>
              </w:tc>
            </w:tr>
            <w:tr w14:paraId="5776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4F745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上海谦心投资管理有限公司</w:t>
                  </w:r>
                </w:p>
              </w:tc>
            </w:tr>
            <w:tr w14:paraId="376A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C0734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上海钦沐资产管理合伙企业(有限合伙)</w:t>
                  </w:r>
                </w:p>
              </w:tc>
            </w:tr>
            <w:tr w14:paraId="2EBE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ACAE5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上海申银万国证券研究所有限公司</w:t>
                  </w:r>
                </w:p>
              </w:tc>
            </w:tr>
            <w:tr w14:paraId="2F3E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E11DC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上海天猊投资管理有限公司</w:t>
                  </w:r>
                </w:p>
              </w:tc>
            </w:tr>
            <w:tr w14:paraId="6BD4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4C972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上海彤源投资发展有限公司</w:t>
                  </w:r>
                </w:p>
              </w:tc>
            </w:tr>
            <w:tr w14:paraId="472F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6D4C7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上海潼骁投资发展中心(有限合伙)</w:t>
                  </w:r>
                </w:p>
              </w:tc>
            </w:tr>
            <w:tr w14:paraId="0AF7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99988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上海戊戌资产管理有限公司</w:t>
                  </w:r>
                </w:p>
              </w:tc>
            </w:tr>
            <w:tr w14:paraId="64F0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71C49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上海喜世润投资管理有限公司</w:t>
                  </w:r>
                </w:p>
              </w:tc>
            </w:tr>
            <w:tr w14:paraId="787E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5C1D2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上海懿坤资产管理有限公司</w:t>
                  </w:r>
                </w:p>
              </w:tc>
            </w:tr>
            <w:tr w14:paraId="0723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93B3E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上海英谊资产管理有限公司</w:t>
                  </w:r>
                </w:p>
              </w:tc>
            </w:tr>
            <w:tr w14:paraId="1253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DABE5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上海域秀资产管理有限公司</w:t>
                  </w:r>
                </w:p>
              </w:tc>
            </w:tr>
            <w:tr w14:paraId="2566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D667E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上海肇万资产管理有限公司</w:t>
                  </w:r>
                </w:p>
              </w:tc>
            </w:tr>
            <w:tr w14:paraId="01C3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E24E1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申万宏源证券资产管理有限公司</w:t>
                  </w:r>
                </w:p>
              </w:tc>
            </w:tr>
            <w:tr w14:paraId="0B63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F70F9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深圳丞毅投资有限公司</w:t>
                  </w:r>
                </w:p>
              </w:tc>
            </w:tr>
            <w:tr w14:paraId="6C9A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23083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深圳进门财经科技股份有限公司</w:t>
                  </w:r>
                </w:p>
              </w:tc>
            </w:tr>
            <w:tr w14:paraId="30C6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6A142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深圳宽源私募证券基金管理有限公司</w:t>
                  </w:r>
                </w:p>
              </w:tc>
            </w:tr>
            <w:tr w14:paraId="1DFC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FF4D6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深圳前海中金资产管理有限公司</w:t>
                  </w:r>
                </w:p>
              </w:tc>
            </w:tr>
            <w:tr w14:paraId="2B67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39DE9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深圳市国晖投资有限公司</w:t>
                  </w:r>
                </w:p>
              </w:tc>
            </w:tr>
            <w:tr w14:paraId="096C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DF8DD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深圳市坤厚私募证券投资基金管理有限公司</w:t>
                  </w:r>
                </w:p>
              </w:tc>
            </w:tr>
            <w:tr w14:paraId="3777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49EAF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深圳市鲲鹏一创私募股权投资管理有限公司</w:t>
                  </w:r>
                </w:p>
              </w:tc>
            </w:tr>
            <w:tr w14:paraId="66D0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E5518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深圳市前海粤鸿金融投资有限公司</w:t>
                  </w:r>
                </w:p>
              </w:tc>
            </w:tr>
            <w:tr w14:paraId="79B9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93AC7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深圳市睿德信投资集团有限公司</w:t>
                  </w:r>
                </w:p>
              </w:tc>
            </w:tr>
            <w:tr w14:paraId="0C9F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2C426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深圳市尚诚资产管理有限责任公司</w:t>
                  </w:r>
                </w:p>
              </w:tc>
            </w:tr>
            <w:tr w14:paraId="4E02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43FC1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深圳市腾讯计算机系统有限公司</w:t>
                  </w:r>
                </w:p>
              </w:tc>
            </w:tr>
            <w:tr w14:paraId="7A1E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53982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深圳市兴亿投资管理有限公司</w:t>
                  </w:r>
                </w:p>
              </w:tc>
            </w:tr>
            <w:tr w14:paraId="4EF1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D135C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深圳市奕金安投资管理有限公司</w:t>
                  </w:r>
                </w:p>
              </w:tc>
            </w:tr>
            <w:tr w14:paraId="6B96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2821E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深圳市远望角投资管理企业(有限合伙)</w:t>
                  </w:r>
                </w:p>
              </w:tc>
            </w:tr>
            <w:tr w14:paraId="5382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8C3A2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沈阳芯源微电子设备股份有限公司</w:t>
                  </w:r>
                </w:p>
              </w:tc>
            </w:tr>
            <w:tr w14:paraId="192C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F74AC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盛钧私募基金管理(湖北)有限公司</w:t>
                  </w:r>
                </w:p>
              </w:tc>
            </w:tr>
            <w:tr w14:paraId="24BB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5CEF0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盛世景资产管理集团股份有限公司</w:t>
                  </w:r>
                </w:p>
              </w:tc>
            </w:tr>
            <w:tr w14:paraId="7BF0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AF0E5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施罗德投资管理(香港)有限公司</w:t>
                  </w:r>
                </w:p>
              </w:tc>
            </w:tr>
            <w:tr w14:paraId="2CFC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8DDFB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世纪证券有限责任公司</w:t>
                  </w:r>
                </w:p>
              </w:tc>
            </w:tr>
            <w:tr w14:paraId="5844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41161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苏新基金管理有限公司</w:t>
                  </w:r>
                </w:p>
              </w:tc>
            </w:tr>
            <w:tr w14:paraId="2EB1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EA48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太平基金管理有限公司</w:t>
                  </w:r>
                </w:p>
              </w:tc>
            </w:tr>
            <w:tr w14:paraId="5422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65CE6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太平洋证券股份有限公司</w:t>
                  </w:r>
                </w:p>
              </w:tc>
            </w:tr>
            <w:tr w14:paraId="48D3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E364B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太平洋资产管理有限责任公司</w:t>
                  </w:r>
                </w:p>
              </w:tc>
            </w:tr>
            <w:tr w14:paraId="76F4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E7448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太平养老保险股份有限公司</w:t>
                  </w:r>
                </w:p>
              </w:tc>
            </w:tr>
            <w:tr w14:paraId="4DA0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9E088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太平资产管理有限公司</w:t>
                  </w:r>
                </w:p>
              </w:tc>
            </w:tr>
            <w:tr w14:paraId="2672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79B76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泰山财产保险股份有限公司</w:t>
                  </w:r>
                </w:p>
              </w:tc>
            </w:tr>
            <w:tr w14:paraId="0108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2BB86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天风证券股份有限公司</w:t>
                  </w:r>
                </w:p>
              </w:tc>
            </w:tr>
            <w:tr w14:paraId="0026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7A3BF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天治基金管理有限公司</w:t>
                  </w:r>
                </w:p>
              </w:tc>
            </w:tr>
            <w:tr w14:paraId="064B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AF445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西安博成基金管理有限公司</w:t>
                  </w:r>
                </w:p>
              </w:tc>
            </w:tr>
            <w:tr w14:paraId="20D8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E3BE0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西部利得基金管理有限公司</w:t>
                  </w:r>
                </w:p>
              </w:tc>
            </w:tr>
            <w:tr w14:paraId="0F48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74108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西部证券股份有限公司</w:t>
                  </w:r>
                </w:p>
              </w:tc>
            </w:tr>
            <w:tr w14:paraId="7B8A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038B5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西藏东财基金管理有限公司</w:t>
                  </w:r>
                </w:p>
              </w:tc>
            </w:tr>
            <w:tr w14:paraId="6643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33A59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相聚资本管理有限公司</w:t>
                  </w:r>
                </w:p>
              </w:tc>
            </w:tr>
            <w:tr w14:paraId="43FC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E0AE7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新华基金管理股份有限公司</w:t>
                  </w:r>
                </w:p>
              </w:tc>
            </w:tr>
            <w:tr w14:paraId="41DF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199B0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新活力资本投资有限公司</w:t>
                  </w:r>
                </w:p>
              </w:tc>
            </w:tr>
            <w:tr w14:paraId="3CDAFCD4">
              <w:tblPrEx>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2AEA4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鑫元基金管理有限公司</w:t>
                  </w:r>
                </w:p>
              </w:tc>
            </w:tr>
            <w:tr w14:paraId="03BF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3BB2F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信泰人寿保险股份有限公司</w:t>
                  </w:r>
                </w:p>
              </w:tc>
            </w:tr>
            <w:tr w14:paraId="78D9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C90ED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兴华基金管理有限公司</w:t>
                  </w:r>
                </w:p>
              </w:tc>
            </w:tr>
            <w:tr w14:paraId="2155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578AF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兴业基金管理有限公司</w:t>
                  </w:r>
                </w:p>
              </w:tc>
            </w:tr>
            <w:tr w14:paraId="720E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D7FCF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兴业证券股份有限公司</w:t>
                  </w:r>
                </w:p>
              </w:tc>
            </w:tr>
            <w:tr w14:paraId="7E6E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E97AF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野村东方国际证券有限公司</w:t>
                  </w:r>
                </w:p>
              </w:tc>
            </w:tr>
            <w:tr w14:paraId="2F60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F60BA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易方达基金管理有限公司</w:t>
                  </w:r>
                </w:p>
              </w:tc>
            </w:tr>
            <w:tr w14:paraId="35E2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28A97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易唯思商务咨询(上海)有限公司</w:t>
                  </w:r>
                </w:p>
              </w:tc>
            </w:tr>
            <w:tr w14:paraId="2E12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52737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易知(北京)投资有限责任公司</w:t>
                  </w:r>
                </w:p>
              </w:tc>
            </w:tr>
            <w:tr w14:paraId="7DD2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FCC47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银河基金管理有限公司</w:t>
                  </w:r>
                </w:p>
              </w:tc>
            </w:tr>
            <w:tr w14:paraId="063F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3FE3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银华基金管理股份有限公司</w:t>
                  </w:r>
                </w:p>
              </w:tc>
            </w:tr>
            <w:tr w14:paraId="688A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33561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英大国际信托有限责任公司</w:t>
                  </w:r>
                </w:p>
              </w:tc>
            </w:tr>
            <w:tr w14:paraId="3D98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C9A0F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友邦保险资产管理有限公司</w:t>
                  </w:r>
                </w:p>
              </w:tc>
            </w:tr>
            <w:tr w14:paraId="1FE0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39F5A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誉辉资本管理(北京)有限责任公司</w:t>
                  </w:r>
                </w:p>
              </w:tc>
            </w:tr>
            <w:tr w14:paraId="3D63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F2683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粤佛私募基金管理（武汉）有限公司</w:t>
                  </w:r>
                </w:p>
              </w:tc>
            </w:tr>
            <w:tr w14:paraId="7845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0C2F9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长城财富资产管理股份有限公司</w:t>
                  </w:r>
                </w:p>
              </w:tc>
            </w:tr>
            <w:tr w14:paraId="04B4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4A203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长城证券股份有限公司</w:t>
                  </w:r>
                </w:p>
              </w:tc>
            </w:tr>
            <w:tr w14:paraId="0B92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A58E2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长江证券股份有限公司</w:t>
                  </w:r>
                </w:p>
              </w:tc>
            </w:tr>
            <w:tr w14:paraId="0A4A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46C37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长盛基金管理有限公司</w:t>
                  </w:r>
                </w:p>
              </w:tc>
            </w:tr>
            <w:tr w14:paraId="7ACD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7CB1D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长信基金管理有限责任公司</w:t>
                  </w:r>
                </w:p>
              </w:tc>
            </w:tr>
            <w:tr w14:paraId="4DD7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5DE7A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招商信诺资产管理有限公司</w:t>
                  </w:r>
                </w:p>
              </w:tc>
            </w:tr>
            <w:tr w14:paraId="073A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04F1F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招商证券股份有限公司</w:t>
                  </w:r>
                </w:p>
              </w:tc>
            </w:tr>
            <w:tr w14:paraId="34FB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EC9DE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招银理财有限责任公司</w:t>
                  </w:r>
                </w:p>
              </w:tc>
            </w:tr>
            <w:tr w14:paraId="5D93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61473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浙江浙商证券资产管理有限公司</w:t>
                  </w:r>
                </w:p>
              </w:tc>
            </w:tr>
            <w:tr w14:paraId="0A0E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30766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浙商证券股份有限公司</w:t>
                  </w:r>
                </w:p>
              </w:tc>
            </w:tr>
            <w:tr w14:paraId="31EF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0950A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中国国际金融股份有限公司</w:t>
                  </w:r>
                </w:p>
              </w:tc>
            </w:tr>
            <w:tr w14:paraId="7BCA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64A4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中国人民健康保险股份有限公司</w:t>
                  </w:r>
                </w:p>
              </w:tc>
            </w:tr>
            <w:tr w14:paraId="7867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8FCD3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中国人寿资产管理有限公司</w:t>
                  </w:r>
                </w:p>
              </w:tc>
            </w:tr>
            <w:tr w14:paraId="3C1B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FF27D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中国银河证券股份有限公司</w:t>
                  </w:r>
                </w:p>
              </w:tc>
            </w:tr>
            <w:tr w14:paraId="332C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47370C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中海基金管理有限公司</w:t>
                  </w:r>
                </w:p>
              </w:tc>
            </w:tr>
            <w:tr w14:paraId="556C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F4EA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中华联合保险集团股份有限公司</w:t>
                  </w:r>
                </w:p>
              </w:tc>
            </w:tr>
            <w:tr w14:paraId="47AE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BBB30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中欧基金管理有限公司</w:t>
                  </w:r>
                </w:p>
              </w:tc>
            </w:tr>
            <w:tr w14:paraId="6D3F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7E8E8D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中泰证券股份有限公司</w:t>
                  </w:r>
                </w:p>
              </w:tc>
            </w:tr>
            <w:tr w14:paraId="2F8D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56475E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中信保诚基金管理有限公司</w:t>
                  </w:r>
                </w:p>
              </w:tc>
            </w:tr>
            <w:tr w14:paraId="1E0E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E3416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中信建投证券股份有限公司</w:t>
                  </w:r>
                </w:p>
              </w:tc>
            </w:tr>
            <w:tr w14:paraId="6F93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7719D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中信证券股份有限公司</w:t>
                  </w:r>
                </w:p>
              </w:tc>
            </w:tr>
            <w:tr w14:paraId="2FAC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157D9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中银国际证券股份有限公司</w:t>
                  </w:r>
                </w:p>
              </w:tc>
            </w:tr>
            <w:tr w14:paraId="0980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3F1C60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中邮保险资产管理有限公司</w:t>
                  </w:r>
                </w:p>
              </w:tc>
            </w:tr>
            <w:tr w14:paraId="2D6A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21EA36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中邮证券有限责任公司</w:t>
                  </w:r>
                </w:p>
              </w:tc>
            </w:tr>
            <w:tr w14:paraId="2016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89A3F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中原证券股份有限公司</w:t>
                  </w:r>
                </w:p>
              </w:tc>
            </w:tr>
            <w:tr w14:paraId="2F34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5AC8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朱雀基金管理有限公司</w:t>
                  </w:r>
                </w:p>
              </w:tc>
            </w:tr>
            <w:tr w14:paraId="1A5A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1ADB6A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紫时私募基金管理(三亚)有限公司</w:t>
                  </w:r>
                </w:p>
              </w:tc>
            </w:tr>
            <w:tr w14:paraId="0B48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6F8A20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Hel Ved Capital Management Limited</w:t>
                  </w:r>
                </w:p>
              </w:tc>
            </w:tr>
            <w:tr w14:paraId="547A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F6A55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IGWT Investment</w:t>
                  </w:r>
                </w:p>
              </w:tc>
            </w:tr>
            <w:tr w14:paraId="2BF3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8" w:type="dxa"/>
                  <w:tcBorders>
                    <w:top w:val="nil"/>
                    <w:left w:val="nil"/>
                    <w:bottom w:val="nil"/>
                    <w:right w:val="nil"/>
                  </w:tcBorders>
                  <w:shd w:val="clear" w:color="auto" w:fill="auto"/>
                  <w:noWrap/>
                  <w:vAlign w:val="center"/>
                </w:tcPr>
                <w:p w14:paraId="0198C3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WISDOM WEALTH LIMITED</w:t>
                  </w:r>
                </w:p>
              </w:tc>
            </w:tr>
          </w:tbl>
          <w:p w14:paraId="34C91EB1">
            <w:pPr>
              <w:pStyle w:val="8"/>
              <w:jc w:val="both"/>
              <w:rPr>
                <w:rFonts w:hint="eastAsia" w:asciiTheme="minorEastAsia" w:hAnsiTheme="minorEastAsia" w:eastAsiaTheme="minorEastAsia" w:cstheme="minorEastAsia"/>
                <w:b w:val="0"/>
                <w:bCs w:val="0"/>
              </w:rPr>
            </w:pPr>
          </w:p>
        </w:tc>
      </w:tr>
      <w:tr w14:paraId="44F7B22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883" w:hRule="atLeast"/>
        </w:trPr>
        <w:tc>
          <w:tcPr>
            <w:tcW w:w="1828" w:type="dxa"/>
            <w:vAlign w:val="center"/>
          </w:tcPr>
          <w:p w14:paraId="1D757E5C">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w:t>
            </w:r>
          </w:p>
        </w:tc>
        <w:tc>
          <w:tcPr>
            <w:tcW w:w="6448" w:type="dxa"/>
            <w:vAlign w:val="center"/>
          </w:tcPr>
          <w:p w14:paraId="3F7D4CCA">
            <w:pPr>
              <w:pStyle w:val="8"/>
              <w:jc w:val="both"/>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2024年</w:t>
            </w:r>
            <w:r>
              <w:rPr>
                <w:rFonts w:hint="eastAsia" w:asciiTheme="minorEastAsia" w:hAnsiTheme="minorEastAsia" w:eastAsiaTheme="minorEastAsia" w:cstheme="minorEastAsia"/>
                <w:b w:val="0"/>
                <w:bCs w:val="0"/>
                <w:lang w:val="en-US" w:eastAsia="zh-CN"/>
              </w:rPr>
              <w:t>8</w:t>
            </w:r>
            <w:r>
              <w:rPr>
                <w:rFonts w:hint="eastAsia" w:asciiTheme="minorEastAsia" w:hAnsiTheme="minorEastAsia" w:eastAsiaTheme="minorEastAsia" w:cstheme="minorEastAsia"/>
                <w:b w:val="0"/>
                <w:bCs w:val="0"/>
              </w:rPr>
              <w:t>月2</w:t>
            </w:r>
            <w:r>
              <w:rPr>
                <w:rFonts w:hint="eastAsia" w:asciiTheme="minorEastAsia" w:hAnsiTheme="minorEastAsia" w:eastAsiaTheme="minorEastAsia" w:cstheme="minorEastAsia"/>
                <w:b w:val="0"/>
                <w:bCs w:val="0"/>
                <w:lang w:val="en-US" w:eastAsia="zh-CN"/>
              </w:rPr>
              <w:t>9</w:t>
            </w:r>
            <w:r>
              <w:rPr>
                <w:rFonts w:hint="eastAsia" w:asciiTheme="minorEastAsia" w:hAnsiTheme="minorEastAsia" w:eastAsiaTheme="minorEastAsia" w:cstheme="minorEastAsia"/>
                <w:b w:val="0"/>
                <w:bCs w:val="0"/>
              </w:rPr>
              <w:t>日</w:t>
            </w:r>
          </w:p>
        </w:tc>
      </w:tr>
      <w:tr w14:paraId="2631832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861" w:hRule="atLeast"/>
        </w:trPr>
        <w:tc>
          <w:tcPr>
            <w:tcW w:w="1828" w:type="dxa"/>
            <w:vAlign w:val="center"/>
          </w:tcPr>
          <w:p w14:paraId="6D7A7B06">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t>地点</w:t>
            </w:r>
          </w:p>
        </w:tc>
        <w:tc>
          <w:tcPr>
            <w:tcW w:w="6448" w:type="dxa"/>
            <w:vAlign w:val="center"/>
          </w:tcPr>
          <w:p w14:paraId="0ECE94DC">
            <w:pPr>
              <w:pStyle w:val="8"/>
              <w:jc w:val="both"/>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val="en-US" w:eastAsia="zh-CN"/>
              </w:rPr>
              <w:t>公司会议室</w:t>
            </w:r>
          </w:p>
        </w:tc>
      </w:tr>
      <w:tr w14:paraId="2E891E7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971" w:hRule="atLeast"/>
        </w:trPr>
        <w:tc>
          <w:tcPr>
            <w:tcW w:w="1828" w:type="dxa"/>
            <w:vAlign w:val="center"/>
          </w:tcPr>
          <w:p w14:paraId="259A8519">
            <w:pPr>
              <w:pStyle w:val="8"/>
              <w:rPr>
                <w:rFonts w:hint="eastAsia" w:asciiTheme="minorEastAsia" w:hAnsiTheme="minorEastAsia" w:eastAsiaTheme="minorEastAsia" w:cstheme="minorEastAsia"/>
                <w:lang w:eastAsia="zh-CN"/>
              </w:rPr>
            </w:pPr>
            <w:bookmarkStart w:id="0" w:name="_GoBack" w:colFirst="0" w:colLast="1"/>
            <w:r>
              <w:rPr>
                <w:rFonts w:hint="eastAsia" w:asciiTheme="minorEastAsia" w:hAnsiTheme="minorEastAsia" w:eastAsiaTheme="minorEastAsia" w:cstheme="minorEastAsia"/>
                <w:lang w:eastAsia="zh-CN"/>
              </w:rPr>
              <w:t>上市公司接待人员姓名</w:t>
            </w:r>
          </w:p>
        </w:tc>
        <w:tc>
          <w:tcPr>
            <w:tcW w:w="6448" w:type="dxa"/>
            <w:vAlign w:val="center"/>
          </w:tcPr>
          <w:p w14:paraId="28FE434E">
            <w:pPr>
              <w:pStyle w:val="8"/>
              <w:jc w:val="both"/>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eastAsia="zh-CN"/>
              </w:rPr>
              <w:t>财务总监      张新超</w:t>
            </w:r>
          </w:p>
          <w:p w14:paraId="4344D46A">
            <w:pPr>
              <w:pStyle w:val="8"/>
              <w:jc w:val="both"/>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eastAsia="zh-CN"/>
              </w:rPr>
              <w:t>董事会秘书    刘书杰</w:t>
            </w:r>
          </w:p>
          <w:p w14:paraId="268DF1FC">
            <w:pPr>
              <w:pStyle w:val="8"/>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val="0"/>
                <w:bCs w:val="0"/>
                <w:lang w:eastAsia="zh-CN"/>
              </w:rPr>
              <w:t xml:space="preserve">证券事务代表  </w:t>
            </w:r>
            <w:r>
              <w:rPr>
                <w:rFonts w:hint="eastAsia" w:asciiTheme="minorEastAsia" w:hAnsiTheme="minorEastAsia" w:eastAsiaTheme="minorEastAsia" w:cstheme="minorEastAsia"/>
                <w:b w:val="0"/>
                <w:bCs w:val="0"/>
                <w:lang w:val="en-US" w:eastAsia="zh-CN"/>
              </w:rPr>
              <w:t>宗健腾</w:t>
            </w:r>
          </w:p>
        </w:tc>
      </w:tr>
      <w:bookmarkEnd w:id="0"/>
      <w:tr w14:paraId="2276CC8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828" w:type="dxa"/>
            <w:vAlign w:val="center"/>
          </w:tcPr>
          <w:p w14:paraId="5D62DE33">
            <w:pPr>
              <w:pStyle w:val="8"/>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投资者关系活动主要内容介绍</w:t>
            </w:r>
          </w:p>
        </w:tc>
        <w:tc>
          <w:tcPr>
            <w:tcW w:w="6448" w:type="dxa"/>
            <w:vAlign w:val="center"/>
          </w:tcPr>
          <w:p w14:paraId="7F714E8F">
            <w:pPr>
              <w:pStyle w:val="13"/>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一、报告期内经营情况介绍</w:t>
            </w:r>
          </w:p>
          <w:p w14:paraId="76195A36">
            <w:pPr>
              <w:pStyle w:val="13"/>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2024年上半年，公司实现营收6.94亿，与去年同期持平，其中，第一季度营收同比下降15.27%，二季度公司订单交付及验收情况回暖，营业收入同比增长10.31%。两个季度一减一增，上半年整体收入持平。</w:t>
            </w:r>
          </w:p>
          <w:p w14:paraId="724DBBA6">
            <w:pPr>
              <w:pStyle w:val="13"/>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利润方面，上半年公司实现归母净利润7614万元，同比下降44%，这里面主要有两方面原因，一个是上半年公司围绕前道Track、前道化学清洗、后道先进封装三大领域持续开展研发迭代和新品储备，研发支出同比增加4,003万元，达到去年同期的1.5倍，研发费用率达到17%，相比去年同期的11%增长6个百分点；第二个是公司员工人数持续增长、股权激励股份支付分摊等，导致管理费用、销售费用同比增加4,802万元。</w:t>
            </w:r>
          </w:p>
          <w:p w14:paraId="044D10D3">
            <w:pPr>
              <w:pStyle w:val="13"/>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现金流管控方面，上半年公司经营活动现金流量净额同比由负转正，增加4.97亿元，主要原因是销售回款增加，同时公司积极调整付款信用政策，采购付款有所减少。</w:t>
            </w:r>
          </w:p>
          <w:p w14:paraId="6ADC0E19">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签单方面，上半年公司新签订单12.19亿元，同比增长约30%。其中，前道涂胶显影新签订单同比保持良好增长，后道先进封装及小尺寸新签订单同比较大幅度增长，应用于Chiplet领域的新产品临时键合、解键合等新签订单同比增长超过十倍，公司战略性新产品前道单片式高温硫酸化学清洗设备也获得国内重要客户订单。截至2024年6月底，公司在手订单超过26亿元，创历史新高。</w:t>
            </w:r>
          </w:p>
          <w:p w14:paraId="193F9A10">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作为目前国内唯一可提供前道量产型涂胶显影机的厂商，公司产品已实现在前道晶圆加工领域28nm及以上成熟制程工艺节点全覆盖，14nm及以下先进制程工艺技术也在有序验证中。此外，为应对高端光刻机日益提升的产能需求，公司最新一代超高产能前道涂胶显影机FTEX的研发工作也在高效推进中，公司将快速推进其验证和产业化进程。</w:t>
            </w:r>
          </w:p>
          <w:p w14:paraId="5AA820E7">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此外，公司战略新产品-前道单片式高温硫酸清洗机也将于明日上午在上海临港厂区启运发往国内重要逻辑客户开展工艺验证，大家知道，高温硫酸清洗工艺被业界公认为28nm/14nm制程性能要求最高的工艺之一，也是业内最具难度和挑战的湿法工艺，公司研发的该款设备有望打破国外龙头对高温硫酸清洗技术的绝对垄断，机台性能及工艺技术致力于达到国际先进水平，致力于解决国内客户在该领域受制于人的不利局面，对推动国产高端半导体清洗装备自主可控具有重要战略意义，也是公司拓展前道化学清洗领域的里程碑事件。</w:t>
            </w:r>
          </w:p>
          <w:p w14:paraId="2AA6CBAD">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以上就是公司上半年经营情况的简要介绍，谢谢大家！</w:t>
            </w:r>
          </w:p>
          <w:p w14:paraId="3D28177B">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 xml:space="preserve"> </w:t>
            </w:r>
          </w:p>
          <w:p w14:paraId="7EB6AA0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二、投资者问答环节</w:t>
            </w:r>
          </w:p>
          <w:p w14:paraId="34BE13CD">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1、2024年上半年收入结构拆分？毛利率情况？</w:t>
            </w:r>
          </w:p>
          <w:p w14:paraId="2A7EB59E">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2024年上半年，公司营业收入6.9亿元，分产品来看，前道track多台重要机台在客户端表现良好，上半年验收情况顺利，在收入中占比较高；前道清洗设备、后道先进封装设备也在收入结构中占据相应比例。</w:t>
            </w:r>
          </w:p>
          <w:p w14:paraId="4D20870F">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2024年上半年，公司综合毛利率40%，分产品来看，前道Track毛利率盈利水平持续改善，热盘等国产零部件替代降本效应已开始逐步显现；前道清洗毛利率良好，公司物理清洗细分领域龙头地位进一步夯实；后道先进封装设备毛利率表现强劲，公司封装类设备具有较强的国际竞争力，多项技术已实现国际领先，报告期内市场竞争领先优势继续增强。</w:t>
            </w:r>
          </w:p>
          <w:p w14:paraId="6384763A">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p>
          <w:p w14:paraId="274588DE">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2、2024年全年收入预期？</w:t>
            </w:r>
          </w:p>
          <w:p w14:paraId="34A0AB37">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2024年上半年，公司营业收入总体同比保持持平，其中，第二季度单季度收入4.5亿，同比增长10.31%，回暖态势良好。目前来看，公司下半年机台验收计划进度良好，截至2024年6月底，公司在手订单超26亿元，在手订单充足，可以对全年业绩提供较好的支撑。</w:t>
            </w:r>
          </w:p>
          <w:p w14:paraId="3F560123">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p>
          <w:p w14:paraId="205C0DD4">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3、2024年上半年签单情况？结构拆分？</w:t>
            </w:r>
          </w:p>
          <w:p w14:paraId="421F048D">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2024年上半年，公司新签订单12.19亿元，同比增长30%。公司前道Track市场份额持续提升，签单同比实现良好增长；前道化学清洗已成功获得多家客户验证性订单，商业化进程快速推进中；前道物理清洗受客户扩产节奏影响，签单同比略有下降；后道先进封装下游市场景气度回暖，客户下单意愿积极，签单同比大幅增长；键合设备在客户端实现有序突破，新签量产及验证性订单情况良好。</w:t>
            </w:r>
          </w:p>
          <w:p w14:paraId="48989D53">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p>
          <w:p w14:paraId="3B545B68">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4、 公司各项费用率变化情况？</w:t>
            </w:r>
          </w:p>
          <w:p w14:paraId="0C867C1C">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公司上半年销售费用率、管理费用率、研发费用率分别为11%、15%，17%，公司围绕前道Track、前道化学清洗、后道先进封装等领域持续加大研发投入，本期研发物料投入同比增加约1,700万；同时加强人员储备及核心人员激励，薪酬及股份支付较上年同期增加约6,000万,公司将持续提升内部精益化管理水平，合理管控管理费用及销售费用，总体保持各项费用的稳定可控。</w:t>
            </w:r>
          </w:p>
          <w:p w14:paraId="03AE6A17">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p>
          <w:p w14:paraId="0F81AA98">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5、经营现金流好转原因？</w:t>
            </w:r>
          </w:p>
          <w:p w14:paraId="0D025820">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A:  2023年，公司经营规模持续扩张，在采购方面采取了滚动预投方式储备核心物料，同时对部分进口长周期物料进行了战略储备，材料采购支出增幅较大，同时由于2023年部分客户付款节奏存在些许波动，销售回款阶段性减少，因此2023年经营性现金流为负。</w:t>
            </w:r>
          </w:p>
          <w:p w14:paraId="2248EA2C">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2024年上半年，公司销售回款良好，政府补助及软件产品退税款到账对现金流做了相应补充；同时公司积极调整信用政策，采购付款周期有所延长，经营性净现金流已同比转正。</w:t>
            </w:r>
          </w:p>
          <w:p w14:paraId="14A59C12">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p>
          <w:p w14:paraId="680ABD93">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6、公司贷款增加的原因及未来公司资金规划？贷款利率大致水平？</w:t>
            </w:r>
          </w:p>
          <w:p w14:paraId="3AC89992">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截至报告期末，公司贷款余额约10亿元，其中含国家政策性银行支持低息贷款，整体贷款利率保持在较低水平。本年度公司优化贷款结构，短期贷款与长期借款相结合，保障公司战略经营发展资金需求。</w:t>
            </w:r>
          </w:p>
          <w:p w14:paraId="53E79C57">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p>
          <w:p w14:paraId="43A4B653">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7、全新一代超高产能涂胶显影机FTEX目前研发情况，产业化进展预期？</w:t>
            </w:r>
          </w:p>
          <w:p w14:paraId="4AC76D0B">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超高产能FTEX机台采用六层对称架构，中间布局高效的晶圆传输模组作为连接枢纽，在调度上应用多层并行进片回片模式，为整机产能提升奠定更先进的架构基础。超高产能FTEX机台将应对未来几年内高端光刻机产能提升需求。</w:t>
            </w:r>
          </w:p>
          <w:p w14:paraId="4903CDCD">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目前超高产能FTEX机台在调度设计和单元测试等多方面研发进展顺利，公司将快速推进超高产能涂胶显影机FTEX的验证和产业化进程。</w:t>
            </w:r>
          </w:p>
          <w:p w14:paraId="4EF8126C">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p>
          <w:p w14:paraId="4CB874A8">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8、前道化学清洗机产品进展如何，2024年推进预期？</w:t>
            </w:r>
          </w:p>
          <w:p w14:paraId="08DA57A1">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2024年上半年，公司高温硫酸化学清洗设备获得国内领先逻辑客户的验证性订单。大家都知道，高温硫酸清洗是化学清洗中最复杂最尖端的工序之一，公司为客户提供了样片wafer demo工艺测试，工艺结果表现优秀，获得客户高度认可，机台将于明日上午发机至客户端进入验证阶段。</w:t>
            </w:r>
          </w:p>
          <w:p w14:paraId="793F42E9">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目前，公司已获得国内多家重要客户验证订单，下半年公司已和多家重要客户进入到商务后段对接中，预计今年将全面推广化学清洗机的验证，化学清洗机的产业化进程正在快速推进中。</w:t>
            </w:r>
          </w:p>
          <w:p w14:paraId="6A3688BE">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2"/>
                <w:sz w:val="22"/>
                <w:szCs w:val="22"/>
                <w:lang w:val="en-US" w:eastAsia="zh-CN" w:bidi="ar-SA"/>
              </w:rPr>
            </w:pPr>
          </w:p>
          <w:p w14:paraId="031690AE">
            <w:pPr>
              <w:pStyle w:val="13"/>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2"/>
                <w:sz w:val="22"/>
                <w:szCs w:val="22"/>
                <w:lang w:val="en-US" w:eastAsia="zh-CN" w:bidi="ar-SA"/>
              </w:rPr>
              <w:t>9、临时键合产品进展如何？</w:t>
            </w:r>
          </w:p>
          <w:p w14:paraId="4CF1BC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2024年上半年，公司临时键合机、解键合机商业化推广和验证进展顺利，目前在手量产或验证性订单已十余台，已全面覆盖国内主要2.5D、3D封测及HBM客户。目前该产品已完成部分客户验证并获得重复性订单，在验机台工艺指标表现优秀。</w:t>
            </w:r>
          </w:p>
        </w:tc>
      </w:tr>
      <w:tr w14:paraId="72F8D5D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820" w:hRule="atLeast"/>
        </w:trPr>
        <w:tc>
          <w:tcPr>
            <w:tcW w:w="1828" w:type="dxa"/>
            <w:vAlign w:val="center"/>
          </w:tcPr>
          <w:p w14:paraId="42901BD6">
            <w:pPr>
              <w:pStyle w:val="8"/>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附件清单</w:t>
            </w:r>
          </w:p>
        </w:tc>
        <w:tc>
          <w:tcPr>
            <w:tcW w:w="6448" w:type="dxa"/>
            <w:vAlign w:val="center"/>
          </w:tcPr>
          <w:p w14:paraId="2D88C4F6">
            <w:pPr>
              <w:pStyle w:val="8"/>
              <w:jc w:val="both"/>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无</w:t>
            </w:r>
          </w:p>
        </w:tc>
      </w:tr>
      <w:tr w14:paraId="570274F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57" w:type="dxa"/>
            <w:bottom w:w="0" w:type="dxa"/>
            <w:right w:w="57" w:type="dxa"/>
          </w:tblCellMar>
        </w:tblPrEx>
        <w:trPr>
          <w:trHeight w:val="1311" w:hRule="atLeast"/>
        </w:trPr>
        <w:tc>
          <w:tcPr>
            <w:tcW w:w="1828" w:type="dxa"/>
            <w:vAlign w:val="center"/>
          </w:tcPr>
          <w:p w14:paraId="3987D1B8">
            <w:pPr>
              <w:spacing w:line="360" w:lineRule="auto"/>
              <w:jc w:val="center"/>
              <w:rPr>
                <w:rFonts w:hint="eastAsia" w:asciiTheme="minorEastAsia" w:hAnsiTheme="minorEastAsia" w:eastAsiaTheme="minorEastAsia" w:cstheme="minorEastAsia"/>
                <w:b/>
                <w:iCs/>
                <w:color w:val="000000"/>
                <w:sz w:val="22"/>
                <w:szCs w:val="22"/>
              </w:rPr>
            </w:pPr>
            <w:r>
              <w:rPr>
                <w:rFonts w:hint="eastAsia" w:asciiTheme="minorEastAsia" w:hAnsiTheme="minorEastAsia" w:eastAsiaTheme="minorEastAsia" w:cstheme="minorEastAsia"/>
                <w:b/>
                <w:iCs/>
                <w:color w:val="000000"/>
                <w:sz w:val="22"/>
                <w:szCs w:val="22"/>
              </w:rPr>
              <w:t>本次活动是否涉及应当披露重大信息</w:t>
            </w:r>
          </w:p>
        </w:tc>
        <w:tc>
          <w:tcPr>
            <w:tcW w:w="6448" w:type="dxa"/>
            <w:vAlign w:val="center"/>
          </w:tcPr>
          <w:p w14:paraId="2A854DB2">
            <w:pPr>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val="zh-CN" w:bidi="zh-CN"/>
              </w:rPr>
              <w:t>不涉及</w:t>
            </w:r>
          </w:p>
        </w:tc>
      </w:tr>
    </w:tbl>
    <w:p w14:paraId="144CFBC6">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1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kNTNmNWE2N2FmZjQ3YjgyNTE0OGFiYzI0YTU4NjcifQ=="/>
  </w:docVars>
  <w:rsids>
    <w:rsidRoot w:val="00172A27"/>
    <w:rsid w:val="000013FB"/>
    <w:rsid w:val="00013787"/>
    <w:rsid w:val="00026206"/>
    <w:rsid w:val="0004208B"/>
    <w:rsid w:val="00050682"/>
    <w:rsid w:val="00057746"/>
    <w:rsid w:val="00071F00"/>
    <w:rsid w:val="00075386"/>
    <w:rsid w:val="00075C1B"/>
    <w:rsid w:val="0008017B"/>
    <w:rsid w:val="00085CB8"/>
    <w:rsid w:val="00097BF0"/>
    <w:rsid w:val="000B1036"/>
    <w:rsid w:val="000D130B"/>
    <w:rsid w:val="000D4479"/>
    <w:rsid w:val="000E73FC"/>
    <w:rsid w:val="000F2864"/>
    <w:rsid w:val="000F54D4"/>
    <w:rsid w:val="001078E5"/>
    <w:rsid w:val="00112281"/>
    <w:rsid w:val="00120CF8"/>
    <w:rsid w:val="001230F7"/>
    <w:rsid w:val="001327BF"/>
    <w:rsid w:val="00141552"/>
    <w:rsid w:val="00161934"/>
    <w:rsid w:val="00170BC2"/>
    <w:rsid w:val="00172A27"/>
    <w:rsid w:val="00177690"/>
    <w:rsid w:val="00186AEE"/>
    <w:rsid w:val="001949F1"/>
    <w:rsid w:val="001B1CF3"/>
    <w:rsid w:val="001C023F"/>
    <w:rsid w:val="001E3729"/>
    <w:rsid w:val="001E6606"/>
    <w:rsid w:val="001E6CA1"/>
    <w:rsid w:val="001F2870"/>
    <w:rsid w:val="001F5BCC"/>
    <w:rsid w:val="001F6946"/>
    <w:rsid w:val="00204756"/>
    <w:rsid w:val="002112F2"/>
    <w:rsid w:val="002245A9"/>
    <w:rsid w:val="00224769"/>
    <w:rsid w:val="0022612C"/>
    <w:rsid w:val="00232CA9"/>
    <w:rsid w:val="002378D5"/>
    <w:rsid w:val="00242F6E"/>
    <w:rsid w:val="00246CB0"/>
    <w:rsid w:val="00247C11"/>
    <w:rsid w:val="00251525"/>
    <w:rsid w:val="00257C07"/>
    <w:rsid w:val="00282408"/>
    <w:rsid w:val="0028685F"/>
    <w:rsid w:val="002900DE"/>
    <w:rsid w:val="002957A9"/>
    <w:rsid w:val="002A05FB"/>
    <w:rsid w:val="002A2632"/>
    <w:rsid w:val="002A7B44"/>
    <w:rsid w:val="002C4B07"/>
    <w:rsid w:val="002D4A3E"/>
    <w:rsid w:val="002E1194"/>
    <w:rsid w:val="002E6122"/>
    <w:rsid w:val="002F18B8"/>
    <w:rsid w:val="002F34A9"/>
    <w:rsid w:val="002F4D3B"/>
    <w:rsid w:val="002F5503"/>
    <w:rsid w:val="00310418"/>
    <w:rsid w:val="0032243D"/>
    <w:rsid w:val="00324889"/>
    <w:rsid w:val="003266B9"/>
    <w:rsid w:val="0034314D"/>
    <w:rsid w:val="0036220C"/>
    <w:rsid w:val="00363B7A"/>
    <w:rsid w:val="00372E31"/>
    <w:rsid w:val="003738F8"/>
    <w:rsid w:val="0037398C"/>
    <w:rsid w:val="00397775"/>
    <w:rsid w:val="003A7360"/>
    <w:rsid w:val="003D0180"/>
    <w:rsid w:val="003D1611"/>
    <w:rsid w:val="003D7C37"/>
    <w:rsid w:val="003E13D5"/>
    <w:rsid w:val="004018D2"/>
    <w:rsid w:val="0041680B"/>
    <w:rsid w:val="00420A53"/>
    <w:rsid w:val="004457AF"/>
    <w:rsid w:val="00445D5F"/>
    <w:rsid w:val="0045053E"/>
    <w:rsid w:val="004579C1"/>
    <w:rsid w:val="00457C83"/>
    <w:rsid w:val="004804B1"/>
    <w:rsid w:val="00481066"/>
    <w:rsid w:val="004825C7"/>
    <w:rsid w:val="00485875"/>
    <w:rsid w:val="00487109"/>
    <w:rsid w:val="00492711"/>
    <w:rsid w:val="00497933"/>
    <w:rsid w:val="004A0E41"/>
    <w:rsid w:val="004B274A"/>
    <w:rsid w:val="004C6E8A"/>
    <w:rsid w:val="004D0044"/>
    <w:rsid w:val="004D0E90"/>
    <w:rsid w:val="004D2196"/>
    <w:rsid w:val="004D4772"/>
    <w:rsid w:val="004F7E50"/>
    <w:rsid w:val="005005EE"/>
    <w:rsid w:val="00546AD4"/>
    <w:rsid w:val="00546B65"/>
    <w:rsid w:val="00565184"/>
    <w:rsid w:val="00567B92"/>
    <w:rsid w:val="00571DCB"/>
    <w:rsid w:val="00583FF7"/>
    <w:rsid w:val="0058572E"/>
    <w:rsid w:val="005979AC"/>
    <w:rsid w:val="005B49FA"/>
    <w:rsid w:val="005C0BE1"/>
    <w:rsid w:val="005D4C4F"/>
    <w:rsid w:val="005E1B60"/>
    <w:rsid w:val="005E5F65"/>
    <w:rsid w:val="005F24E4"/>
    <w:rsid w:val="00601EB4"/>
    <w:rsid w:val="0060551E"/>
    <w:rsid w:val="006128A0"/>
    <w:rsid w:val="00643498"/>
    <w:rsid w:val="00644613"/>
    <w:rsid w:val="00644AEB"/>
    <w:rsid w:val="00647391"/>
    <w:rsid w:val="00647D50"/>
    <w:rsid w:val="00675A35"/>
    <w:rsid w:val="006821B3"/>
    <w:rsid w:val="006A5A12"/>
    <w:rsid w:val="006B67B9"/>
    <w:rsid w:val="006C0726"/>
    <w:rsid w:val="006C1AB7"/>
    <w:rsid w:val="006C5BF1"/>
    <w:rsid w:val="006F5CE4"/>
    <w:rsid w:val="00706A38"/>
    <w:rsid w:val="00720108"/>
    <w:rsid w:val="00736C8A"/>
    <w:rsid w:val="00741826"/>
    <w:rsid w:val="007445D3"/>
    <w:rsid w:val="00750240"/>
    <w:rsid w:val="0075081E"/>
    <w:rsid w:val="007646FA"/>
    <w:rsid w:val="007707C1"/>
    <w:rsid w:val="007729BA"/>
    <w:rsid w:val="0077414D"/>
    <w:rsid w:val="007754D1"/>
    <w:rsid w:val="00782DCC"/>
    <w:rsid w:val="00787343"/>
    <w:rsid w:val="00787AB5"/>
    <w:rsid w:val="007A2CF7"/>
    <w:rsid w:val="007B7EEE"/>
    <w:rsid w:val="007D3625"/>
    <w:rsid w:val="007D576A"/>
    <w:rsid w:val="007F4463"/>
    <w:rsid w:val="007F482A"/>
    <w:rsid w:val="007F58EF"/>
    <w:rsid w:val="007F637B"/>
    <w:rsid w:val="008002A3"/>
    <w:rsid w:val="008135E8"/>
    <w:rsid w:val="0081552C"/>
    <w:rsid w:val="00823BA0"/>
    <w:rsid w:val="008244AF"/>
    <w:rsid w:val="00831845"/>
    <w:rsid w:val="0083314D"/>
    <w:rsid w:val="00845FE6"/>
    <w:rsid w:val="0086454C"/>
    <w:rsid w:val="008710A0"/>
    <w:rsid w:val="00890D43"/>
    <w:rsid w:val="00892871"/>
    <w:rsid w:val="008A178E"/>
    <w:rsid w:val="008F3686"/>
    <w:rsid w:val="00905838"/>
    <w:rsid w:val="00916227"/>
    <w:rsid w:val="00916BCC"/>
    <w:rsid w:val="0094367A"/>
    <w:rsid w:val="00946049"/>
    <w:rsid w:val="0095342A"/>
    <w:rsid w:val="00961919"/>
    <w:rsid w:val="00962B4C"/>
    <w:rsid w:val="009721C6"/>
    <w:rsid w:val="00991656"/>
    <w:rsid w:val="009B28AB"/>
    <w:rsid w:val="009B482F"/>
    <w:rsid w:val="009B6530"/>
    <w:rsid w:val="009C18BF"/>
    <w:rsid w:val="009C4A5F"/>
    <w:rsid w:val="009D5C30"/>
    <w:rsid w:val="009F7C6F"/>
    <w:rsid w:val="00A01636"/>
    <w:rsid w:val="00A06538"/>
    <w:rsid w:val="00A21D33"/>
    <w:rsid w:val="00A26D5E"/>
    <w:rsid w:val="00A278E0"/>
    <w:rsid w:val="00A33B8C"/>
    <w:rsid w:val="00A36D3E"/>
    <w:rsid w:val="00A45A2E"/>
    <w:rsid w:val="00A47FDE"/>
    <w:rsid w:val="00A55CF0"/>
    <w:rsid w:val="00A61D15"/>
    <w:rsid w:val="00A65912"/>
    <w:rsid w:val="00A670E5"/>
    <w:rsid w:val="00A67248"/>
    <w:rsid w:val="00A704F4"/>
    <w:rsid w:val="00A86E6F"/>
    <w:rsid w:val="00A91086"/>
    <w:rsid w:val="00A9222D"/>
    <w:rsid w:val="00AA6863"/>
    <w:rsid w:val="00AA69C9"/>
    <w:rsid w:val="00AF1406"/>
    <w:rsid w:val="00AF59FA"/>
    <w:rsid w:val="00B00B94"/>
    <w:rsid w:val="00B04CC6"/>
    <w:rsid w:val="00B07904"/>
    <w:rsid w:val="00B1428D"/>
    <w:rsid w:val="00B14DB2"/>
    <w:rsid w:val="00B32509"/>
    <w:rsid w:val="00B3311A"/>
    <w:rsid w:val="00B369E7"/>
    <w:rsid w:val="00B37C1B"/>
    <w:rsid w:val="00B4146F"/>
    <w:rsid w:val="00B42BB7"/>
    <w:rsid w:val="00B43A39"/>
    <w:rsid w:val="00B443ED"/>
    <w:rsid w:val="00B46850"/>
    <w:rsid w:val="00B82739"/>
    <w:rsid w:val="00B83A77"/>
    <w:rsid w:val="00B93124"/>
    <w:rsid w:val="00B95F7E"/>
    <w:rsid w:val="00BA3C63"/>
    <w:rsid w:val="00BB288D"/>
    <w:rsid w:val="00BB3C13"/>
    <w:rsid w:val="00BC45ED"/>
    <w:rsid w:val="00BD2A10"/>
    <w:rsid w:val="00BD6376"/>
    <w:rsid w:val="00BE044D"/>
    <w:rsid w:val="00BE3A6C"/>
    <w:rsid w:val="00BE527F"/>
    <w:rsid w:val="00BF11AC"/>
    <w:rsid w:val="00BF6446"/>
    <w:rsid w:val="00BF6C5C"/>
    <w:rsid w:val="00C06141"/>
    <w:rsid w:val="00C3383F"/>
    <w:rsid w:val="00C61DFF"/>
    <w:rsid w:val="00C86DC9"/>
    <w:rsid w:val="00CA2E98"/>
    <w:rsid w:val="00CA7A50"/>
    <w:rsid w:val="00CB390C"/>
    <w:rsid w:val="00CC656F"/>
    <w:rsid w:val="00CD2A62"/>
    <w:rsid w:val="00CD373B"/>
    <w:rsid w:val="00CE092D"/>
    <w:rsid w:val="00D00AD1"/>
    <w:rsid w:val="00D06292"/>
    <w:rsid w:val="00D10B96"/>
    <w:rsid w:val="00D11EBE"/>
    <w:rsid w:val="00D20714"/>
    <w:rsid w:val="00D36788"/>
    <w:rsid w:val="00D4786B"/>
    <w:rsid w:val="00D7024A"/>
    <w:rsid w:val="00D71A6D"/>
    <w:rsid w:val="00D75143"/>
    <w:rsid w:val="00D76FEF"/>
    <w:rsid w:val="00D8255D"/>
    <w:rsid w:val="00D87EB5"/>
    <w:rsid w:val="00DA0D6D"/>
    <w:rsid w:val="00DB7588"/>
    <w:rsid w:val="00DD0B44"/>
    <w:rsid w:val="00DD1492"/>
    <w:rsid w:val="00DE23F0"/>
    <w:rsid w:val="00DE432D"/>
    <w:rsid w:val="00DF2E2F"/>
    <w:rsid w:val="00DF3023"/>
    <w:rsid w:val="00DF4A25"/>
    <w:rsid w:val="00E02C6F"/>
    <w:rsid w:val="00E04058"/>
    <w:rsid w:val="00E10FC4"/>
    <w:rsid w:val="00E13D39"/>
    <w:rsid w:val="00E3550D"/>
    <w:rsid w:val="00E456C3"/>
    <w:rsid w:val="00E8014B"/>
    <w:rsid w:val="00E830CD"/>
    <w:rsid w:val="00E83F49"/>
    <w:rsid w:val="00E85EAF"/>
    <w:rsid w:val="00EA349D"/>
    <w:rsid w:val="00EA5C68"/>
    <w:rsid w:val="00EA71C0"/>
    <w:rsid w:val="00EC073D"/>
    <w:rsid w:val="00F022CC"/>
    <w:rsid w:val="00F03F0C"/>
    <w:rsid w:val="00F10BC9"/>
    <w:rsid w:val="00F14285"/>
    <w:rsid w:val="00F16D8F"/>
    <w:rsid w:val="00F2342C"/>
    <w:rsid w:val="00F24EA8"/>
    <w:rsid w:val="00F27C3A"/>
    <w:rsid w:val="00F37661"/>
    <w:rsid w:val="00F4075A"/>
    <w:rsid w:val="00F43BBD"/>
    <w:rsid w:val="00F52CE3"/>
    <w:rsid w:val="00F53DB0"/>
    <w:rsid w:val="00F717E0"/>
    <w:rsid w:val="00F82A9E"/>
    <w:rsid w:val="00F83E84"/>
    <w:rsid w:val="00F84131"/>
    <w:rsid w:val="00F94CBF"/>
    <w:rsid w:val="00FB7D72"/>
    <w:rsid w:val="00FD655B"/>
    <w:rsid w:val="00FD7A4E"/>
    <w:rsid w:val="00FD7D7A"/>
    <w:rsid w:val="00FE6A8F"/>
    <w:rsid w:val="00FF710B"/>
    <w:rsid w:val="019606E4"/>
    <w:rsid w:val="027A7562"/>
    <w:rsid w:val="03D8291E"/>
    <w:rsid w:val="03F31506"/>
    <w:rsid w:val="05300538"/>
    <w:rsid w:val="06847E86"/>
    <w:rsid w:val="08404F36"/>
    <w:rsid w:val="08F85C2E"/>
    <w:rsid w:val="09C224B5"/>
    <w:rsid w:val="0A6842D0"/>
    <w:rsid w:val="0BF978D5"/>
    <w:rsid w:val="0CBB3A8C"/>
    <w:rsid w:val="108A7B5C"/>
    <w:rsid w:val="10B93AD7"/>
    <w:rsid w:val="118D5FF0"/>
    <w:rsid w:val="11CF7DA0"/>
    <w:rsid w:val="12980C6C"/>
    <w:rsid w:val="12B8180E"/>
    <w:rsid w:val="12D6271E"/>
    <w:rsid w:val="12EC7717"/>
    <w:rsid w:val="12FB5F8E"/>
    <w:rsid w:val="139F6FB4"/>
    <w:rsid w:val="13F54E52"/>
    <w:rsid w:val="143E4A1F"/>
    <w:rsid w:val="15A20FDE"/>
    <w:rsid w:val="163D1C75"/>
    <w:rsid w:val="16EA6706"/>
    <w:rsid w:val="180557BB"/>
    <w:rsid w:val="18374CC0"/>
    <w:rsid w:val="18A16F49"/>
    <w:rsid w:val="19103A51"/>
    <w:rsid w:val="1AF000F5"/>
    <w:rsid w:val="1D867CB6"/>
    <w:rsid w:val="1DAF24EA"/>
    <w:rsid w:val="1E921F4D"/>
    <w:rsid w:val="1F3507CD"/>
    <w:rsid w:val="1F3F552E"/>
    <w:rsid w:val="20254CE5"/>
    <w:rsid w:val="22230DB0"/>
    <w:rsid w:val="226F642F"/>
    <w:rsid w:val="22BD1205"/>
    <w:rsid w:val="24042E63"/>
    <w:rsid w:val="243174AE"/>
    <w:rsid w:val="253379A7"/>
    <w:rsid w:val="274F370D"/>
    <w:rsid w:val="278A6426"/>
    <w:rsid w:val="281F65F3"/>
    <w:rsid w:val="283D06F2"/>
    <w:rsid w:val="2A5528B6"/>
    <w:rsid w:val="2B4F768C"/>
    <w:rsid w:val="2B832ABC"/>
    <w:rsid w:val="2D080EB0"/>
    <w:rsid w:val="2D510EC7"/>
    <w:rsid w:val="30A65F04"/>
    <w:rsid w:val="331D1AE3"/>
    <w:rsid w:val="33512240"/>
    <w:rsid w:val="337E3FFB"/>
    <w:rsid w:val="338308EC"/>
    <w:rsid w:val="34CD6CE8"/>
    <w:rsid w:val="351B15A0"/>
    <w:rsid w:val="35CA5CBB"/>
    <w:rsid w:val="379E4FE5"/>
    <w:rsid w:val="37B704C1"/>
    <w:rsid w:val="37FF3EFD"/>
    <w:rsid w:val="38286CC9"/>
    <w:rsid w:val="38EA0422"/>
    <w:rsid w:val="3A287454"/>
    <w:rsid w:val="3A506CF3"/>
    <w:rsid w:val="3C830972"/>
    <w:rsid w:val="3D5B544A"/>
    <w:rsid w:val="3E6D7B2B"/>
    <w:rsid w:val="403326AF"/>
    <w:rsid w:val="410F3E94"/>
    <w:rsid w:val="42284489"/>
    <w:rsid w:val="46080139"/>
    <w:rsid w:val="46236324"/>
    <w:rsid w:val="46AC6D78"/>
    <w:rsid w:val="473A46B1"/>
    <w:rsid w:val="478B1022"/>
    <w:rsid w:val="47F3492D"/>
    <w:rsid w:val="48385556"/>
    <w:rsid w:val="4A706BF1"/>
    <w:rsid w:val="4BF947AC"/>
    <w:rsid w:val="4CCA6149"/>
    <w:rsid w:val="4F0920D7"/>
    <w:rsid w:val="4F9D5D96"/>
    <w:rsid w:val="4FD962C1"/>
    <w:rsid w:val="50213118"/>
    <w:rsid w:val="505B2982"/>
    <w:rsid w:val="5113216C"/>
    <w:rsid w:val="53004672"/>
    <w:rsid w:val="53F65A75"/>
    <w:rsid w:val="555A507B"/>
    <w:rsid w:val="55823A64"/>
    <w:rsid w:val="55CF47D0"/>
    <w:rsid w:val="58DE5456"/>
    <w:rsid w:val="596B480F"/>
    <w:rsid w:val="597B7419"/>
    <w:rsid w:val="59E63E43"/>
    <w:rsid w:val="5B122D9B"/>
    <w:rsid w:val="5C433822"/>
    <w:rsid w:val="5EF64DDC"/>
    <w:rsid w:val="5F3C0E6C"/>
    <w:rsid w:val="5F76390E"/>
    <w:rsid w:val="5F865A2F"/>
    <w:rsid w:val="5FD71D61"/>
    <w:rsid w:val="5FF437B1"/>
    <w:rsid w:val="61223A5E"/>
    <w:rsid w:val="627D7A8D"/>
    <w:rsid w:val="62D97612"/>
    <w:rsid w:val="63462575"/>
    <w:rsid w:val="63660521"/>
    <w:rsid w:val="639808F7"/>
    <w:rsid w:val="64F144DB"/>
    <w:rsid w:val="65AC068A"/>
    <w:rsid w:val="67694146"/>
    <w:rsid w:val="67AA6545"/>
    <w:rsid w:val="6828415A"/>
    <w:rsid w:val="685177E2"/>
    <w:rsid w:val="6A222833"/>
    <w:rsid w:val="6AF34F19"/>
    <w:rsid w:val="6D512242"/>
    <w:rsid w:val="6E0B4EFA"/>
    <w:rsid w:val="6E0E568D"/>
    <w:rsid w:val="6ED722D3"/>
    <w:rsid w:val="6F3C0396"/>
    <w:rsid w:val="6F9E443B"/>
    <w:rsid w:val="6FB57A86"/>
    <w:rsid w:val="70904E30"/>
    <w:rsid w:val="70CC5ED0"/>
    <w:rsid w:val="71AA3CCF"/>
    <w:rsid w:val="72343EE1"/>
    <w:rsid w:val="72543B78"/>
    <w:rsid w:val="72E871A5"/>
    <w:rsid w:val="7358514C"/>
    <w:rsid w:val="744E19CE"/>
    <w:rsid w:val="759F0E0D"/>
    <w:rsid w:val="76557722"/>
    <w:rsid w:val="76CB2A58"/>
    <w:rsid w:val="775B5A6C"/>
    <w:rsid w:val="77933457"/>
    <w:rsid w:val="792E13FC"/>
    <w:rsid w:val="798A6094"/>
    <w:rsid w:val="7A462A03"/>
    <w:rsid w:val="7A552C46"/>
    <w:rsid w:val="7C4879EE"/>
    <w:rsid w:val="7CE5486A"/>
    <w:rsid w:val="7D0E0889"/>
    <w:rsid w:val="7D474AC8"/>
    <w:rsid w:val="7D8618BE"/>
    <w:rsid w:val="7DC3427C"/>
    <w:rsid w:val="7EF70770"/>
    <w:rsid w:val="7F2F3C55"/>
    <w:rsid w:val="7FB0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semiHidden/>
    <w:unhideWhenUsed/>
    <w:qFormat/>
    <w:uiPriority w:val="99"/>
    <w:rPr>
      <w:rFonts w:ascii="Courier New" w:hAnsi="Courier New" w:cs="Courier New"/>
      <w:sz w:val="20"/>
      <w:szCs w:val="20"/>
    </w:rPr>
  </w:style>
  <w:style w:type="paragraph" w:customStyle="1" w:styleId="8">
    <w:name w:val="Table Paragraph"/>
    <w:basedOn w:val="1"/>
    <w:autoRedefine/>
    <w:qFormat/>
    <w:uiPriority w:val="1"/>
    <w:pPr>
      <w:autoSpaceDE w:val="0"/>
      <w:autoSpaceDN w:val="0"/>
      <w:spacing w:line="360" w:lineRule="auto"/>
      <w:jc w:val="center"/>
    </w:pPr>
    <w:rPr>
      <w:rFonts w:ascii="宋体" w:hAnsi="宋体" w:cs="宋体"/>
      <w:b/>
      <w:bCs/>
      <w:kern w:val="0"/>
      <w:sz w:val="22"/>
      <w:lang w:val="zh-CN" w:eastAsia="en-US" w:bidi="zh-CN"/>
    </w:rPr>
  </w:style>
  <w:style w:type="character" w:customStyle="1" w:styleId="9">
    <w:name w:val="页眉 字符"/>
    <w:basedOn w:val="7"/>
    <w:link w:val="4"/>
    <w:autoRedefine/>
    <w:qFormat/>
    <w:uiPriority w:val="99"/>
    <w:rPr>
      <w:rFonts w:ascii="Calibri" w:hAnsi="Calibri" w:eastAsia="宋体" w:cs="Times New Roman"/>
      <w:sz w:val="18"/>
      <w:szCs w:val="18"/>
    </w:rPr>
  </w:style>
  <w:style w:type="character" w:customStyle="1" w:styleId="10">
    <w:name w:val="页脚 字符"/>
    <w:basedOn w:val="7"/>
    <w:link w:val="3"/>
    <w:autoRedefine/>
    <w:qFormat/>
    <w:uiPriority w:val="99"/>
    <w:rPr>
      <w:rFonts w:ascii="Calibri" w:hAnsi="Calibri" w:eastAsia="宋体" w:cs="Times New Roman"/>
      <w:sz w:val="18"/>
      <w:szCs w:val="18"/>
    </w:rPr>
  </w:style>
  <w:style w:type="character" w:customStyle="1" w:styleId="11">
    <w:name w:val="批注框文本 字符"/>
    <w:basedOn w:val="7"/>
    <w:link w:val="2"/>
    <w:autoRedefine/>
    <w:semiHidden/>
    <w:qFormat/>
    <w:uiPriority w:val="99"/>
    <w:rPr>
      <w:rFonts w:ascii="Calibri" w:hAnsi="Calibri" w:eastAsia="宋体" w:cs="Times New Roman"/>
      <w:sz w:val="18"/>
      <w:szCs w:val="18"/>
    </w:rPr>
  </w:style>
  <w:style w:type="character" w:customStyle="1" w:styleId="12">
    <w:name w:val="HTML 预设格式 字符"/>
    <w:basedOn w:val="7"/>
    <w:link w:val="5"/>
    <w:autoRedefine/>
    <w:semiHidden/>
    <w:qFormat/>
    <w:uiPriority w:val="99"/>
    <w:rPr>
      <w:rFonts w:ascii="Courier New" w:hAnsi="Courier New" w:eastAsia="宋体" w:cs="Courier New"/>
      <w:sz w:val="20"/>
      <w:szCs w:val="20"/>
    </w:rPr>
  </w:style>
  <w:style w:type="paragraph" w:styleId="13">
    <w:name w:val="List Paragraph"/>
    <w:basedOn w:val="1"/>
    <w:autoRedefine/>
    <w:qFormat/>
    <w:uiPriority w:val="34"/>
    <w:pPr>
      <w:ind w:firstLine="420" w:firstLineChars="200"/>
    </w:pPr>
  </w:style>
  <w:style w:type="character" w:customStyle="1" w:styleId="14">
    <w:name w:val="font11"/>
    <w:basedOn w:val="7"/>
    <w:autoRedefine/>
    <w:qFormat/>
    <w:uiPriority w:val="0"/>
    <w:rPr>
      <w:rFonts w:hint="eastAsia" w:ascii="宋体" w:hAnsi="宋体" w:eastAsia="宋体" w:cs="宋体"/>
      <w:color w:val="000000"/>
      <w:sz w:val="21"/>
      <w:szCs w:val="21"/>
      <w:u w:val="none"/>
    </w:rPr>
  </w:style>
  <w:style w:type="paragraph" w:customStyle="1" w:styleId="15">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34D5-E7C0-44F4-A638-787782A779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5295</Words>
  <Characters>5567</Characters>
  <Lines>17</Lines>
  <Paragraphs>4</Paragraphs>
  <TotalTime>2</TotalTime>
  <ScaleCrop>false</ScaleCrop>
  <LinksUpToDate>false</LinksUpToDate>
  <CharactersWithSpaces>5660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2021-09-07T01:27:00Z</dcterms:created>
  <dc:creator>Windows 用户</dc:creator>
  <cp:lastModifiedBy>宗健腾</cp:lastModifiedBy>
  <cp:lastPrinted>2020-12-31T04:57:00Z</cp:lastPrinted>
  <dcterms:modified xsi:type="dcterms:W3CDTF">2024-09-02T08:29:02Z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ABD6DFC231FC4D189A750B0CD020A22D</vt:lpwstr>
  </property>
</Properties>
</file>