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DFF9E" w14:textId="01ADD8AF" w:rsidR="00961DE4" w:rsidRPr="00DB44C7" w:rsidRDefault="00741928" w:rsidP="008D69A2">
      <w:pPr>
        <w:spacing w:before="47" w:line="185" w:lineRule="auto"/>
        <w:ind w:left="339"/>
        <w:jc w:val="distribute"/>
        <w:rPr>
          <w:rFonts w:asciiTheme="minorEastAsia" w:hAnsiTheme="minorEastAsia" w:cs="Times New Roman"/>
          <w:sz w:val="24"/>
          <w:szCs w:val="24"/>
        </w:rPr>
      </w:pPr>
      <w:r w:rsidRPr="00DB44C7">
        <w:rPr>
          <w:rFonts w:asciiTheme="minorEastAsia" w:hAnsiTheme="minorEastAsia" w:cs="新宋体"/>
          <w:spacing w:val="-17"/>
          <w:sz w:val="24"/>
          <w:szCs w:val="24"/>
        </w:rPr>
        <w:t>证</w:t>
      </w:r>
      <w:r w:rsidRPr="00DB44C7">
        <w:rPr>
          <w:rFonts w:asciiTheme="minorEastAsia" w:hAnsiTheme="minorEastAsia" w:cs="新宋体"/>
          <w:spacing w:val="-10"/>
          <w:sz w:val="24"/>
          <w:szCs w:val="24"/>
        </w:rPr>
        <w:t>券代码：</w:t>
      </w:r>
      <w:r w:rsidRPr="00DB44C7">
        <w:rPr>
          <w:rFonts w:asciiTheme="minorEastAsia" w:hAnsiTheme="minorEastAsia" w:cs="Times New Roman"/>
          <w:spacing w:val="-10"/>
          <w:sz w:val="24"/>
          <w:szCs w:val="24"/>
        </w:rPr>
        <w:t>688073</w:t>
      </w:r>
      <w:r w:rsidR="004F19BF">
        <w:rPr>
          <w:rFonts w:asciiTheme="minorEastAsia" w:hAnsiTheme="minorEastAsia" w:cs="Times New Roman"/>
          <w:spacing w:val="-10"/>
          <w:sz w:val="24"/>
          <w:szCs w:val="24"/>
        </w:rPr>
        <w:t xml:space="preserve">                       </w:t>
      </w:r>
      <w:r w:rsidRPr="00DB44C7">
        <w:rPr>
          <w:rFonts w:asciiTheme="minorEastAsia" w:hAnsiTheme="minorEastAsia" w:cs="Times New Roman" w:hint="eastAsia"/>
          <w:spacing w:val="-10"/>
          <w:sz w:val="24"/>
          <w:szCs w:val="24"/>
        </w:rPr>
        <w:t>证券简称：毕得医药</w:t>
      </w:r>
    </w:p>
    <w:p w14:paraId="4BBD298E" w14:textId="7193F91E" w:rsidR="00961DE4" w:rsidRDefault="00961DE4">
      <w:pPr>
        <w:spacing w:line="241" w:lineRule="auto"/>
      </w:pPr>
    </w:p>
    <w:p w14:paraId="32EFFE42" w14:textId="77777777" w:rsidR="00961DE4" w:rsidRPr="00DB44C7" w:rsidRDefault="00741928" w:rsidP="00DB44C7">
      <w:pPr>
        <w:spacing w:beforeLines="50" w:before="156" w:afterLines="50" w:after="156" w:line="222" w:lineRule="auto"/>
        <w:jc w:val="center"/>
        <w:outlineLvl w:val="0"/>
        <w:rPr>
          <w:rFonts w:ascii="新宋体" w:eastAsia="新宋体" w:hAnsi="新宋体" w:cs="新宋体"/>
          <w:sz w:val="36"/>
          <w:szCs w:val="36"/>
        </w:rPr>
      </w:pPr>
      <w:r w:rsidRPr="00DB44C7">
        <w:rPr>
          <w:rFonts w:ascii="新宋体" w:eastAsia="新宋体" w:hAnsi="新宋体" w:cs="新宋体" w:hint="eastAsia"/>
          <w:spacing w:val="3"/>
          <w:sz w:val="36"/>
          <w:szCs w:val="36"/>
          <w14:textOutline w14:w="518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上海毕得医药科技</w:t>
      </w:r>
      <w:r w:rsidRPr="00DB44C7">
        <w:rPr>
          <w:rFonts w:ascii="新宋体" w:eastAsia="新宋体" w:hAnsi="新宋体" w:cs="新宋体"/>
          <w:spacing w:val="3"/>
          <w:sz w:val="36"/>
          <w:szCs w:val="36"/>
          <w14:textOutline w14:w="518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股份有限公司</w:t>
      </w:r>
    </w:p>
    <w:p w14:paraId="3BFA035E" w14:textId="77777777" w:rsidR="00961DE4" w:rsidRPr="00DB44C7" w:rsidRDefault="00741928" w:rsidP="00DB44C7">
      <w:pPr>
        <w:spacing w:beforeLines="50" w:before="156" w:afterLines="50" w:after="156" w:line="224" w:lineRule="auto"/>
        <w:jc w:val="center"/>
        <w:rPr>
          <w:rFonts w:ascii="新宋体" w:eastAsia="新宋体" w:hAnsi="新宋体" w:cs="新宋体"/>
          <w:sz w:val="36"/>
          <w:szCs w:val="36"/>
        </w:rPr>
      </w:pPr>
      <w:r w:rsidRPr="00DB44C7">
        <w:rPr>
          <w:rFonts w:ascii="新宋体" w:eastAsia="新宋体" w:hAnsi="新宋体" w:cs="新宋体"/>
          <w:spacing w:val="9"/>
          <w:sz w:val="36"/>
          <w:szCs w:val="36"/>
          <w14:textOutline w14:w="518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</w:t>
      </w:r>
      <w:r w:rsidRPr="00DB44C7">
        <w:rPr>
          <w:rFonts w:ascii="新宋体" w:eastAsia="新宋体" w:hAnsi="新宋体" w:cs="新宋体"/>
          <w:spacing w:val="5"/>
          <w:sz w:val="36"/>
          <w:szCs w:val="36"/>
          <w14:textOutline w14:w="518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资者关系活动记录表</w:t>
      </w:r>
    </w:p>
    <w:p w14:paraId="015FFB61" w14:textId="77777777" w:rsidR="00961DE4" w:rsidRDefault="00961DE4">
      <w:pPr>
        <w:spacing w:line="86" w:lineRule="exact"/>
      </w:pPr>
    </w:p>
    <w:tbl>
      <w:tblPr>
        <w:tblStyle w:val="TableNormal"/>
        <w:tblW w:w="874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2130"/>
        <w:gridCol w:w="4654"/>
      </w:tblGrid>
      <w:tr w:rsidR="00961DE4" w14:paraId="01D58295" w14:textId="77777777">
        <w:trPr>
          <w:trHeight w:val="473"/>
          <w:jc w:val="center"/>
        </w:trPr>
        <w:tc>
          <w:tcPr>
            <w:tcW w:w="1957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5A3B5DA0" w14:textId="77777777" w:rsidR="00961DE4" w:rsidRDefault="00741928">
            <w:pPr>
              <w:spacing w:before="78" w:line="246" w:lineRule="auto"/>
              <w:ind w:left="207" w:right="63"/>
              <w:jc w:val="center"/>
              <w:rPr>
                <w:rFonts w:ascii="新宋体" w:eastAsia="新宋体" w:hAnsi="新宋体" w:cs="新宋体"/>
                <w:b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b/>
                <w:spacing w:val="-2"/>
                <w:sz w:val="24"/>
                <w:szCs w:val="24"/>
              </w:rPr>
              <w:t>投资者</w:t>
            </w:r>
            <w:r>
              <w:rPr>
                <w:rFonts w:ascii="新宋体" w:eastAsia="新宋体" w:hAnsi="新宋体" w:cs="新宋体"/>
                <w:b/>
                <w:spacing w:val="-1"/>
                <w:sz w:val="24"/>
                <w:szCs w:val="24"/>
              </w:rPr>
              <w:t>关系活动</w:t>
            </w:r>
            <w:r>
              <w:rPr>
                <w:rFonts w:ascii="新宋体" w:eastAsia="新宋体" w:hAnsi="新宋体" w:cs="新宋体"/>
                <w:b/>
                <w:spacing w:val="-3"/>
                <w:sz w:val="24"/>
                <w:szCs w:val="24"/>
              </w:rPr>
              <w:t>类</w:t>
            </w:r>
            <w:r>
              <w:rPr>
                <w:rFonts w:ascii="新宋体" w:eastAsia="新宋体" w:hAnsi="新宋体" w:cs="新宋体"/>
                <w:b/>
                <w:spacing w:val="-2"/>
                <w:sz w:val="24"/>
                <w:szCs w:val="24"/>
              </w:rPr>
              <w:t>别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nil"/>
            </w:tcBorders>
          </w:tcPr>
          <w:p w14:paraId="3283B578" w14:textId="5E01A4F9" w:rsidR="00961DE4" w:rsidRDefault="00063DEB" w:rsidP="00DB0D82">
            <w:pPr>
              <w:spacing w:before="104"/>
              <w:ind w:left="135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□</w:t>
            </w:r>
            <w:r w:rsidR="00741928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特定对象调研</w:t>
            </w:r>
            <w:r w:rsidR="004F19BF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 xml:space="preserve"> </w:t>
            </w:r>
            <w:r w:rsidR="004F19BF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 xml:space="preserve">   </w:t>
            </w:r>
            <w:r w:rsidR="005A7878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□</w:t>
            </w:r>
            <w:r w:rsidR="00741928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分析师会议</w:t>
            </w:r>
          </w:p>
        </w:tc>
      </w:tr>
      <w:tr w:rsidR="00961DE4" w14:paraId="2EAAE28A" w14:textId="77777777">
        <w:trPr>
          <w:trHeight w:val="1403"/>
          <w:jc w:val="center"/>
        </w:trPr>
        <w:tc>
          <w:tcPr>
            <w:tcW w:w="1957" w:type="dxa"/>
            <w:vMerge/>
            <w:tcBorders>
              <w:top w:val="nil"/>
              <w:bottom w:val="nil"/>
            </w:tcBorders>
          </w:tcPr>
          <w:p w14:paraId="76FF3444" w14:textId="77777777" w:rsidR="00961DE4" w:rsidRDefault="00961DE4">
            <w:pPr>
              <w:jc w:val="center"/>
            </w:pPr>
          </w:p>
        </w:tc>
        <w:tc>
          <w:tcPr>
            <w:tcW w:w="2130" w:type="dxa"/>
            <w:tcBorders>
              <w:top w:val="nil"/>
              <w:bottom w:val="nil"/>
              <w:right w:val="nil"/>
            </w:tcBorders>
          </w:tcPr>
          <w:p w14:paraId="37850001" w14:textId="77777777" w:rsidR="00961DE4" w:rsidRDefault="00741928" w:rsidP="00DB0D82">
            <w:pPr>
              <w:spacing w:before="110"/>
              <w:ind w:left="132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□</w:t>
            </w:r>
            <w:r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媒体采访</w:t>
            </w:r>
          </w:p>
          <w:p w14:paraId="045DF51E" w14:textId="77777777" w:rsidR="00961DE4" w:rsidRDefault="00741928" w:rsidP="00DB0D82">
            <w:pPr>
              <w:spacing w:before="162"/>
              <w:ind w:left="132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□</w:t>
            </w:r>
            <w:r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新闻发布会</w:t>
            </w:r>
          </w:p>
          <w:p w14:paraId="23912FB4" w14:textId="77777777" w:rsidR="00961DE4" w:rsidRDefault="00741928" w:rsidP="00DB0D82">
            <w:pPr>
              <w:spacing w:before="163"/>
              <w:ind w:left="132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□</w:t>
            </w:r>
            <w:r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现场参观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13DFE1E3" w14:textId="60A5D09F" w:rsidR="00961DE4" w:rsidRDefault="005A7878" w:rsidP="005A7878">
            <w:pPr>
              <w:spacing w:before="110"/>
              <w:ind w:left="668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Segoe UI Symbol" w:eastAsia="仿宋_GB2312" w:hAnsi="Segoe UI Symbol" w:cs="Segoe UI Symbol"/>
                <w:color w:val="auto"/>
                <w:kern w:val="2"/>
                <w:sz w:val="30"/>
                <w:szCs w:val="30"/>
              </w:rPr>
              <w:t>☑</w:t>
            </w:r>
            <w:r w:rsidR="00741928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业绩说明会</w:t>
            </w:r>
          </w:p>
          <w:p w14:paraId="0EE97E9C" w14:textId="77777777" w:rsidR="00961DE4" w:rsidRDefault="00741928" w:rsidP="00DB0D82">
            <w:pPr>
              <w:spacing w:before="163"/>
              <w:ind w:left="668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□</w:t>
            </w:r>
            <w:r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路演活动</w:t>
            </w:r>
          </w:p>
        </w:tc>
      </w:tr>
      <w:tr w:rsidR="00961DE4" w14:paraId="40A64521" w14:textId="77777777">
        <w:trPr>
          <w:trHeight w:val="482"/>
          <w:jc w:val="center"/>
        </w:trPr>
        <w:tc>
          <w:tcPr>
            <w:tcW w:w="1957" w:type="dxa"/>
            <w:vMerge/>
            <w:tcBorders>
              <w:top w:val="nil"/>
              <w:bottom w:val="single" w:sz="2" w:space="0" w:color="000000"/>
            </w:tcBorders>
          </w:tcPr>
          <w:p w14:paraId="6CC1A6FD" w14:textId="77777777" w:rsidR="00961DE4" w:rsidRDefault="00961DE4">
            <w:pPr>
              <w:jc w:val="center"/>
            </w:pPr>
          </w:p>
        </w:tc>
        <w:tc>
          <w:tcPr>
            <w:tcW w:w="6784" w:type="dxa"/>
            <w:gridSpan w:val="2"/>
            <w:tcBorders>
              <w:top w:val="nil"/>
              <w:bottom w:val="single" w:sz="2" w:space="0" w:color="000000"/>
            </w:tcBorders>
          </w:tcPr>
          <w:p w14:paraId="5C303676" w14:textId="51860059" w:rsidR="00961DE4" w:rsidRDefault="00053230" w:rsidP="00DB0D82">
            <w:pPr>
              <w:spacing w:before="105"/>
              <w:ind w:left="132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Segoe UI Symbol" w:eastAsia="仿宋_GB2312" w:hAnsi="Segoe UI Symbol" w:cs="Segoe UI Symbol"/>
                <w:color w:val="auto"/>
                <w:kern w:val="2"/>
                <w:sz w:val="30"/>
                <w:szCs w:val="30"/>
              </w:rPr>
              <w:t>☑</w:t>
            </w:r>
            <w:r w:rsidR="00741928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其他(请文字说明其他活动内容)</w:t>
            </w:r>
          </w:p>
        </w:tc>
      </w:tr>
      <w:tr w:rsidR="00961DE4" w14:paraId="05DF9776" w14:textId="77777777">
        <w:trPr>
          <w:trHeight w:val="1328"/>
          <w:jc w:val="center"/>
        </w:trPr>
        <w:tc>
          <w:tcPr>
            <w:tcW w:w="195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B6CAEB" w14:textId="77777777" w:rsidR="00961DE4" w:rsidRPr="00C4184A" w:rsidRDefault="00741928" w:rsidP="00625BD7">
            <w:pPr>
              <w:spacing w:before="78" w:line="367" w:lineRule="auto"/>
              <w:ind w:left="206" w:right="63"/>
              <w:jc w:val="center"/>
              <w:rPr>
                <w:rFonts w:ascii="Times New Roman" w:eastAsia="新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184A">
              <w:rPr>
                <w:rFonts w:ascii="Times New Roman" w:eastAsia="新宋体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参与</w:t>
            </w:r>
            <w:r w:rsidRPr="00C4184A">
              <w:rPr>
                <w:rFonts w:ascii="Times New Roman" w:eastAsia="新宋体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单位名称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938199" w14:textId="1258FE15" w:rsidR="00EF12A6" w:rsidRPr="00C4184A" w:rsidRDefault="00063DEB" w:rsidP="00C4184A">
            <w:pPr>
              <w:spacing w:before="38"/>
              <w:ind w:left="43"/>
              <w:rPr>
                <w:rFonts w:ascii="仿宋_GB2312" w:eastAsia="仿宋_GB2312" w:hAnsi="宋体" w:cs="Times New Roman"/>
                <w:color w:val="000000" w:themeColor="text1"/>
                <w:kern w:val="2"/>
                <w:sz w:val="30"/>
                <w:szCs w:val="30"/>
              </w:rPr>
            </w:pPr>
            <w:r w:rsidRPr="00C4184A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30"/>
                <w:szCs w:val="30"/>
              </w:rPr>
              <w:t>开源证券、</w:t>
            </w:r>
            <w:r w:rsidR="00C4184A" w:rsidRPr="00C4184A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30"/>
                <w:szCs w:val="30"/>
              </w:rPr>
              <w:t>海通证券、东方</w:t>
            </w:r>
            <w:r w:rsidRPr="00C4184A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30"/>
                <w:szCs w:val="30"/>
              </w:rPr>
              <w:t>证券、</w:t>
            </w:r>
            <w:r w:rsidR="00C4184A" w:rsidRPr="00C4184A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30"/>
                <w:szCs w:val="30"/>
              </w:rPr>
              <w:t>东吴</w:t>
            </w:r>
            <w:r w:rsidRPr="00C4184A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30"/>
                <w:szCs w:val="30"/>
              </w:rPr>
              <w:t>证券、财通证券、华创证券、中信证券、申万宏源研究、</w:t>
            </w:r>
            <w:r w:rsidR="00C4184A" w:rsidRPr="00C4184A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30"/>
                <w:szCs w:val="30"/>
              </w:rPr>
              <w:t>国金证券、民生</w:t>
            </w:r>
            <w:r w:rsidRPr="00C4184A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30"/>
                <w:szCs w:val="30"/>
              </w:rPr>
              <w:t>证券、中泰证券、招商证券</w:t>
            </w:r>
            <w:r w:rsidR="00C4184A" w:rsidRPr="00C4184A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30"/>
                <w:szCs w:val="30"/>
              </w:rPr>
              <w:t>、华创证券、国海证券</w:t>
            </w:r>
            <w:r w:rsidRPr="00C4184A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30"/>
                <w:szCs w:val="30"/>
              </w:rPr>
              <w:t>等多家机构</w:t>
            </w:r>
          </w:p>
        </w:tc>
      </w:tr>
      <w:tr w:rsidR="00961DE4" w14:paraId="06719EA2" w14:textId="77777777">
        <w:trPr>
          <w:trHeight w:val="475"/>
          <w:jc w:val="center"/>
        </w:trPr>
        <w:tc>
          <w:tcPr>
            <w:tcW w:w="195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C24B47" w14:textId="77777777" w:rsidR="00961DE4" w:rsidRDefault="00741928">
            <w:pPr>
              <w:spacing w:before="114" w:line="222" w:lineRule="auto"/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/>
                <w:b/>
                <w:spacing w:val="-6"/>
                <w:sz w:val="24"/>
                <w:szCs w:val="24"/>
              </w:rPr>
              <w:t>时</w:t>
            </w:r>
            <w:r>
              <w:rPr>
                <w:rFonts w:ascii="Times New Roman" w:eastAsia="新宋体" w:hAnsi="Times New Roman" w:cs="Times New Roman"/>
                <w:b/>
                <w:spacing w:val="-5"/>
                <w:sz w:val="24"/>
                <w:szCs w:val="24"/>
              </w:rPr>
              <w:t>间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CED296" w14:textId="4A9DD774" w:rsidR="00961DE4" w:rsidRDefault="000D40DF" w:rsidP="005A7878">
            <w:pPr>
              <w:spacing w:before="113" w:line="220" w:lineRule="auto"/>
              <w:ind w:left="15"/>
              <w:jc w:val="center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2024</w:t>
            </w:r>
            <w:r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年</w:t>
            </w:r>
            <w:r w:rsidR="005A7878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8</w:t>
            </w:r>
            <w:r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月</w:t>
            </w:r>
            <w:r w:rsidR="005A7878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29</w:t>
            </w:r>
            <w:r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日</w:t>
            </w:r>
          </w:p>
        </w:tc>
      </w:tr>
      <w:tr w:rsidR="00961DE4" w14:paraId="4357FC12" w14:textId="77777777">
        <w:trPr>
          <w:trHeight w:val="475"/>
          <w:jc w:val="center"/>
        </w:trPr>
        <w:tc>
          <w:tcPr>
            <w:tcW w:w="195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DF7408" w14:textId="77777777" w:rsidR="00961DE4" w:rsidRDefault="00741928">
            <w:pPr>
              <w:spacing w:before="114" w:line="224" w:lineRule="auto"/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/>
                <w:b/>
                <w:spacing w:val="-3"/>
                <w:sz w:val="24"/>
                <w:szCs w:val="24"/>
              </w:rPr>
              <w:t>地</w:t>
            </w:r>
            <w:r>
              <w:rPr>
                <w:rFonts w:ascii="Times New Roman" w:eastAsia="新宋体" w:hAnsi="Times New Roman" w:cs="Times New Roman"/>
                <w:b/>
                <w:spacing w:val="-2"/>
                <w:sz w:val="24"/>
                <w:szCs w:val="24"/>
              </w:rPr>
              <w:t>点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73462D" w14:textId="3696214D" w:rsidR="00961DE4" w:rsidRDefault="00063DEB" w:rsidP="004738F9">
            <w:pPr>
              <w:spacing w:before="114" w:line="219" w:lineRule="auto"/>
              <w:ind w:left="47"/>
              <w:jc w:val="center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线上通讯方式</w:t>
            </w:r>
          </w:p>
        </w:tc>
      </w:tr>
      <w:tr w:rsidR="00961DE4" w14:paraId="64DD1912" w14:textId="77777777">
        <w:trPr>
          <w:trHeight w:val="940"/>
          <w:jc w:val="center"/>
        </w:trPr>
        <w:tc>
          <w:tcPr>
            <w:tcW w:w="195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DDA43C" w14:textId="77777777" w:rsidR="00A175BC" w:rsidRDefault="00741928" w:rsidP="00A175BC">
            <w:pPr>
              <w:jc w:val="center"/>
              <w:rPr>
                <w:rFonts w:ascii="Times New Roman" w:eastAsia="新宋体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/>
                <w:b/>
                <w:spacing w:val="-2"/>
                <w:sz w:val="24"/>
                <w:szCs w:val="24"/>
              </w:rPr>
              <w:t>上市公</w:t>
            </w:r>
            <w:r>
              <w:rPr>
                <w:rFonts w:ascii="Times New Roman" w:eastAsia="新宋体" w:hAnsi="Times New Roman" w:cs="Times New Roman"/>
                <w:b/>
                <w:spacing w:val="-1"/>
                <w:sz w:val="24"/>
                <w:szCs w:val="24"/>
              </w:rPr>
              <w:t>司接待</w:t>
            </w:r>
          </w:p>
          <w:p w14:paraId="216E2292" w14:textId="3E63B9DA" w:rsidR="00961DE4" w:rsidRDefault="00741928" w:rsidP="00A175BC">
            <w:pPr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/>
                <w:b/>
                <w:spacing w:val="-2"/>
                <w:sz w:val="24"/>
                <w:szCs w:val="24"/>
              </w:rPr>
              <w:t>人员姓名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25E594" w14:textId="05AA77E9" w:rsidR="00B672F8" w:rsidRDefault="00063DEB" w:rsidP="00DB0D82">
            <w:pPr>
              <w:spacing w:line="600" w:lineRule="exact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产品研发</w:t>
            </w:r>
            <w:r w:rsidR="002225E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负责人</w:t>
            </w:r>
            <w:r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：张锐豪博士</w:t>
            </w:r>
          </w:p>
          <w:p w14:paraId="2B4B30F3" w14:textId="77777777" w:rsidR="00063DEB" w:rsidRDefault="00063DEB" w:rsidP="00DB0D82">
            <w:pPr>
              <w:spacing w:line="600" w:lineRule="exact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董秘兼财务总监：李涛先生</w:t>
            </w:r>
          </w:p>
          <w:p w14:paraId="080C8F2B" w14:textId="4FD9FC0E" w:rsidR="00063DEB" w:rsidRDefault="00063DEB" w:rsidP="005A7878">
            <w:pPr>
              <w:spacing w:line="600" w:lineRule="exact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证券事务代表：於小虎先生</w:t>
            </w:r>
          </w:p>
        </w:tc>
      </w:tr>
      <w:tr w:rsidR="00961DE4" w14:paraId="1EE4B3C5" w14:textId="77777777">
        <w:trPr>
          <w:trHeight w:val="940"/>
          <w:jc w:val="center"/>
        </w:trPr>
        <w:tc>
          <w:tcPr>
            <w:tcW w:w="195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17A713" w14:textId="77777777" w:rsidR="00961DE4" w:rsidRDefault="00741928">
            <w:pPr>
              <w:spacing w:before="205" w:line="257" w:lineRule="auto"/>
              <w:ind w:right="244"/>
              <w:jc w:val="center"/>
              <w:rPr>
                <w:rFonts w:ascii="Times New Roman" w:eastAsia="新宋体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/>
                <w:b/>
                <w:spacing w:val="-2"/>
                <w:sz w:val="24"/>
                <w:szCs w:val="24"/>
              </w:rPr>
              <w:t>投资者</w:t>
            </w:r>
            <w:r>
              <w:rPr>
                <w:rFonts w:ascii="Times New Roman" w:eastAsia="新宋体" w:hAnsi="Times New Roman" w:cs="Times New Roman"/>
                <w:b/>
                <w:spacing w:val="-1"/>
                <w:sz w:val="24"/>
                <w:szCs w:val="24"/>
              </w:rPr>
              <w:t>关系活动</w:t>
            </w:r>
            <w:r>
              <w:rPr>
                <w:rFonts w:ascii="Times New Roman" w:eastAsia="新宋体" w:hAnsi="Times New Roman" w:cs="Times New Roman"/>
                <w:b/>
                <w:spacing w:val="-2"/>
                <w:sz w:val="24"/>
                <w:szCs w:val="24"/>
              </w:rPr>
              <w:t>主要</w:t>
            </w:r>
            <w:r>
              <w:rPr>
                <w:rFonts w:ascii="Times New Roman" w:eastAsia="新宋体" w:hAnsi="Times New Roman" w:cs="Times New Roman"/>
                <w:b/>
                <w:spacing w:val="-1"/>
                <w:sz w:val="24"/>
                <w:szCs w:val="24"/>
              </w:rPr>
              <w:t>内容介绍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D196D4" w14:textId="7515F5AA" w:rsidR="00CA7598" w:rsidRPr="00231103" w:rsidRDefault="00053230" w:rsidP="00DB44C7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 w:line="600" w:lineRule="exact"/>
              <w:ind w:left="0" w:firstLineChars="0" w:hanging="357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1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.</w:t>
            </w:r>
            <w:r w:rsidR="000A2515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请</w:t>
            </w:r>
            <w:r w:rsidR="00547328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介绍一下</w:t>
            </w:r>
            <w:r w:rsidR="00CA7598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公司2</w:t>
            </w:r>
            <w:r w:rsidR="00CA7598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024</w:t>
            </w:r>
            <w:r w:rsidR="00CA7598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年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半年度</w:t>
            </w:r>
            <w:r w:rsidR="00CA7598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经营情况？</w:t>
            </w:r>
          </w:p>
          <w:p w14:paraId="27150760" w14:textId="27104125" w:rsidR="00BD13FC" w:rsidRPr="00231103" w:rsidRDefault="00CA7598" w:rsidP="00BD13FC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回答：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公司2024年上半年实现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营业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收入5.32亿，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归母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净利润5,184万，海外的收入持续高增长，海外收入的占比也持续提升。2023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年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上半年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海外收入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为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2.66亿，占比50.83%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，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2024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年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上半年公司海外收入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为</w:t>
            </w:r>
            <w:r w:rsidR="00547328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2.99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亿，占比提升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至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56.24%年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，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2024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年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上半年海外收入同比增长12.68%，海外收入的毛利率连续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lastRenderedPageBreak/>
              <w:t>两个季度环比上升，公司整体毛利率也逐渐企稳。</w:t>
            </w:r>
          </w:p>
          <w:p w14:paraId="260C906F" w14:textId="6CC8C64A" w:rsidR="00CA7598" w:rsidRPr="00231103" w:rsidRDefault="00BD13FC" w:rsidP="00BD42E3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600" w:lineRule="exact"/>
              <w:ind w:firstLineChars="200" w:firstLine="600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通过战略分析，紧跟整个市场动态，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相应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进行价格政策的调整，预计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后续的毛利率水平将会继续保持稳定</w:t>
            </w:r>
            <w:r w:rsidR="00C97062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。</w:t>
            </w:r>
          </w:p>
          <w:p w14:paraId="437A7EBC" w14:textId="0705EEC0" w:rsidR="00CA7598" w:rsidRPr="00231103" w:rsidRDefault="00053230" w:rsidP="00DB44C7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 w:line="600" w:lineRule="exact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2.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公司研发的投入情况</w:t>
            </w:r>
            <w:r w:rsidR="00CA7598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？</w:t>
            </w:r>
          </w:p>
          <w:p w14:paraId="578D95D2" w14:textId="77777777" w:rsidR="00BD13FC" w:rsidRPr="00231103" w:rsidRDefault="00E4549E" w:rsidP="00BD13FC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回答</w:t>
            </w:r>
            <w:r w:rsidR="004731E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：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公司加大整体的研发投入，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加强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新颖的药物分子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砌块及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核心产品线的布局。截止今年6月底，公司现货产品种类超过了12万种，</w:t>
            </w:r>
            <w:r w:rsidR="00BD13FC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处于</w:t>
            </w:r>
            <w:r w:rsidR="00BD13FC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行业领先水平。</w:t>
            </w:r>
          </w:p>
          <w:p w14:paraId="57F0DD22" w14:textId="551128D6" w:rsidR="005762C6" w:rsidRDefault="00BD13FC" w:rsidP="00DB44C7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公司所处的行业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为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新药研发的服务行业，具有高风险、高技术、高投入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、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长周期和精细化的特点。公司的业务跟全球新药研发的投入是密切相关的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，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根据统计，整个全球的药物分子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砌块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的市场规模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预计到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2026年将达到500多亿美元，而整个国内市场目前也正处在进口替代加速进行的过程中，从而也为公司提供了巨大的发展空间。</w:t>
            </w:r>
          </w:p>
          <w:p w14:paraId="0AF5B114" w14:textId="52314E8B" w:rsidR="007D4145" w:rsidRPr="007D4145" w:rsidRDefault="007D4145" w:rsidP="00EA2E0F">
            <w:pPr>
              <w:spacing w:beforeLines="50" w:before="156" w:afterLines="50" w:after="156" w:line="600" w:lineRule="exact"/>
              <w:jc w:val="both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bookmarkStart w:id="0" w:name="_GoBack"/>
            <w:bookmarkEnd w:id="0"/>
            <w:r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3</w:t>
            </w:r>
            <w:r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．请问公司催化剂和配体</w:t>
            </w:r>
            <w:r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相关产品</w:t>
            </w:r>
            <w:r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线</w:t>
            </w:r>
            <w:r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的开拓情况，以及未来的发展</w:t>
            </w:r>
            <w:r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战略</w:t>
            </w:r>
            <w:r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。</w:t>
            </w:r>
          </w:p>
          <w:p w14:paraId="0E971519" w14:textId="540CEB07" w:rsidR="007D4145" w:rsidRPr="007D4145" w:rsidRDefault="00EA2E0F" w:rsidP="00EA2E0F">
            <w:pPr>
              <w:spacing w:beforeLines="50" w:before="156" w:afterLines="50" w:after="156" w:line="600" w:lineRule="exact"/>
              <w:jc w:val="both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回答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：在催化剂和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配体的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这条产品线上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，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一直在持续的投入，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这是公司一条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比较重要的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产品线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，不管从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催化剂和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配体的品类，还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是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现货的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保有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率，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在国内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都是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处于领先地位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的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。从市场的反馈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，公司会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继续保持持续增长的势头，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同时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也会继续加大投入。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未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lastRenderedPageBreak/>
              <w:t>来公司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研发部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会从两方面着手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，一方面是新的催化剂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和配体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的开发，另外一方面基于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这条成熟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产线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上品类齐全多样化的特点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，形成一个催化剂的筛选平台，这样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可以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把相应的产品和技术循环投入到新产品的开发中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，也包括新的催化剂或配体，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这种良性的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循环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有利于保持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</w:t>
            </w:r>
            <w:r w:rsidR="007D4145" w:rsidRP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在这一条产线上的领先优势</w:t>
            </w:r>
            <w:r w:rsidR="007D4145" w:rsidRP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。</w:t>
            </w:r>
          </w:p>
          <w:p w14:paraId="6CC12C08" w14:textId="37227735" w:rsidR="009C0B7E" w:rsidRPr="00231103" w:rsidRDefault="00E81006" w:rsidP="009C0B7E">
            <w:pPr>
              <w:spacing w:beforeLines="50" w:before="156" w:afterLines="50" w:after="156" w:line="600" w:lineRule="exact"/>
              <w:jc w:val="both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4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.</w:t>
            </w:r>
            <w:r w:rsidR="009C0B7E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</w:t>
            </w:r>
            <w:r w:rsidR="009C0B7E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后续是否</w:t>
            </w:r>
            <w:r w:rsidR="009C0B7E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会实施</w:t>
            </w:r>
            <w:r w:rsidR="002612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股权激励，</w:t>
            </w:r>
            <w:r w:rsidR="009C0B7E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实施节奏</w:t>
            </w:r>
            <w:r w:rsidR="002612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怎么样</w:t>
            </w:r>
            <w:r w:rsidR="009C0B7E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。</w:t>
            </w:r>
          </w:p>
          <w:p w14:paraId="49C3273E" w14:textId="2F3C3028" w:rsidR="009C0B7E" w:rsidRPr="00231103" w:rsidRDefault="009C0B7E" w:rsidP="009C0B7E">
            <w:pPr>
              <w:spacing w:beforeLines="50" w:before="156" w:afterLines="50" w:after="156" w:line="600" w:lineRule="exact"/>
              <w:jc w:val="both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回答：通过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公告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可以看到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，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已回购1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亿</w:t>
            </w:r>
            <w:r w:rsidR="00547328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元左右的股票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，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这部分</w:t>
            </w:r>
            <w:r w:rsidR="00547328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股票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会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用来做股权激励的，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目前股权激励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方案正在制定的过程中，这是为了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现有的核心员工，以及对未来需要引进的高级人才做储备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。</w:t>
            </w:r>
          </w:p>
          <w:p w14:paraId="5BB861A6" w14:textId="0D0B3698" w:rsidR="006D7662" w:rsidRPr="00231103" w:rsidRDefault="00053230" w:rsidP="006D7662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5</w:t>
            </w:r>
            <w:r w:rsidR="001345E5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.</w:t>
            </w:r>
            <w:r w:rsidR="006D7662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</w:t>
            </w:r>
            <w:r w:rsidR="006D7662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在美国仓储基地</w:t>
            </w:r>
            <w:r w:rsidR="006D7662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要进行</w:t>
            </w:r>
            <w:r w:rsidR="006D7662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智能化的改造，目前改造的规划</w:t>
            </w:r>
            <w:r w:rsidR="006D7662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如何</w:t>
            </w:r>
            <w:r w:rsidR="006D7662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，包括预计会投入的金额以及目前的进度情况。</w:t>
            </w:r>
          </w:p>
          <w:p w14:paraId="4B8710EB" w14:textId="4D452D7F" w:rsidR="006D7662" w:rsidRPr="00231103" w:rsidRDefault="006D7662" w:rsidP="006D7662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回答：公司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美国的仓储智能化的布局会再进一步加强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，目前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正在推进过程中，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预计投入金额为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两三百万美金，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这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对于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经营管理效率的提升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会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有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较大的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帮助，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如果在美国的实施效果明显，未来会推广至其他区域中心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。</w:t>
            </w:r>
          </w:p>
          <w:p w14:paraId="207DBCD6" w14:textId="7246B28B" w:rsidR="009C0B7E" w:rsidRPr="00C409D5" w:rsidRDefault="00053230" w:rsidP="009C0B7E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6</w:t>
            </w:r>
            <w:r w:rsidR="00D36BD6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.</w:t>
            </w:r>
            <w:r w:rsidR="00C409D5"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公司的存货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跌价</w:t>
            </w:r>
            <w:r w:rsidR="00C409D5"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准备计提策略是什么样的？</w:t>
            </w:r>
          </w:p>
          <w:p w14:paraId="31368D84" w14:textId="33102EE5" w:rsidR="00C409D5" w:rsidRPr="00C409D5" w:rsidRDefault="009C0B7E" w:rsidP="00C409D5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回答：</w:t>
            </w:r>
            <w:r w:rsidR="00C409D5"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公司的存货跌价准备的计提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主要</w:t>
            </w:r>
            <w:r w:rsidR="00C409D5"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有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两个来源，第一</w:t>
            </w:r>
            <w:r w:rsidR="00C409D5"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是对于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库龄在两年以上</w:t>
            </w:r>
            <w:r w:rsidR="00547328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，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且近一年没有销售的存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lastRenderedPageBreak/>
              <w:t>货，全额计提</w:t>
            </w:r>
            <w:r w:rsidR="00C409D5"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跌价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准备</w:t>
            </w:r>
            <w:r w:rsidR="00C409D5"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；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第二</w:t>
            </w:r>
            <w:r w:rsidR="00C409D5"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会定期</w:t>
            </w:r>
            <w:r w:rsidR="00C409D5"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将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成本</w:t>
            </w:r>
            <w:r w:rsidR="00C409D5"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与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可变现净值比较，如存在差额，差额部分</w:t>
            </w:r>
            <w:r w:rsidR="00C409D5"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计入跌价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准备，</w:t>
            </w:r>
            <w:r w:rsidR="00C409D5" w:rsidRPr="00C409D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计提</w:t>
            </w:r>
            <w:r w:rsidR="00C409D5" w:rsidRPr="00C409D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政策是非常严格的。</w:t>
            </w:r>
          </w:p>
          <w:p w14:paraId="3DDA5E1A" w14:textId="5E42A938" w:rsidR="00115C26" w:rsidRPr="00231103" w:rsidRDefault="00053230" w:rsidP="00115C26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7</w:t>
            </w:r>
            <w:r w:rsidR="002451F2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.</w:t>
            </w:r>
            <w:r w:rsidR="00115C26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公司整体</w:t>
            </w:r>
            <w:r w:rsidR="00115C26"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经营战略是否有调整，包括公司短中长期的发展的规划是</w:t>
            </w:r>
            <w:r w:rsidR="00115C26"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怎样的。</w:t>
            </w:r>
          </w:p>
          <w:p w14:paraId="7D58D685" w14:textId="644C4AB0" w:rsidR="00115C26" w:rsidRPr="00231103" w:rsidRDefault="00115C26" w:rsidP="00115C26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回答：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关于公司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整体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的经营战略，海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外的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需求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和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增速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都较快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，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未来会继续加大海外的投入及布局，而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国内的竞争格局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较为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激烈，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未来在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策略上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会做一定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的调整，在国内会更加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关注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毛利率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及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回款情况，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也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就是更加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注重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风险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控制</w:t>
            </w:r>
            <w:r w:rsidR="007D4145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。</w:t>
            </w:r>
            <w:r w:rsid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与此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同时</w:t>
            </w:r>
            <w:r w:rsid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，目前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从中央到地方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各个层面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，</w:t>
            </w:r>
            <w:r w:rsidR="007D4145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针对创新药产业链，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政府都出台了非常多</w:t>
            </w:r>
            <w:r w:rsidRPr="00231103">
              <w:rPr>
                <w:rFonts w:ascii="仿宋_GB2312" w:eastAsia="仿宋_GB2312" w:hAnsi="宋体" w:cs="Times New Roman" w:hint="eastAsia"/>
                <w:color w:val="auto"/>
                <w:kern w:val="2"/>
                <w:sz w:val="30"/>
                <w:szCs w:val="30"/>
              </w:rPr>
              <w:t>并且</w:t>
            </w:r>
            <w:r w:rsidRPr="00231103"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  <w:t>很有力度的政策，未来国内的情况会越来越好。</w:t>
            </w:r>
          </w:p>
          <w:p w14:paraId="0DDE2957" w14:textId="1B5598FA" w:rsidR="002451F2" w:rsidRPr="007D4145" w:rsidRDefault="002451F2" w:rsidP="00DB44C7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961DE4" w14:paraId="2C1DCE2D" w14:textId="77777777" w:rsidTr="00B953F3">
        <w:trPr>
          <w:trHeight w:val="940"/>
          <w:jc w:val="center"/>
        </w:trPr>
        <w:tc>
          <w:tcPr>
            <w:tcW w:w="195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D149C8" w14:textId="77777777" w:rsidR="00961DE4" w:rsidRDefault="00741928">
            <w:pPr>
              <w:spacing w:before="24" w:line="315" w:lineRule="exact"/>
              <w:jc w:val="center"/>
              <w:rPr>
                <w:rFonts w:ascii="Times New Roman" w:eastAsia="新宋体" w:hAnsi="Times New Roman" w:cs="Times New Roman"/>
                <w:b/>
                <w:spacing w:val="-5"/>
                <w:position w:val="5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/>
                <w:b/>
                <w:spacing w:val="-5"/>
                <w:position w:val="5"/>
                <w:sz w:val="24"/>
                <w:szCs w:val="24"/>
              </w:rPr>
              <w:lastRenderedPageBreak/>
              <w:t>附件清单</w:t>
            </w:r>
          </w:p>
          <w:p w14:paraId="660866DB" w14:textId="77777777" w:rsidR="00961DE4" w:rsidRDefault="00741928">
            <w:pPr>
              <w:spacing w:before="24" w:line="315" w:lineRule="exact"/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/>
                <w:b/>
                <w:spacing w:val="23"/>
                <w:sz w:val="24"/>
                <w:szCs w:val="24"/>
              </w:rPr>
              <w:t>(</w:t>
            </w:r>
            <w:r>
              <w:rPr>
                <w:rFonts w:ascii="Times New Roman" w:eastAsia="新宋体" w:hAnsi="Times New Roman" w:cs="Times New Roman"/>
                <w:b/>
                <w:spacing w:val="22"/>
                <w:sz w:val="24"/>
                <w:szCs w:val="24"/>
              </w:rPr>
              <w:t>如有</w:t>
            </w:r>
            <w:r>
              <w:rPr>
                <w:rFonts w:ascii="Times New Roman" w:eastAsia="新宋体" w:hAnsi="Times New Roman" w:cs="Times New Roman"/>
                <w:b/>
                <w:spacing w:val="22"/>
                <w:sz w:val="24"/>
                <w:szCs w:val="24"/>
              </w:rPr>
              <w:t>)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5EBA4B" w14:textId="77777777" w:rsidR="00961DE4" w:rsidRDefault="00741928" w:rsidP="00B953F3">
            <w:pPr>
              <w:spacing w:before="115" w:line="220" w:lineRule="auto"/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无</w:t>
            </w:r>
          </w:p>
        </w:tc>
      </w:tr>
      <w:tr w:rsidR="00961DE4" w14:paraId="0118A12F" w14:textId="77777777" w:rsidTr="00B953F3">
        <w:trPr>
          <w:trHeight w:val="940"/>
          <w:jc w:val="center"/>
        </w:trPr>
        <w:tc>
          <w:tcPr>
            <w:tcW w:w="1957" w:type="dxa"/>
            <w:vAlign w:val="center"/>
          </w:tcPr>
          <w:p w14:paraId="0E7B62CD" w14:textId="77777777" w:rsidR="00961DE4" w:rsidRDefault="00741928">
            <w:pPr>
              <w:spacing w:before="116" w:line="220" w:lineRule="auto"/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/>
                <w:b/>
                <w:spacing w:val="-14"/>
                <w:sz w:val="24"/>
                <w:szCs w:val="24"/>
              </w:rPr>
              <w:t>日</w:t>
            </w:r>
            <w:r>
              <w:rPr>
                <w:rFonts w:ascii="Times New Roman" w:eastAsia="新宋体" w:hAnsi="Times New Roman" w:cs="Times New Roman"/>
                <w:b/>
                <w:spacing w:val="-12"/>
                <w:sz w:val="24"/>
                <w:szCs w:val="24"/>
              </w:rPr>
              <w:t>期</w:t>
            </w:r>
          </w:p>
        </w:tc>
        <w:tc>
          <w:tcPr>
            <w:tcW w:w="6784" w:type="dxa"/>
            <w:gridSpan w:val="2"/>
            <w:vAlign w:val="center"/>
          </w:tcPr>
          <w:p w14:paraId="2E8A0CC5" w14:textId="4055DCC4" w:rsidR="00961DE4" w:rsidRDefault="000D40DF" w:rsidP="00115C26">
            <w:pPr>
              <w:spacing w:before="115" w:line="220" w:lineRule="auto"/>
              <w:jc w:val="center"/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</w:pPr>
            <w:r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2024年</w:t>
            </w:r>
            <w:r w:rsidR="00547328"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9</w:t>
            </w:r>
            <w:r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月</w:t>
            </w:r>
            <w:r w:rsidR="002451F2"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2</w:t>
            </w:r>
            <w:r w:rsidR="00741928"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日</w:t>
            </w:r>
          </w:p>
        </w:tc>
      </w:tr>
    </w:tbl>
    <w:p w14:paraId="28EC43B8" w14:textId="77777777" w:rsidR="00961DE4" w:rsidRDefault="00961DE4"/>
    <w:sectPr w:rsidR="00961DE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F7510" w14:textId="77777777" w:rsidR="008572EE" w:rsidRDefault="008572EE">
      <w:r>
        <w:separator/>
      </w:r>
    </w:p>
  </w:endnote>
  <w:endnote w:type="continuationSeparator" w:id="0">
    <w:p w14:paraId="1094EA14" w14:textId="77777777" w:rsidR="008572EE" w:rsidRDefault="0085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4F14C" w14:textId="77777777" w:rsidR="008572EE" w:rsidRDefault="008572EE">
      <w:r>
        <w:separator/>
      </w:r>
    </w:p>
  </w:footnote>
  <w:footnote w:type="continuationSeparator" w:id="0">
    <w:p w14:paraId="0202C498" w14:textId="77777777" w:rsidR="008572EE" w:rsidRDefault="0085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BE5A" w14:textId="77777777" w:rsidR="00961DE4" w:rsidRDefault="00741928" w:rsidP="001F10CD">
    <w:pPr>
      <w:spacing w:before="322" w:line="198" w:lineRule="auto"/>
      <w:ind w:right="31"/>
      <w:jc w:val="right"/>
    </w:pPr>
    <w:r>
      <w:rPr>
        <w:noProof/>
        <w:sz w:val="19"/>
        <w:szCs w:val="19"/>
      </w:rPr>
      <w:drawing>
        <wp:anchor distT="0" distB="0" distL="114300" distR="114300" simplePos="0" relativeHeight="251659264" behindDoc="0" locked="0" layoutInCell="1" allowOverlap="1" wp14:anchorId="093754EC" wp14:editId="2AC1A3F9">
          <wp:simplePos x="0" y="0"/>
          <wp:positionH relativeFrom="column">
            <wp:posOffset>122555</wp:posOffset>
          </wp:positionH>
          <wp:positionV relativeFrom="paragraph">
            <wp:posOffset>12065</wp:posOffset>
          </wp:positionV>
          <wp:extent cx="946785" cy="378460"/>
          <wp:effectExtent l="0" t="0" r="5715" b="2540"/>
          <wp:wrapNone/>
          <wp:docPr id="3" name="图片 32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2" descr="文本&#10;&#10;描述已自动生成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790" cy="380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10CD">
      <w:rPr>
        <w:rFonts w:ascii="微软雅黑" w:eastAsia="微软雅黑" w:hAnsi="微软雅黑" w:cs="微软雅黑"/>
        <w:sz w:val="19"/>
        <w:szCs w:val="19"/>
      </w:rPr>
      <w:ptab w:relativeTo="margin" w:alignment="center" w:leader="none"/>
    </w:r>
    <w:r w:rsidRPr="001F10CD">
      <w:rPr>
        <w:rFonts w:asciiTheme="minorEastAsia" w:hAnsiTheme="minorEastAsia" w:cs="微软雅黑" w:hint="eastAsia"/>
        <w:sz w:val="19"/>
        <w:szCs w:val="19"/>
      </w:rPr>
      <w:t>上海毕得医药科技</w:t>
    </w:r>
    <w:r w:rsidRPr="001F10CD">
      <w:rPr>
        <w:rFonts w:asciiTheme="minorEastAsia" w:hAnsiTheme="minorEastAsia" w:cs="微软雅黑"/>
        <w:spacing w:val="6"/>
        <w:sz w:val="19"/>
        <w:szCs w:val="19"/>
      </w:rPr>
      <w:t>股份有限公司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D585B"/>
    <w:multiLevelType w:val="singleLevel"/>
    <w:tmpl w:val="4C1D585B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351396B"/>
    <w:multiLevelType w:val="hybridMultilevel"/>
    <w:tmpl w:val="96EC7F9A"/>
    <w:lvl w:ilvl="0" w:tplc="836C3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FD7DDC"/>
    <w:multiLevelType w:val="hybridMultilevel"/>
    <w:tmpl w:val="9334A750"/>
    <w:lvl w:ilvl="0" w:tplc="01B84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ZjgxNTYwZGU3ZWU5MjE3MTYyZDM2MWQ0ZTRjYmEifQ=="/>
  </w:docVars>
  <w:rsids>
    <w:rsidRoot w:val="6B274175"/>
    <w:rsid w:val="00014D36"/>
    <w:rsid w:val="000240F6"/>
    <w:rsid w:val="000458FB"/>
    <w:rsid w:val="00053230"/>
    <w:rsid w:val="00055201"/>
    <w:rsid w:val="00063DEB"/>
    <w:rsid w:val="000A2515"/>
    <w:rsid w:val="000D40DF"/>
    <w:rsid w:val="00105543"/>
    <w:rsid w:val="00115C26"/>
    <w:rsid w:val="00120796"/>
    <w:rsid w:val="001345E5"/>
    <w:rsid w:val="001722B6"/>
    <w:rsid w:val="001B6331"/>
    <w:rsid w:val="001F10CD"/>
    <w:rsid w:val="00203E22"/>
    <w:rsid w:val="002225E3"/>
    <w:rsid w:val="00231103"/>
    <w:rsid w:val="00240A67"/>
    <w:rsid w:val="002451F2"/>
    <w:rsid w:val="00253AA3"/>
    <w:rsid w:val="002612D5"/>
    <w:rsid w:val="00295A0B"/>
    <w:rsid w:val="002C1D19"/>
    <w:rsid w:val="00321CCA"/>
    <w:rsid w:val="00325BD1"/>
    <w:rsid w:val="003358FA"/>
    <w:rsid w:val="0036697D"/>
    <w:rsid w:val="00384A9C"/>
    <w:rsid w:val="003B09EE"/>
    <w:rsid w:val="003F4E75"/>
    <w:rsid w:val="00453A45"/>
    <w:rsid w:val="0045518F"/>
    <w:rsid w:val="004731EC"/>
    <w:rsid w:val="004738F9"/>
    <w:rsid w:val="004B65A4"/>
    <w:rsid w:val="004D5992"/>
    <w:rsid w:val="004E7676"/>
    <w:rsid w:val="004F19BF"/>
    <w:rsid w:val="005058BF"/>
    <w:rsid w:val="00547328"/>
    <w:rsid w:val="0057553C"/>
    <w:rsid w:val="005762C6"/>
    <w:rsid w:val="00580F43"/>
    <w:rsid w:val="0059754F"/>
    <w:rsid w:val="005A4D73"/>
    <w:rsid w:val="005A7878"/>
    <w:rsid w:val="005B31C6"/>
    <w:rsid w:val="005E1FC2"/>
    <w:rsid w:val="005F103A"/>
    <w:rsid w:val="006066B0"/>
    <w:rsid w:val="00625BD7"/>
    <w:rsid w:val="00667EE7"/>
    <w:rsid w:val="006820CF"/>
    <w:rsid w:val="00693030"/>
    <w:rsid w:val="006A5ECA"/>
    <w:rsid w:val="006C3F0C"/>
    <w:rsid w:val="006C72E8"/>
    <w:rsid w:val="006D7662"/>
    <w:rsid w:val="006E7FBE"/>
    <w:rsid w:val="0072468C"/>
    <w:rsid w:val="00737120"/>
    <w:rsid w:val="00741928"/>
    <w:rsid w:val="007701EB"/>
    <w:rsid w:val="007D4145"/>
    <w:rsid w:val="0080068C"/>
    <w:rsid w:val="008112D4"/>
    <w:rsid w:val="008572EE"/>
    <w:rsid w:val="008A71CC"/>
    <w:rsid w:val="008B35FB"/>
    <w:rsid w:val="008D69A2"/>
    <w:rsid w:val="00934BC8"/>
    <w:rsid w:val="00941C25"/>
    <w:rsid w:val="0094369B"/>
    <w:rsid w:val="00961DE4"/>
    <w:rsid w:val="00995C31"/>
    <w:rsid w:val="009C0B7E"/>
    <w:rsid w:val="009E274B"/>
    <w:rsid w:val="009F1AF5"/>
    <w:rsid w:val="009F2359"/>
    <w:rsid w:val="009F5A94"/>
    <w:rsid w:val="00A175BC"/>
    <w:rsid w:val="00A32A6C"/>
    <w:rsid w:val="00A53076"/>
    <w:rsid w:val="00A85B83"/>
    <w:rsid w:val="00AD2D1A"/>
    <w:rsid w:val="00AE4238"/>
    <w:rsid w:val="00B64B6D"/>
    <w:rsid w:val="00B672F8"/>
    <w:rsid w:val="00B953F3"/>
    <w:rsid w:val="00BD13FC"/>
    <w:rsid w:val="00BD42E3"/>
    <w:rsid w:val="00C30A4D"/>
    <w:rsid w:val="00C409D5"/>
    <w:rsid w:val="00C4184A"/>
    <w:rsid w:val="00C4329F"/>
    <w:rsid w:val="00C81DCB"/>
    <w:rsid w:val="00C9392E"/>
    <w:rsid w:val="00C961C1"/>
    <w:rsid w:val="00C97062"/>
    <w:rsid w:val="00CA7598"/>
    <w:rsid w:val="00CC544A"/>
    <w:rsid w:val="00CD392E"/>
    <w:rsid w:val="00CE146D"/>
    <w:rsid w:val="00D03E7F"/>
    <w:rsid w:val="00D24F11"/>
    <w:rsid w:val="00D36BD6"/>
    <w:rsid w:val="00D43273"/>
    <w:rsid w:val="00D52626"/>
    <w:rsid w:val="00D8295F"/>
    <w:rsid w:val="00D9003E"/>
    <w:rsid w:val="00D925B8"/>
    <w:rsid w:val="00DB0D82"/>
    <w:rsid w:val="00DB44C7"/>
    <w:rsid w:val="00DE67E1"/>
    <w:rsid w:val="00DF3C55"/>
    <w:rsid w:val="00E21855"/>
    <w:rsid w:val="00E33BAA"/>
    <w:rsid w:val="00E4549E"/>
    <w:rsid w:val="00E661A4"/>
    <w:rsid w:val="00E81006"/>
    <w:rsid w:val="00EA2E0F"/>
    <w:rsid w:val="00EB7CB2"/>
    <w:rsid w:val="00EC50F7"/>
    <w:rsid w:val="00EE51EA"/>
    <w:rsid w:val="00EF12A6"/>
    <w:rsid w:val="00FA6027"/>
    <w:rsid w:val="00FD309F"/>
    <w:rsid w:val="00FE18A4"/>
    <w:rsid w:val="0E0A1760"/>
    <w:rsid w:val="21CE6CB6"/>
    <w:rsid w:val="6B2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750EBC"/>
  <w15:docId w15:val="{7A82748C-E3AE-4DF1-828D-8E9532E8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rsid w:val="00E4549E"/>
    <w:pPr>
      <w:ind w:firstLineChars="200" w:firstLine="420"/>
    </w:pPr>
  </w:style>
  <w:style w:type="paragraph" w:styleId="a6">
    <w:name w:val="Balloon Text"/>
    <w:basedOn w:val="a"/>
    <w:link w:val="a7"/>
    <w:rsid w:val="009F5A94"/>
    <w:rPr>
      <w:sz w:val="18"/>
      <w:szCs w:val="18"/>
    </w:rPr>
  </w:style>
  <w:style w:type="character" w:customStyle="1" w:styleId="a7">
    <w:name w:val="批注框文本 字符"/>
    <w:basedOn w:val="a0"/>
    <w:link w:val="a6"/>
    <w:rsid w:val="009F5A94"/>
    <w:rPr>
      <w:rFonts w:ascii="Arial" w:hAnsi="Arial" w:cs="Arial"/>
      <w:snapToGrid w:val="0"/>
      <w:color w:val="000000"/>
      <w:sz w:val="18"/>
      <w:szCs w:val="18"/>
    </w:rPr>
  </w:style>
  <w:style w:type="character" w:styleId="a8">
    <w:name w:val="annotation reference"/>
    <w:basedOn w:val="a0"/>
    <w:rsid w:val="002C1D19"/>
    <w:rPr>
      <w:sz w:val="21"/>
      <w:szCs w:val="21"/>
    </w:rPr>
  </w:style>
  <w:style w:type="paragraph" w:styleId="a9">
    <w:name w:val="annotation text"/>
    <w:basedOn w:val="a"/>
    <w:link w:val="aa"/>
    <w:rsid w:val="002C1D19"/>
  </w:style>
  <w:style w:type="character" w:customStyle="1" w:styleId="aa">
    <w:name w:val="批注文字 字符"/>
    <w:basedOn w:val="a0"/>
    <w:link w:val="a9"/>
    <w:rsid w:val="002C1D19"/>
    <w:rPr>
      <w:rFonts w:ascii="Arial" w:hAnsi="Arial" w:cs="Arial"/>
      <w:snapToGrid w:val="0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2C1D19"/>
    <w:rPr>
      <w:b/>
      <w:bCs/>
    </w:rPr>
  </w:style>
  <w:style w:type="character" w:customStyle="1" w:styleId="ac">
    <w:name w:val="批注主题 字符"/>
    <w:basedOn w:val="aa"/>
    <w:link w:val="ab"/>
    <w:rsid w:val="002C1D19"/>
    <w:rPr>
      <w:rFonts w:ascii="Arial" w:hAnsi="Arial" w:cs="Arial"/>
      <w:b/>
      <w:bCs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宋筱</dc:creator>
  <cp:lastModifiedBy>renshi04</cp:lastModifiedBy>
  <cp:revision>3</cp:revision>
  <dcterms:created xsi:type="dcterms:W3CDTF">2024-09-02T05:56:00Z</dcterms:created>
  <dcterms:modified xsi:type="dcterms:W3CDTF">2024-09-02T05:59:00Z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21C88D7BC6CF4D91AD3A76F89560A038_13</vt:lpwstr>
  </property>
</Properties>
</file>