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F929" w14:textId="54270847" w:rsidR="00655039" w:rsidRPr="00B357B9" w:rsidRDefault="00C73CDA" w:rsidP="00FC0FA9">
      <w:pPr>
        <w:tabs>
          <w:tab w:val="left" w:pos="7655"/>
        </w:tabs>
        <w:spacing w:before="1"/>
        <w:rPr>
          <w:rFonts w:ascii="Times New Roman" w:eastAsia="宋体" w:hAnsi="Times New Roman"/>
          <w:bCs/>
          <w:sz w:val="24"/>
        </w:rPr>
      </w:pPr>
      <w:r w:rsidRPr="00B357B9">
        <w:rPr>
          <w:rFonts w:ascii="Times New Roman" w:eastAsia="宋体" w:hAnsi="Times New Roman" w:hint="eastAsia"/>
          <w:bCs/>
          <w:sz w:val="24"/>
        </w:rPr>
        <w:t>证券代码：</w:t>
      </w:r>
      <w:r w:rsidRPr="00B357B9">
        <w:rPr>
          <w:rFonts w:ascii="Times New Roman" w:eastAsia="宋体" w:hAnsi="Times New Roman" w:cs="Times New Roman"/>
          <w:bCs/>
          <w:sz w:val="24"/>
        </w:rPr>
        <w:t>688180</w:t>
      </w:r>
      <w:r w:rsidR="00B8574E" w:rsidRPr="00B357B9">
        <w:rPr>
          <w:rFonts w:ascii="Times New Roman" w:eastAsia="宋体" w:hAnsi="Times New Roman" w:hint="eastAsia"/>
          <w:bCs/>
          <w:sz w:val="24"/>
        </w:rPr>
        <w:tab/>
      </w:r>
      <w:r w:rsidR="00944CDE" w:rsidRPr="00B357B9">
        <w:rPr>
          <w:rFonts w:ascii="Times New Roman" w:eastAsia="宋体" w:hAnsi="Times New Roman" w:hint="eastAsia"/>
          <w:bCs/>
          <w:sz w:val="24"/>
        </w:rPr>
        <w:t>证券</w:t>
      </w:r>
      <w:r w:rsidRPr="00B357B9">
        <w:rPr>
          <w:rFonts w:ascii="Times New Roman" w:eastAsia="宋体" w:hAnsi="Times New Roman" w:hint="eastAsia"/>
          <w:bCs/>
          <w:sz w:val="24"/>
        </w:rPr>
        <w:t>简称：君实生物</w:t>
      </w:r>
    </w:p>
    <w:p w14:paraId="3563A14A" w14:textId="77777777" w:rsidR="00655039" w:rsidRPr="00B357B9" w:rsidRDefault="00655039">
      <w:pPr>
        <w:pStyle w:val="a5"/>
        <w:spacing w:before="1"/>
        <w:rPr>
          <w:rFonts w:ascii="Times New Roman" w:eastAsia="宋体" w:hAnsi="Times New Roman"/>
          <w:sz w:val="14"/>
        </w:rPr>
      </w:pPr>
    </w:p>
    <w:p w14:paraId="56A4CDC8" w14:textId="77777777" w:rsidR="00C73CDA" w:rsidRPr="00B357B9" w:rsidRDefault="00B8574E" w:rsidP="007268FD">
      <w:pPr>
        <w:pStyle w:val="a5"/>
        <w:spacing w:line="360" w:lineRule="auto"/>
        <w:ind w:right="-51"/>
        <w:jc w:val="center"/>
        <w:rPr>
          <w:rFonts w:ascii="Times New Roman" w:eastAsia="宋体" w:hAnsi="Times New Roman"/>
        </w:rPr>
      </w:pPr>
      <w:r w:rsidRPr="00B357B9">
        <w:rPr>
          <w:rFonts w:ascii="Times New Roman" w:eastAsia="宋体" w:hAnsi="Times New Roman"/>
        </w:rPr>
        <w:t>上海君实生物医药科技股份有限公司</w:t>
      </w:r>
    </w:p>
    <w:p w14:paraId="4A2F766A" w14:textId="7244DB7A" w:rsidR="00655039" w:rsidRPr="00B357B9" w:rsidRDefault="00B8574E" w:rsidP="007268FD">
      <w:pPr>
        <w:pStyle w:val="a5"/>
        <w:spacing w:line="360" w:lineRule="auto"/>
        <w:ind w:right="-51"/>
        <w:jc w:val="center"/>
        <w:rPr>
          <w:rFonts w:ascii="Times New Roman" w:eastAsia="宋体" w:hAnsi="Times New Roman"/>
        </w:rPr>
      </w:pPr>
      <w:r w:rsidRPr="00B357B9">
        <w:rPr>
          <w:rFonts w:ascii="Times New Roman" w:eastAsia="宋体" w:hAnsi="Times New Roman"/>
        </w:rPr>
        <w:t>投资者关系活动记录表</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2267"/>
        <w:gridCol w:w="5387"/>
      </w:tblGrid>
      <w:tr w:rsidR="00C73CDA" w:rsidRPr="00B357B9" w14:paraId="3AECB67F" w14:textId="77777777" w:rsidTr="007268FD">
        <w:trPr>
          <w:trHeight w:val="480"/>
        </w:trPr>
        <w:tc>
          <w:tcPr>
            <w:tcW w:w="1980" w:type="dxa"/>
            <w:vMerge w:val="restart"/>
            <w:vAlign w:val="center"/>
          </w:tcPr>
          <w:p w14:paraId="0B024373" w14:textId="62DE4FE8" w:rsidR="00C73CDA" w:rsidRPr="00B357B9" w:rsidRDefault="00C73CDA" w:rsidP="00FC0FA9">
            <w:pPr>
              <w:pStyle w:val="TableParagraph"/>
              <w:spacing w:before="92" w:line="356" w:lineRule="exact"/>
              <w:ind w:left="90" w:right="80"/>
              <w:jc w:val="center"/>
              <w:rPr>
                <w:rFonts w:ascii="Times New Roman" w:eastAsia="宋体" w:hAnsi="Times New Roman"/>
                <w:sz w:val="24"/>
                <w:szCs w:val="24"/>
              </w:rPr>
            </w:pPr>
            <w:r w:rsidRPr="00B357B9">
              <w:rPr>
                <w:rFonts w:ascii="Times New Roman" w:eastAsia="宋体" w:hAnsi="Times New Roman" w:hint="eastAsia"/>
                <w:b/>
                <w:color w:val="000007"/>
                <w:sz w:val="24"/>
                <w:szCs w:val="24"/>
              </w:rPr>
              <w:t>投资者关系活动类别</w:t>
            </w:r>
          </w:p>
        </w:tc>
        <w:tc>
          <w:tcPr>
            <w:tcW w:w="2267" w:type="dxa"/>
            <w:tcBorders>
              <w:bottom w:val="nil"/>
              <w:right w:val="nil"/>
            </w:tcBorders>
          </w:tcPr>
          <w:p w14:paraId="70E23FBB" w14:textId="362BD808" w:rsidR="00C73CDA" w:rsidRPr="00B357B9" w:rsidRDefault="00042900">
            <w:pPr>
              <w:pStyle w:val="TableParagraph"/>
              <w:spacing w:before="84"/>
              <w:rPr>
                <w:rFonts w:ascii="Times New Roman" w:eastAsia="宋体" w:hAnsi="Times New Roman"/>
                <w:sz w:val="24"/>
                <w:szCs w:val="24"/>
              </w:rPr>
            </w:pPr>
            <w:r w:rsidRPr="00B357B9">
              <w:rPr>
                <w:rFonts w:ascii="Times New Roman" w:eastAsia="宋体" w:hAnsi="Times New Roman"/>
                <w:sz w:val="24"/>
                <w:szCs w:val="24"/>
              </w:rPr>
              <w:t>□</w:t>
            </w:r>
            <w:r w:rsidR="00C73CDA" w:rsidRPr="00B357B9">
              <w:rPr>
                <w:rFonts w:ascii="Times New Roman" w:eastAsia="宋体" w:hAnsi="Times New Roman"/>
                <w:sz w:val="24"/>
                <w:szCs w:val="24"/>
              </w:rPr>
              <w:t>特定对象调研</w:t>
            </w:r>
          </w:p>
        </w:tc>
        <w:tc>
          <w:tcPr>
            <w:tcW w:w="5387" w:type="dxa"/>
            <w:tcBorders>
              <w:left w:val="nil"/>
              <w:bottom w:val="nil"/>
            </w:tcBorders>
          </w:tcPr>
          <w:p w14:paraId="32B3E88A" w14:textId="2F21D902" w:rsidR="00C73CDA" w:rsidRPr="00B357B9" w:rsidRDefault="00042900">
            <w:pPr>
              <w:pStyle w:val="TableParagraph"/>
              <w:spacing w:before="84"/>
              <w:ind w:left="484"/>
              <w:rPr>
                <w:rFonts w:ascii="Times New Roman" w:eastAsia="宋体" w:hAnsi="Times New Roman"/>
                <w:sz w:val="24"/>
                <w:szCs w:val="24"/>
              </w:rPr>
            </w:pPr>
            <w:r w:rsidRPr="00B357B9">
              <w:rPr>
                <w:rFonts w:ascii="Times New Roman" w:eastAsia="宋体" w:hAnsi="Times New Roman"/>
                <w:sz w:val="24"/>
                <w:szCs w:val="24"/>
              </w:rPr>
              <w:t>□</w:t>
            </w:r>
            <w:r w:rsidR="00C73CDA" w:rsidRPr="00B357B9">
              <w:rPr>
                <w:rFonts w:ascii="Times New Roman" w:eastAsia="宋体" w:hAnsi="Times New Roman"/>
                <w:sz w:val="24"/>
                <w:szCs w:val="24"/>
              </w:rPr>
              <w:t>分析师会议</w:t>
            </w:r>
          </w:p>
        </w:tc>
      </w:tr>
      <w:tr w:rsidR="00C73CDA" w:rsidRPr="00B357B9" w14:paraId="09593E87" w14:textId="77777777" w:rsidTr="007268FD">
        <w:trPr>
          <w:trHeight w:val="468"/>
        </w:trPr>
        <w:tc>
          <w:tcPr>
            <w:tcW w:w="1980" w:type="dxa"/>
            <w:vMerge/>
            <w:vAlign w:val="center"/>
          </w:tcPr>
          <w:p w14:paraId="2622011A" w14:textId="602D9645" w:rsidR="00C73CDA" w:rsidRPr="00B357B9" w:rsidRDefault="00C73CDA" w:rsidP="00B8574E">
            <w:pPr>
              <w:pStyle w:val="TableParagraph"/>
              <w:spacing w:line="340" w:lineRule="exact"/>
              <w:ind w:left="10"/>
              <w:jc w:val="center"/>
              <w:rPr>
                <w:rFonts w:ascii="Times New Roman" w:eastAsia="宋体" w:hAnsi="Times New Roman"/>
                <w:b/>
                <w:sz w:val="24"/>
                <w:szCs w:val="24"/>
              </w:rPr>
            </w:pPr>
          </w:p>
        </w:tc>
        <w:tc>
          <w:tcPr>
            <w:tcW w:w="2267" w:type="dxa"/>
            <w:tcBorders>
              <w:top w:val="nil"/>
              <w:bottom w:val="nil"/>
              <w:right w:val="nil"/>
            </w:tcBorders>
          </w:tcPr>
          <w:p w14:paraId="0191098E" w14:textId="77777777" w:rsidR="00C73CDA" w:rsidRPr="00B357B9" w:rsidRDefault="00C73CDA">
            <w:pPr>
              <w:pStyle w:val="TableParagraph"/>
              <w:spacing w:before="72"/>
              <w:rPr>
                <w:rFonts w:ascii="Times New Roman" w:eastAsia="宋体" w:hAnsi="Times New Roman"/>
                <w:sz w:val="24"/>
                <w:szCs w:val="24"/>
              </w:rPr>
            </w:pPr>
            <w:r w:rsidRPr="00B357B9">
              <w:rPr>
                <w:rFonts w:ascii="Times New Roman" w:eastAsia="宋体" w:hAnsi="Times New Roman"/>
                <w:sz w:val="24"/>
                <w:szCs w:val="24"/>
              </w:rPr>
              <w:t>□</w:t>
            </w:r>
            <w:r w:rsidRPr="00B357B9">
              <w:rPr>
                <w:rFonts w:ascii="Times New Roman" w:eastAsia="宋体" w:hAnsi="Times New Roman"/>
                <w:sz w:val="24"/>
                <w:szCs w:val="24"/>
              </w:rPr>
              <w:t>媒体采访</w:t>
            </w:r>
          </w:p>
        </w:tc>
        <w:tc>
          <w:tcPr>
            <w:tcW w:w="5387" w:type="dxa"/>
            <w:tcBorders>
              <w:top w:val="nil"/>
              <w:left w:val="nil"/>
              <w:bottom w:val="nil"/>
            </w:tcBorders>
          </w:tcPr>
          <w:p w14:paraId="34284E86" w14:textId="6349C44B" w:rsidR="00C73CDA" w:rsidRPr="00B357B9" w:rsidRDefault="00042900">
            <w:pPr>
              <w:pStyle w:val="TableParagraph"/>
              <w:spacing w:before="72"/>
              <w:ind w:left="484"/>
              <w:rPr>
                <w:rFonts w:ascii="Times New Roman" w:eastAsia="宋体" w:hAnsi="Times New Roman"/>
                <w:sz w:val="24"/>
                <w:szCs w:val="24"/>
              </w:rPr>
            </w:pPr>
            <w:r w:rsidRPr="00B357B9">
              <w:rPr>
                <w:rFonts w:ascii="Times New Roman" w:eastAsia="宋体" w:hAnsi="Times New Roman"/>
                <w:sz w:val="24"/>
                <w:szCs w:val="24"/>
              </w:rPr>
              <w:sym w:font="Wingdings 2" w:char="F052"/>
            </w:r>
            <w:r w:rsidR="00C73CDA" w:rsidRPr="00B357B9">
              <w:rPr>
                <w:rFonts w:ascii="Times New Roman" w:eastAsia="宋体" w:hAnsi="Times New Roman"/>
                <w:sz w:val="24"/>
                <w:szCs w:val="24"/>
              </w:rPr>
              <w:t>业绩说明会</w:t>
            </w:r>
          </w:p>
        </w:tc>
      </w:tr>
      <w:tr w:rsidR="00C73CDA" w:rsidRPr="00B357B9" w14:paraId="1FE6FBD3" w14:textId="77777777" w:rsidTr="007268FD">
        <w:trPr>
          <w:trHeight w:val="467"/>
        </w:trPr>
        <w:tc>
          <w:tcPr>
            <w:tcW w:w="1980" w:type="dxa"/>
            <w:vMerge/>
            <w:vAlign w:val="center"/>
          </w:tcPr>
          <w:p w14:paraId="3FC089D6" w14:textId="06813B30" w:rsidR="00C73CDA" w:rsidRPr="00B357B9" w:rsidRDefault="00C73CDA">
            <w:pPr>
              <w:pStyle w:val="TableParagraph"/>
              <w:spacing w:line="340" w:lineRule="exact"/>
              <w:ind w:left="10"/>
              <w:jc w:val="center"/>
              <w:rPr>
                <w:rFonts w:ascii="Times New Roman" w:eastAsia="宋体" w:hAnsi="Times New Roman"/>
                <w:b/>
                <w:sz w:val="24"/>
                <w:szCs w:val="24"/>
              </w:rPr>
            </w:pPr>
          </w:p>
        </w:tc>
        <w:tc>
          <w:tcPr>
            <w:tcW w:w="2267" w:type="dxa"/>
            <w:tcBorders>
              <w:top w:val="nil"/>
              <w:bottom w:val="nil"/>
              <w:right w:val="nil"/>
            </w:tcBorders>
          </w:tcPr>
          <w:p w14:paraId="5874AF32" w14:textId="77777777" w:rsidR="00C73CDA" w:rsidRPr="00B357B9" w:rsidRDefault="00C73CDA">
            <w:pPr>
              <w:pStyle w:val="TableParagraph"/>
              <w:spacing w:before="72"/>
              <w:rPr>
                <w:rFonts w:ascii="Times New Roman" w:eastAsia="宋体" w:hAnsi="Times New Roman"/>
                <w:sz w:val="24"/>
                <w:szCs w:val="24"/>
              </w:rPr>
            </w:pPr>
            <w:r w:rsidRPr="00B357B9">
              <w:rPr>
                <w:rFonts w:ascii="Times New Roman" w:eastAsia="宋体" w:hAnsi="Times New Roman"/>
                <w:sz w:val="24"/>
                <w:szCs w:val="24"/>
              </w:rPr>
              <w:t>□</w:t>
            </w:r>
            <w:r w:rsidRPr="00B357B9">
              <w:rPr>
                <w:rFonts w:ascii="Times New Roman" w:eastAsia="宋体" w:hAnsi="Times New Roman"/>
                <w:sz w:val="24"/>
                <w:szCs w:val="24"/>
              </w:rPr>
              <w:t>新闻发布会</w:t>
            </w:r>
          </w:p>
        </w:tc>
        <w:tc>
          <w:tcPr>
            <w:tcW w:w="5387" w:type="dxa"/>
            <w:tcBorders>
              <w:top w:val="nil"/>
              <w:left w:val="nil"/>
              <w:bottom w:val="nil"/>
            </w:tcBorders>
          </w:tcPr>
          <w:p w14:paraId="0F71E83C" w14:textId="0CF6BB11" w:rsidR="00C73CDA" w:rsidRPr="00B357B9" w:rsidRDefault="00DA34D2">
            <w:pPr>
              <w:pStyle w:val="TableParagraph"/>
              <w:spacing w:before="72"/>
              <w:ind w:left="484"/>
              <w:rPr>
                <w:rFonts w:ascii="Times New Roman" w:eastAsia="宋体" w:hAnsi="Times New Roman"/>
                <w:sz w:val="24"/>
                <w:szCs w:val="24"/>
              </w:rPr>
            </w:pPr>
            <w:r w:rsidRPr="00B357B9">
              <w:rPr>
                <w:rFonts w:ascii="Times New Roman" w:eastAsia="宋体" w:hAnsi="Times New Roman"/>
                <w:sz w:val="24"/>
                <w:szCs w:val="24"/>
              </w:rPr>
              <w:t>□</w:t>
            </w:r>
            <w:r w:rsidR="00C73CDA" w:rsidRPr="00B357B9">
              <w:rPr>
                <w:rFonts w:ascii="Times New Roman" w:eastAsia="宋体" w:hAnsi="Times New Roman"/>
                <w:sz w:val="24"/>
                <w:szCs w:val="24"/>
              </w:rPr>
              <w:t>路演活动</w:t>
            </w:r>
          </w:p>
        </w:tc>
      </w:tr>
      <w:tr w:rsidR="00C73CDA" w:rsidRPr="00B357B9" w14:paraId="57507543" w14:textId="77777777" w:rsidTr="007268FD">
        <w:trPr>
          <w:trHeight w:val="479"/>
        </w:trPr>
        <w:tc>
          <w:tcPr>
            <w:tcW w:w="1980" w:type="dxa"/>
            <w:vMerge/>
            <w:vAlign w:val="center"/>
          </w:tcPr>
          <w:p w14:paraId="7B577FB3" w14:textId="77777777" w:rsidR="00C73CDA" w:rsidRPr="00B357B9" w:rsidRDefault="00C73CDA">
            <w:pPr>
              <w:pStyle w:val="TableParagraph"/>
              <w:ind w:left="0"/>
              <w:rPr>
                <w:rFonts w:ascii="Times New Roman" w:eastAsia="宋体" w:hAnsi="Times New Roman"/>
                <w:sz w:val="24"/>
                <w:szCs w:val="24"/>
              </w:rPr>
            </w:pPr>
          </w:p>
        </w:tc>
        <w:tc>
          <w:tcPr>
            <w:tcW w:w="2267" w:type="dxa"/>
            <w:tcBorders>
              <w:top w:val="nil"/>
              <w:right w:val="nil"/>
            </w:tcBorders>
          </w:tcPr>
          <w:p w14:paraId="66CB031E" w14:textId="1074EB1A" w:rsidR="00C73CDA" w:rsidRPr="00B357B9" w:rsidRDefault="00042900">
            <w:pPr>
              <w:pStyle w:val="TableParagraph"/>
              <w:spacing w:before="72"/>
              <w:rPr>
                <w:rFonts w:ascii="Times New Roman" w:eastAsia="宋体" w:hAnsi="Times New Roman"/>
                <w:sz w:val="24"/>
                <w:szCs w:val="24"/>
              </w:rPr>
            </w:pPr>
            <w:r w:rsidRPr="00B357B9">
              <w:rPr>
                <w:rFonts w:ascii="Times New Roman" w:eastAsia="宋体" w:hAnsi="Times New Roman"/>
                <w:sz w:val="24"/>
                <w:szCs w:val="24"/>
              </w:rPr>
              <w:t>□</w:t>
            </w:r>
            <w:r w:rsidR="00C73CDA" w:rsidRPr="00B357B9">
              <w:rPr>
                <w:rFonts w:ascii="Times New Roman" w:eastAsia="宋体" w:hAnsi="Times New Roman"/>
                <w:sz w:val="24"/>
                <w:szCs w:val="24"/>
              </w:rPr>
              <w:t>现场参观</w:t>
            </w:r>
          </w:p>
        </w:tc>
        <w:tc>
          <w:tcPr>
            <w:tcW w:w="5387" w:type="dxa"/>
            <w:tcBorders>
              <w:top w:val="nil"/>
              <w:left w:val="nil"/>
            </w:tcBorders>
          </w:tcPr>
          <w:p w14:paraId="154370F0" w14:textId="77777777" w:rsidR="00C73CDA" w:rsidRPr="00B357B9" w:rsidRDefault="00C73CDA">
            <w:pPr>
              <w:pStyle w:val="TableParagraph"/>
              <w:spacing w:before="72"/>
              <w:ind w:left="484"/>
              <w:rPr>
                <w:rFonts w:ascii="Times New Roman" w:eastAsia="宋体" w:hAnsi="Times New Roman"/>
                <w:sz w:val="24"/>
                <w:szCs w:val="24"/>
              </w:rPr>
            </w:pPr>
            <w:r w:rsidRPr="00B357B9">
              <w:rPr>
                <w:rFonts w:ascii="Times New Roman" w:eastAsia="宋体" w:hAnsi="Times New Roman"/>
                <w:sz w:val="24"/>
                <w:szCs w:val="24"/>
              </w:rPr>
              <w:t>□</w:t>
            </w:r>
            <w:r w:rsidRPr="00B357B9">
              <w:rPr>
                <w:rFonts w:ascii="Times New Roman" w:eastAsia="宋体" w:hAnsi="Times New Roman"/>
                <w:sz w:val="24"/>
                <w:szCs w:val="24"/>
              </w:rPr>
              <w:t>其他</w:t>
            </w:r>
          </w:p>
        </w:tc>
      </w:tr>
      <w:tr w:rsidR="00655039" w:rsidRPr="00B357B9" w14:paraId="08B3617C" w14:textId="77777777" w:rsidTr="00E53C46">
        <w:trPr>
          <w:trHeight w:val="841"/>
        </w:trPr>
        <w:tc>
          <w:tcPr>
            <w:tcW w:w="1980" w:type="dxa"/>
            <w:vAlign w:val="center"/>
          </w:tcPr>
          <w:p w14:paraId="1956158A" w14:textId="77777777" w:rsidR="00655039" w:rsidRPr="00B357B9" w:rsidRDefault="00B8574E">
            <w:pPr>
              <w:pStyle w:val="TableParagraph"/>
              <w:spacing w:before="1"/>
              <w:ind w:left="90" w:right="78"/>
              <w:jc w:val="center"/>
              <w:rPr>
                <w:rFonts w:ascii="Times New Roman" w:eastAsia="宋体" w:hAnsi="Times New Roman"/>
                <w:b/>
                <w:sz w:val="24"/>
                <w:szCs w:val="24"/>
              </w:rPr>
            </w:pPr>
            <w:r w:rsidRPr="00B357B9">
              <w:rPr>
                <w:rFonts w:ascii="Times New Roman" w:eastAsia="宋体" w:hAnsi="Times New Roman" w:hint="eastAsia"/>
                <w:b/>
                <w:color w:val="000007"/>
                <w:sz w:val="24"/>
                <w:szCs w:val="24"/>
              </w:rPr>
              <w:t>参与单位名称</w:t>
            </w:r>
          </w:p>
        </w:tc>
        <w:tc>
          <w:tcPr>
            <w:tcW w:w="7654" w:type="dxa"/>
            <w:gridSpan w:val="2"/>
          </w:tcPr>
          <w:p w14:paraId="168508E8" w14:textId="2FE3028E" w:rsidR="00655039" w:rsidRPr="00B357B9" w:rsidRDefault="00210F20" w:rsidP="001D3220">
            <w:pPr>
              <w:pStyle w:val="TableParagraph"/>
              <w:spacing w:before="2" w:line="270" w:lineRule="exact"/>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方正证券、东北证券、东方证券、国金证券、</w:t>
            </w:r>
            <w:r w:rsidRPr="003467A8">
              <w:rPr>
                <w:rFonts w:ascii="Times New Roman" w:eastAsia="宋体" w:hAnsi="Times New Roman" w:cs="Times New Roman" w:hint="eastAsia"/>
                <w:sz w:val="24"/>
                <w:szCs w:val="24"/>
              </w:rPr>
              <w:t>国盛证券、</w:t>
            </w:r>
            <w:r>
              <w:rPr>
                <w:rFonts w:ascii="Times New Roman" w:eastAsia="宋体" w:hAnsi="Times New Roman" w:cs="Times New Roman" w:hint="eastAsia"/>
                <w:sz w:val="24"/>
                <w:szCs w:val="24"/>
              </w:rPr>
              <w:t>华安证券、太平洋证券、浙商证券、</w:t>
            </w:r>
            <w:r w:rsidRPr="003467A8">
              <w:rPr>
                <w:rFonts w:ascii="Times New Roman" w:eastAsia="宋体" w:hAnsi="Times New Roman" w:cs="Times New Roman" w:hint="eastAsia"/>
                <w:sz w:val="24"/>
                <w:szCs w:val="24"/>
              </w:rPr>
              <w:t>中信证券、</w:t>
            </w:r>
            <w:r w:rsidR="003467A8" w:rsidRPr="003467A8">
              <w:rPr>
                <w:rFonts w:ascii="Times New Roman" w:eastAsia="宋体" w:hAnsi="Times New Roman" w:cs="Times New Roman" w:hint="eastAsia"/>
                <w:sz w:val="24"/>
                <w:szCs w:val="24"/>
              </w:rPr>
              <w:t>国金基金、农银人寿保险、深圳市兴海荣投资有限公司、真脉投资、绿地金创、广东惠正私募基金管理有限公司、</w:t>
            </w:r>
            <w:r w:rsidR="003467A8" w:rsidRPr="003467A8">
              <w:rPr>
                <w:rFonts w:ascii="Times New Roman" w:eastAsia="宋体" w:hAnsi="Times New Roman" w:cs="Times New Roman"/>
                <w:sz w:val="24"/>
                <w:szCs w:val="24"/>
              </w:rPr>
              <w:t>UBS</w:t>
            </w:r>
            <w:r w:rsidR="003467A8" w:rsidRPr="003467A8">
              <w:rPr>
                <w:rFonts w:ascii="Times New Roman" w:eastAsia="宋体" w:hAnsi="Times New Roman" w:cs="Times New Roman"/>
                <w:sz w:val="24"/>
                <w:szCs w:val="24"/>
              </w:rPr>
              <w:t>、招商基金、</w:t>
            </w:r>
            <w:r w:rsidR="003467A8" w:rsidRPr="003467A8">
              <w:rPr>
                <w:rFonts w:ascii="Times New Roman" w:eastAsia="宋体" w:hAnsi="Times New Roman" w:cs="Times New Roman" w:hint="eastAsia"/>
                <w:sz w:val="24"/>
                <w:szCs w:val="24"/>
              </w:rPr>
              <w:t>泰旸资产管理有限公司、</w:t>
            </w:r>
            <w:r w:rsidR="003467A8" w:rsidRPr="003467A8">
              <w:rPr>
                <w:rFonts w:ascii="Times New Roman" w:eastAsia="宋体" w:hAnsi="Times New Roman" w:cs="Times New Roman"/>
                <w:sz w:val="24"/>
                <w:szCs w:val="24"/>
              </w:rPr>
              <w:t>JPM</w:t>
            </w:r>
            <w:r w:rsidR="003467A8" w:rsidRPr="003467A8">
              <w:rPr>
                <w:rFonts w:ascii="Times New Roman" w:eastAsia="宋体" w:hAnsi="Times New Roman" w:cs="Times New Roman"/>
                <w:sz w:val="24"/>
                <w:szCs w:val="24"/>
              </w:rPr>
              <w:t>、荷荷北京</w:t>
            </w:r>
            <w:r w:rsidR="003467A8" w:rsidRPr="003467A8">
              <w:rPr>
                <w:rFonts w:ascii="Times New Roman" w:eastAsia="宋体" w:hAnsi="Times New Roman" w:cs="Times New Roman" w:hint="eastAsia"/>
                <w:sz w:val="24"/>
                <w:szCs w:val="24"/>
              </w:rPr>
              <w:t>、中国山东高速金融集团有限公司、广发证券、同泰基金、碧云银霞投资管理（上海）有限公司、第一北京、涌容</w:t>
            </w:r>
            <w:r w:rsidR="003467A8" w:rsidRPr="003467A8">
              <w:rPr>
                <w:rFonts w:ascii="Times New Roman" w:eastAsia="宋体" w:hAnsi="Times New Roman" w:cs="Times New Roman"/>
                <w:sz w:val="24"/>
                <w:szCs w:val="24"/>
              </w:rPr>
              <w:t>(</w:t>
            </w:r>
            <w:r w:rsidR="003467A8" w:rsidRPr="003467A8">
              <w:rPr>
                <w:rFonts w:ascii="Times New Roman" w:eastAsia="宋体" w:hAnsi="Times New Roman" w:cs="Times New Roman"/>
                <w:sz w:val="24"/>
                <w:szCs w:val="24"/>
              </w:rPr>
              <w:t>香港</w:t>
            </w:r>
            <w:r w:rsidR="003467A8" w:rsidRPr="003467A8">
              <w:rPr>
                <w:rFonts w:ascii="Times New Roman" w:eastAsia="宋体" w:hAnsi="Times New Roman" w:cs="Times New Roman"/>
                <w:sz w:val="24"/>
                <w:szCs w:val="24"/>
              </w:rPr>
              <w:t>)</w:t>
            </w:r>
            <w:r w:rsidR="003467A8" w:rsidRPr="003467A8">
              <w:rPr>
                <w:rFonts w:ascii="Times New Roman" w:eastAsia="宋体" w:hAnsi="Times New Roman" w:cs="Times New Roman" w:hint="eastAsia"/>
                <w:sz w:val="24"/>
                <w:szCs w:val="24"/>
              </w:rPr>
              <w:t>资产管理有限公司、深圳市尚诚资产管理有限责任</w:t>
            </w:r>
            <w:r w:rsidR="003467A8" w:rsidRPr="003467A8">
              <w:rPr>
                <w:rFonts w:ascii="Times New Roman" w:eastAsia="宋体" w:hAnsi="Times New Roman" w:cs="Times New Roman"/>
                <w:sz w:val="24"/>
                <w:szCs w:val="24"/>
              </w:rPr>
              <w:t>公司、淡水泉（北京）投</w:t>
            </w:r>
            <w:r w:rsidR="003467A8" w:rsidRPr="003467A8">
              <w:rPr>
                <w:rFonts w:ascii="Times New Roman" w:eastAsia="宋体" w:hAnsi="Times New Roman" w:cs="Times New Roman" w:hint="eastAsia"/>
                <w:sz w:val="24"/>
                <w:szCs w:val="24"/>
              </w:rPr>
              <w:t>资管理有限公司、中邮证券、长城财富保险资产管理、</w:t>
            </w:r>
            <w:r w:rsidR="00E73272">
              <w:rPr>
                <w:rFonts w:ascii="Times New Roman" w:eastAsia="宋体" w:hAnsi="Times New Roman" w:cs="Times New Roman" w:hint="eastAsia"/>
                <w:sz w:val="24"/>
                <w:szCs w:val="24"/>
              </w:rPr>
              <w:t>东方证券资管</w:t>
            </w:r>
            <w:r w:rsidR="003467A8" w:rsidRPr="003467A8">
              <w:rPr>
                <w:rFonts w:ascii="Times New Roman" w:eastAsia="宋体" w:hAnsi="Times New Roman" w:cs="Times New Roman" w:hint="eastAsia"/>
                <w:sz w:val="24"/>
                <w:szCs w:val="24"/>
              </w:rPr>
              <w:t>、上海兰石私募基金管理有限公司、华泰证券、博远基金、安远投资、正心谷投资、亚洲红马、杭州博衍私募基金管理合伙企业（有限合伙）、凯石基金、华西证券、广东乐赢私募基金管理有限公司、长盛基金、鹏华基金、国联基金、东方财富证券股份有限公司、平安基金、上海贵源投资</w:t>
            </w:r>
          </w:p>
        </w:tc>
      </w:tr>
      <w:tr w:rsidR="00655039" w:rsidRPr="00B357B9" w14:paraId="07FFE392" w14:textId="77777777" w:rsidTr="00E53C46">
        <w:trPr>
          <w:trHeight w:val="60"/>
        </w:trPr>
        <w:tc>
          <w:tcPr>
            <w:tcW w:w="1980" w:type="dxa"/>
            <w:vAlign w:val="center"/>
          </w:tcPr>
          <w:p w14:paraId="64AF842C" w14:textId="77777777" w:rsidR="00655039" w:rsidRPr="00B357B9" w:rsidRDefault="00B8574E">
            <w:pPr>
              <w:pStyle w:val="TableParagraph"/>
              <w:spacing w:before="140"/>
              <w:ind w:left="90" w:right="80"/>
              <w:jc w:val="center"/>
              <w:rPr>
                <w:rFonts w:ascii="Times New Roman" w:eastAsia="宋体" w:hAnsi="Times New Roman"/>
                <w:b/>
                <w:sz w:val="24"/>
                <w:szCs w:val="24"/>
              </w:rPr>
            </w:pPr>
            <w:r w:rsidRPr="00B357B9">
              <w:rPr>
                <w:rFonts w:ascii="Times New Roman" w:eastAsia="宋体" w:hAnsi="Times New Roman" w:hint="eastAsia"/>
                <w:b/>
                <w:color w:val="000007"/>
                <w:sz w:val="24"/>
                <w:szCs w:val="24"/>
              </w:rPr>
              <w:t>时间</w:t>
            </w:r>
          </w:p>
        </w:tc>
        <w:tc>
          <w:tcPr>
            <w:tcW w:w="7654" w:type="dxa"/>
            <w:gridSpan w:val="2"/>
            <w:vAlign w:val="center"/>
          </w:tcPr>
          <w:p w14:paraId="753EDF0D" w14:textId="52C34EAC" w:rsidR="00655039" w:rsidRPr="00B357B9" w:rsidRDefault="00327CA4" w:rsidP="002A1E5E">
            <w:pPr>
              <w:pStyle w:val="TableParagraph"/>
              <w:spacing w:before="78"/>
              <w:ind w:left="0"/>
              <w:rPr>
                <w:rFonts w:ascii="Times New Roman" w:eastAsia="宋体" w:hAnsi="Times New Roman" w:cs="Times New Roman"/>
                <w:sz w:val="24"/>
                <w:szCs w:val="24"/>
              </w:rPr>
            </w:pPr>
            <w:r w:rsidRPr="00B357B9">
              <w:rPr>
                <w:rFonts w:ascii="Times New Roman" w:eastAsia="宋体" w:hAnsi="Times New Roman" w:cs="Times New Roman" w:hint="eastAsia"/>
                <w:sz w:val="24"/>
                <w:szCs w:val="24"/>
              </w:rPr>
              <w:t>2</w:t>
            </w:r>
            <w:r w:rsidRPr="00B357B9">
              <w:rPr>
                <w:rFonts w:ascii="Times New Roman" w:eastAsia="宋体" w:hAnsi="Times New Roman" w:cs="Times New Roman"/>
                <w:sz w:val="24"/>
                <w:szCs w:val="24"/>
              </w:rPr>
              <w:t>02</w:t>
            </w:r>
            <w:r w:rsidR="00303A85">
              <w:rPr>
                <w:rFonts w:ascii="Times New Roman" w:eastAsia="宋体" w:hAnsi="Times New Roman" w:cs="Times New Roman"/>
                <w:sz w:val="24"/>
                <w:szCs w:val="24"/>
              </w:rPr>
              <w:t>4</w:t>
            </w:r>
            <w:r w:rsidRPr="00B357B9">
              <w:rPr>
                <w:rFonts w:ascii="Times New Roman" w:eastAsia="宋体" w:hAnsi="Times New Roman" w:cs="Times New Roman" w:hint="eastAsia"/>
                <w:sz w:val="24"/>
                <w:szCs w:val="24"/>
              </w:rPr>
              <w:t>年</w:t>
            </w:r>
            <w:r w:rsidR="00303A85">
              <w:rPr>
                <w:rFonts w:ascii="Times New Roman" w:eastAsia="宋体" w:hAnsi="Times New Roman" w:cs="Times New Roman"/>
                <w:sz w:val="24"/>
                <w:szCs w:val="24"/>
              </w:rPr>
              <w:t>9</w:t>
            </w:r>
            <w:r w:rsidR="00C45115" w:rsidRPr="00B357B9">
              <w:rPr>
                <w:rFonts w:ascii="Times New Roman" w:eastAsia="宋体" w:hAnsi="Times New Roman" w:cs="Times New Roman"/>
                <w:sz w:val="24"/>
                <w:szCs w:val="24"/>
              </w:rPr>
              <w:t>月</w:t>
            </w:r>
            <w:r w:rsidR="00A53B8E" w:rsidRPr="00B357B9">
              <w:rPr>
                <w:rFonts w:ascii="Times New Roman" w:eastAsia="宋体" w:hAnsi="Times New Roman" w:cs="Times New Roman"/>
                <w:sz w:val="24"/>
                <w:szCs w:val="24"/>
              </w:rPr>
              <w:t>1</w:t>
            </w:r>
            <w:r w:rsidR="00C45115" w:rsidRPr="00B357B9">
              <w:rPr>
                <w:rFonts w:ascii="Times New Roman" w:eastAsia="宋体" w:hAnsi="Times New Roman" w:cs="Times New Roman"/>
                <w:sz w:val="24"/>
                <w:szCs w:val="24"/>
              </w:rPr>
              <w:t>日</w:t>
            </w:r>
          </w:p>
        </w:tc>
      </w:tr>
      <w:tr w:rsidR="00655039" w:rsidRPr="00B357B9" w14:paraId="7929437B" w14:textId="77777777" w:rsidTr="007268FD">
        <w:trPr>
          <w:trHeight w:val="419"/>
        </w:trPr>
        <w:tc>
          <w:tcPr>
            <w:tcW w:w="1980" w:type="dxa"/>
            <w:vAlign w:val="center"/>
          </w:tcPr>
          <w:p w14:paraId="7ECA169A" w14:textId="77777777" w:rsidR="00655039" w:rsidRPr="00B357B9" w:rsidRDefault="00B8574E">
            <w:pPr>
              <w:pStyle w:val="TableParagraph"/>
              <w:spacing w:line="292" w:lineRule="exact"/>
              <w:ind w:left="90" w:right="80"/>
              <w:jc w:val="center"/>
              <w:rPr>
                <w:rFonts w:ascii="Times New Roman" w:eastAsia="宋体" w:hAnsi="Times New Roman"/>
                <w:b/>
                <w:sz w:val="24"/>
                <w:szCs w:val="24"/>
              </w:rPr>
            </w:pPr>
            <w:r w:rsidRPr="00B357B9">
              <w:rPr>
                <w:rFonts w:ascii="Times New Roman" w:eastAsia="宋体" w:hAnsi="Times New Roman" w:hint="eastAsia"/>
                <w:b/>
                <w:color w:val="000007"/>
                <w:sz w:val="24"/>
                <w:szCs w:val="24"/>
              </w:rPr>
              <w:t>地点</w:t>
            </w:r>
          </w:p>
        </w:tc>
        <w:tc>
          <w:tcPr>
            <w:tcW w:w="7654" w:type="dxa"/>
            <w:gridSpan w:val="2"/>
            <w:vAlign w:val="center"/>
          </w:tcPr>
          <w:p w14:paraId="29D2057D" w14:textId="197D2DE5" w:rsidR="00655039" w:rsidRPr="00B357B9" w:rsidRDefault="00292BF3" w:rsidP="00FC0FA9">
            <w:pPr>
              <w:pStyle w:val="TableParagraph"/>
              <w:spacing w:before="13" w:line="278" w:lineRule="exact"/>
              <w:ind w:left="0"/>
              <w:rPr>
                <w:rFonts w:ascii="Times New Roman" w:eastAsia="宋体" w:hAnsi="Times New Roman"/>
                <w:sz w:val="24"/>
                <w:szCs w:val="24"/>
              </w:rPr>
            </w:pPr>
            <w:r w:rsidRPr="00B357B9">
              <w:rPr>
                <w:rFonts w:ascii="Times New Roman" w:eastAsia="宋体" w:hAnsi="Times New Roman" w:hint="eastAsia"/>
                <w:sz w:val="24"/>
                <w:szCs w:val="24"/>
              </w:rPr>
              <w:t>电话会议</w:t>
            </w:r>
          </w:p>
        </w:tc>
      </w:tr>
      <w:tr w:rsidR="00655039" w:rsidRPr="00B357B9" w14:paraId="70773B7D" w14:textId="77777777" w:rsidTr="007268FD">
        <w:trPr>
          <w:trHeight w:val="318"/>
        </w:trPr>
        <w:tc>
          <w:tcPr>
            <w:tcW w:w="1980" w:type="dxa"/>
            <w:vAlign w:val="center"/>
          </w:tcPr>
          <w:p w14:paraId="3F0EB2EE" w14:textId="77777777" w:rsidR="00655039" w:rsidRPr="00B357B9" w:rsidRDefault="00B8574E">
            <w:pPr>
              <w:pStyle w:val="TableParagraph"/>
              <w:spacing w:line="299" w:lineRule="exact"/>
              <w:ind w:left="90" w:right="78"/>
              <w:jc w:val="center"/>
              <w:rPr>
                <w:rFonts w:ascii="Times New Roman" w:eastAsia="宋体" w:hAnsi="Times New Roman"/>
                <w:b/>
                <w:sz w:val="24"/>
                <w:szCs w:val="24"/>
              </w:rPr>
            </w:pPr>
            <w:r w:rsidRPr="00B357B9">
              <w:rPr>
                <w:rFonts w:ascii="Times New Roman" w:eastAsia="宋体" w:hAnsi="Times New Roman" w:hint="eastAsia"/>
                <w:b/>
                <w:color w:val="000007"/>
                <w:sz w:val="24"/>
                <w:szCs w:val="24"/>
              </w:rPr>
              <w:t>公司接待人员</w:t>
            </w:r>
          </w:p>
        </w:tc>
        <w:tc>
          <w:tcPr>
            <w:tcW w:w="7654" w:type="dxa"/>
            <w:gridSpan w:val="2"/>
          </w:tcPr>
          <w:p w14:paraId="77A783C6" w14:textId="047A4A3F" w:rsidR="00655911" w:rsidRPr="00A92F6C" w:rsidRDefault="007B3B46" w:rsidP="00A23FF5">
            <w:pPr>
              <w:adjustRightInd w:val="0"/>
              <w:snapToGrid w:val="0"/>
              <w:rPr>
                <w:rFonts w:ascii="Times New Roman" w:eastAsia="宋体" w:hAnsi="Times New Roman" w:cs="微软雅黑"/>
                <w:sz w:val="24"/>
                <w:szCs w:val="24"/>
                <w:lang w:val="zh-CN"/>
              </w:rPr>
            </w:pPr>
            <w:r w:rsidRPr="007B3B46">
              <w:rPr>
                <w:rFonts w:ascii="Times New Roman" w:eastAsia="宋体" w:hAnsi="Times New Roman" w:cs="宋体" w:hint="eastAsia"/>
                <w:color w:val="000000"/>
                <w:sz w:val="24"/>
                <w:szCs w:val="24"/>
                <w:lang w:val="zh-CN"/>
              </w:rPr>
              <w:t>公司主要管理人员等</w:t>
            </w:r>
          </w:p>
        </w:tc>
      </w:tr>
      <w:tr w:rsidR="00FC0FA9" w:rsidRPr="00B357B9" w14:paraId="39A7001A" w14:textId="77777777" w:rsidTr="00FC581F">
        <w:trPr>
          <w:trHeight w:val="60"/>
        </w:trPr>
        <w:tc>
          <w:tcPr>
            <w:tcW w:w="9634" w:type="dxa"/>
            <w:gridSpan w:val="3"/>
          </w:tcPr>
          <w:p w14:paraId="5255E998" w14:textId="5B5A9AA4" w:rsidR="008A05D9" w:rsidRPr="00B357B9" w:rsidRDefault="008A05D9" w:rsidP="00471E84">
            <w:pPr>
              <w:ind w:firstLineChars="200" w:firstLine="480"/>
              <w:rPr>
                <w:rFonts w:ascii="Times New Roman" w:eastAsia="宋体" w:hAnsi="Times New Roman"/>
                <w:sz w:val="24"/>
                <w:szCs w:val="24"/>
                <w:lang w:val="en-MY"/>
              </w:rPr>
            </w:pPr>
            <w:r w:rsidRPr="00B357B9">
              <w:rPr>
                <w:rFonts w:ascii="Times New Roman" w:eastAsia="宋体" w:hAnsi="Times New Roman" w:hint="eastAsia"/>
                <w:sz w:val="24"/>
                <w:szCs w:val="24"/>
                <w:lang w:val="en-MY"/>
              </w:rPr>
              <w:t>公司采用</w:t>
            </w:r>
            <w:r w:rsidR="00BD51E4" w:rsidRPr="00B357B9">
              <w:rPr>
                <w:rFonts w:ascii="Times New Roman" w:eastAsia="宋体" w:hAnsi="Times New Roman" w:hint="eastAsia"/>
                <w:sz w:val="24"/>
                <w:szCs w:val="24"/>
                <w:lang w:val="en-MY"/>
              </w:rPr>
              <w:t>电话会议</w:t>
            </w:r>
            <w:r w:rsidRPr="00B357B9">
              <w:rPr>
                <w:rFonts w:ascii="Times New Roman" w:eastAsia="宋体" w:hAnsi="Times New Roman" w:hint="eastAsia"/>
                <w:sz w:val="24"/>
                <w:szCs w:val="24"/>
                <w:lang w:val="en-MY"/>
              </w:rPr>
              <w:t>形式，开展业绩说明会，就</w:t>
            </w:r>
            <w:r w:rsidR="00E81C8C" w:rsidRPr="00B357B9">
              <w:rPr>
                <w:rFonts w:ascii="Times New Roman" w:eastAsia="宋体" w:hAnsi="Times New Roman" w:hint="eastAsia"/>
                <w:sz w:val="24"/>
                <w:szCs w:val="24"/>
                <w:lang w:val="en-MY"/>
              </w:rPr>
              <w:t>20</w:t>
            </w:r>
            <w:r w:rsidR="00E81C8C" w:rsidRPr="00B357B9">
              <w:rPr>
                <w:rFonts w:ascii="Times New Roman" w:eastAsia="宋体" w:hAnsi="Times New Roman"/>
                <w:sz w:val="24"/>
                <w:szCs w:val="24"/>
                <w:lang w:val="en-MY"/>
              </w:rPr>
              <w:t>2</w:t>
            </w:r>
            <w:r w:rsidR="004E7574">
              <w:rPr>
                <w:rFonts w:ascii="Times New Roman" w:eastAsia="宋体" w:hAnsi="Times New Roman"/>
                <w:sz w:val="24"/>
                <w:szCs w:val="24"/>
                <w:lang w:val="en-MY"/>
              </w:rPr>
              <w:t>4</w:t>
            </w:r>
            <w:r w:rsidR="00E81C8C" w:rsidRPr="00B357B9">
              <w:rPr>
                <w:rFonts w:ascii="Times New Roman" w:eastAsia="宋体" w:hAnsi="Times New Roman" w:hint="eastAsia"/>
                <w:sz w:val="24"/>
                <w:szCs w:val="24"/>
                <w:lang w:val="en-MY"/>
              </w:rPr>
              <w:t>年</w:t>
            </w:r>
            <w:r w:rsidR="00D03B7E" w:rsidRPr="00B357B9">
              <w:rPr>
                <w:rFonts w:ascii="Times New Roman" w:eastAsia="宋体" w:hAnsi="Times New Roman" w:hint="eastAsia"/>
                <w:sz w:val="24"/>
                <w:szCs w:val="24"/>
                <w:lang w:val="en-MY"/>
              </w:rPr>
              <w:t>上半年的</w:t>
            </w:r>
            <w:r w:rsidR="00E81C8C" w:rsidRPr="00B357B9">
              <w:rPr>
                <w:rFonts w:ascii="Times New Roman" w:eastAsia="宋体" w:hAnsi="Times New Roman" w:hint="eastAsia"/>
                <w:sz w:val="24"/>
                <w:szCs w:val="24"/>
                <w:lang w:val="en-MY"/>
              </w:rPr>
              <w:t>业绩情况</w:t>
            </w:r>
            <w:r w:rsidR="00CF00FE" w:rsidRPr="00B357B9">
              <w:rPr>
                <w:rFonts w:ascii="Times New Roman" w:eastAsia="宋体" w:hAnsi="Times New Roman" w:hint="eastAsia"/>
                <w:sz w:val="24"/>
                <w:szCs w:val="24"/>
                <w:lang w:val="en-MY"/>
              </w:rPr>
              <w:t>、业务进展</w:t>
            </w:r>
            <w:r w:rsidR="00E81C8C" w:rsidRPr="00B357B9">
              <w:rPr>
                <w:rFonts w:ascii="Times New Roman" w:eastAsia="宋体" w:hAnsi="Times New Roman" w:hint="eastAsia"/>
                <w:sz w:val="24"/>
                <w:szCs w:val="24"/>
                <w:lang w:val="en-MY"/>
              </w:rPr>
              <w:t>及</w:t>
            </w:r>
            <w:r w:rsidRPr="00B357B9">
              <w:rPr>
                <w:rFonts w:ascii="Times New Roman" w:eastAsia="宋体" w:hAnsi="Times New Roman" w:hint="eastAsia"/>
                <w:sz w:val="24"/>
                <w:szCs w:val="24"/>
                <w:lang w:val="en-MY"/>
              </w:rPr>
              <w:t>投资者主要关心的问题进行沟通。</w:t>
            </w:r>
          </w:p>
          <w:p w14:paraId="04B91D63" w14:textId="42F5C6F4" w:rsidR="006D7210" w:rsidRPr="00B357B9" w:rsidRDefault="006D7210" w:rsidP="00471E84">
            <w:pPr>
              <w:ind w:firstLineChars="200" w:firstLine="480"/>
              <w:rPr>
                <w:rFonts w:ascii="Times New Roman" w:eastAsia="宋体" w:hAnsi="Times New Roman"/>
                <w:sz w:val="24"/>
                <w:szCs w:val="24"/>
                <w:lang w:val="en-MY"/>
              </w:rPr>
            </w:pPr>
            <w:r w:rsidRPr="00B357B9">
              <w:rPr>
                <w:rFonts w:ascii="Times New Roman" w:eastAsia="宋体" w:hAnsi="Times New Roman" w:hint="eastAsia"/>
                <w:sz w:val="24"/>
                <w:szCs w:val="24"/>
                <w:lang w:val="en-MY"/>
              </w:rPr>
              <w:t>议程：</w:t>
            </w:r>
            <w:r w:rsidRPr="00B357B9">
              <w:rPr>
                <w:rFonts w:ascii="Times New Roman" w:eastAsia="宋体" w:hAnsi="Times New Roman" w:hint="eastAsia"/>
                <w:sz w:val="24"/>
                <w:szCs w:val="24"/>
                <w:lang w:val="en-MY"/>
              </w:rPr>
              <w:t>1</w:t>
            </w:r>
            <w:r w:rsidR="00D03B7E" w:rsidRPr="00B357B9">
              <w:rPr>
                <w:rFonts w:ascii="Times New Roman" w:eastAsia="宋体" w:hAnsi="Times New Roman" w:hint="eastAsia"/>
                <w:sz w:val="24"/>
                <w:szCs w:val="24"/>
                <w:lang w:val="en-MY"/>
              </w:rPr>
              <w:t>、公司向与会人员介绍</w:t>
            </w:r>
            <w:r w:rsidRPr="00B357B9">
              <w:rPr>
                <w:rFonts w:ascii="Times New Roman" w:eastAsia="宋体" w:hAnsi="Times New Roman" w:hint="eastAsia"/>
                <w:sz w:val="24"/>
                <w:szCs w:val="24"/>
                <w:lang w:val="en-MY"/>
              </w:rPr>
              <w:t>公司</w:t>
            </w:r>
            <w:r w:rsidR="00F47063" w:rsidRPr="00B357B9">
              <w:rPr>
                <w:rFonts w:ascii="Times New Roman" w:eastAsia="宋体" w:hAnsi="Times New Roman" w:hint="eastAsia"/>
                <w:sz w:val="24"/>
                <w:szCs w:val="24"/>
                <w:lang w:val="en-MY"/>
              </w:rPr>
              <w:t>半年度业绩情况及业务进展</w:t>
            </w:r>
            <w:r w:rsidRPr="00B357B9">
              <w:rPr>
                <w:rFonts w:ascii="Times New Roman" w:eastAsia="宋体" w:hAnsi="Times New Roman" w:hint="eastAsia"/>
                <w:sz w:val="24"/>
                <w:szCs w:val="24"/>
                <w:lang w:val="en-MY"/>
              </w:rPr>
              <w:t>；</w:t>
            </w:r>
            <w:r w:rsidRPr="00B357B9">
              <w:rPr>
                <w:rFonts w:ascii="Times New Roman" w:eastAsia="宋体" w:hAnsi="Times New Roman" w:hint="eastAsia"/>
                <w:sz w:val="24"/>
                <w:szCs w:val="24"/>
                <w:lang w:val="en-MY"/>
              </w:rPr>
              <w:t>2</w:t>
            </w:r>
            <w:r w:rsidRPr="00B357B9">
              <w:rPr>
                <w:rFonts w:ascii="Times New Roman" w:eastAsia="宋体" w:hAnsi="Times New Roman" w:hint="eastAsia"/>
                <w:sz w:val="24"/>
                <w:szCs w:val="24"/>
                <w:lang w:val="en-MY"/>
              </w:rPr>
              <w:t>、投资者交流</w:t>
            </w:r>
            <w:r w:rsidR="00103706" w:rsidRPr="00B357B9">
              <w:rPr>
                <w:rFonts w:ascii="Times New Roman" w:eastAsia="宋体" w:hAnsi="Times New Roman" w:hint="eastAsia"/>
                <w:sz w:val="24"/>
                <w:szCs w:val="24"/>
                <w:lang w:val="en-MY"/>
              </w:rPr>
              <w:t>互动。</w:t>
            </w:r>
          </w:p>
          <w:p w14:paraId="3DC5D4BB" w14:textId="0B579B29" w:rsidR="001E7EBF" w:rsidRPr="00B357B9" w:rsidRDefault="001E7EBF" w:rsidP="007268FD">
            <w:pPr>
              <w:rPr>
                <w:rFonts w:ascii="Times New Roman" w:eastAsia="宋体" w:hAnsi="Times New Roman"/>
                <w:sz w:val="24"/>
                <w:szCs w:val="24"/>
                <w:lang w:val="en-MY"/>
              </w:rPr>
            </w:pPr>
          </w:p>
          <w:p w14:paraId="3AE839BA" w14:textId="1B7B9BC1" w:rsidR="001E7EBF" w:rsidRPr="00B357B9" w:rsidRDefault="00D03B7E" w:rsidP="007268FD">
            <w:pPr>
              <w:rPr>
                <w:rFonts w:ascii="Times New Roman" w:eastAsia="宋体" w:hAnsi="Times New Roman"/>
                <w:b/>
                <w:sz w:val="24"/>
                <w:szCs w:val="24"/>
                <w:lang w:val="en-MY"/>
              </w:rPr>
            </w:pPr>
            <w:r w:rsidRPr="00B357B9">
              <w:rPr>
                <w:rFonts w:ascii="Times New Roman" w:eastAsia="宋体" w:hAnsi="Times New Roman" w:hint="eastAsia"/>
                <w:b/>
                <w:sz w:val="24"/>
                <w:szCs w:val="24"/>
                <w:lang w:val="en-MY"/>
              </w:rPr>
              <w:t>一、半年度</w:t>
            </w:r>
            <w:r w:rsidR="00720F1D" w:rsidRPr="00B357B9">
              <w:rPr>
                <w:rFonts w:ascii="Times New Roman" w:eastAsia="宋体" w:hAnsi="Times New Roman" w:hint="eastAsia"/>
                <w:b/>
                <w:sz w:val="24"/>
                <w:szCs w:val="24"/>
                <w:lang w:val="en-MY"/>
              </w:rPr>
              <w:t>总结</w:t>
            </w:r>
          </w:p>
          <w:p w14:paraId="7EAF9CBD" w14:textId="4628930E" w:rsidR="00A92B9C" w:rsidRPr="00B357B9" w:rsidRDefault="00A92B9C" w:rsidP="008F29B6">
            <w:pPr>
              <w:ind w:firstLineChars="200" w:firstLine="482"/>
              <w:rPr>
                <w:rFonts w:ascii="Times New Roman" w:eastAsia="宋体" w:hAnsi="Times New Roman"/>
                <w:b/>
                <w:sz w:val="24"/>
                <w:szCs w:val="24"/>
              </w:rPr>
            </w:pPr>
            <w:r>
              <w:rPr>
                <w:rFonts w:ascii="Times New Roman" w:eastAsia="宋体" w:hAnsi="Times New Roman" w:hint="eastAsia"/>
                <w:b/>
                <w:sz w:val="24"/>
                <w:szCs w:val="24"/>
              </w:rPr>
              <w:t>（一）</w:t>
            </w:r>
            <w:r w:rsidR="00433EF4" w:rsidRPr="00433EF4">
              <w:rPr>
                <w:rFonts w:ascii="Times New Roman" w:eastAsia="宋体" w:hAnsi="Times New Roman" w:hint="eastAsia"/>
                <w:b/>
                <w:sz w:val="24"/>
                <w:szCs w:val="24"/>
              </w:rPr>
              <w:t>财务情况</w:t>
            </w:r>
          </w:p>
          <w:p w14:paraId="65AC1BB5" w14:textId="2AEC89F0" w:rsidR="00BF30AB" w:rsidRDefault="00217A63" w:rsidP="00FF40FC">
            <w:pPr>
              <w:ind w:firstLineChars="200" w:firstLine="480"/>
              <w:jc w:val="both"/>
              <w:rPr>
                <w:rFonts w:ascii="Times New Roman" w:eastAsia="宋体" w:hAnsi="Times New Roman"/>
                <w:sz w:val="24"/>
                <w:szCs w:val="24"/>
              </w:rPr>
            </w:pPr>
            <w:r w:rsidRPr="00217A63">
              <w:rPr>
                <w:rFonts w:ascii="Times New Roman" w:eastAsia="宋体" w:hAnsi="Times New Roman"/>
                <w:sz w:val="24"/>
                <w:szCs w:val="24"/>
              </w:rPr>
              <w:t>2024</w:t>
            </w:r>
            <w:r w:rsidRPr="00217A63">
              <w:rPr>
                <w:rFonts w:ascii="Times New Roman" w:eastAsia="宋体" w:hAnsi="Times New Roman"/>
                <w:sz w:val="24"/>
                <w:szCs w:val="24"/>
              </w:rPr>
              <w:t>年上半年，</w:t>
            </w:r>
            <w:r>
              <w:rPr>
                <w:rFonts w:ascii="Times New Roman" w:eastAsia="宋体" w:hAnsi="Times New Roman" w:hint="eastAsia"/>
                <w:sz w:val="24"/>
                <w:szCs w:val="24"/>
              </w:rPr>
              <w:t>公司</w:t>
            </w:r>
            <w:r w:rsidRPr="00217A63">
              <w:rPr>
                <w:rFonts w:ascii="Times New Roman" w:eastAsia="宋体" w:hAnsi="Times New Roman" w:hint="eastAsia"/>
                <w:sz w:val="24"/>
                <w:szCs w:val="24"/>
              </w:rPr>
              <w:t>实现营业收入</w:t>
            </w:r>
            <w:r w:rsidRPr="00217A63">
              <w:rPr>
                <w:rFonts w:ascii="Times New Roman" w:eastAsia="宋体" w:hAnsi="Times New Roman"/>
                <w:sz w:val="24"/>
                <w:szCs w:val="24"/>
              </w:rPr>
              <w:t>7.86</w:t>
            </w:r>
            <w:r w:rsidRPr="00217A63">
              <w:rPr>
                <w:rFonts w:ascii="Times New Roman" w:eastAsia="宋体" w:hAnsi="Times New Roman" w:hint="eastAsia"/>
                <w:sz w:val="24"/>
                <w:szCs w:val="24"/>
              </w:rPr>
              <w:t>亿元，同比增长</w:t>
            </w:r>
            <w:r w:rsidRPr="00217A63">
              <w:rPr>
                <w:rFonts w:ascii="Times New Roman" w:eastAsia="宋体" w:hAnsi="Times New Roman"/>
                <w:sz w:val="24"/>
                <w:szCs w:val="24"/>
              </w:rPr>
              <w:t>17.37%</w:t>
            </w:r>
            <w:r w:rsidRPr="00217A63">
              <w:rPr>
                <w:rFonts w:ascii="Times New Roman" w:eastAsia="宋体" w:hAnsi="Times New Roman"/>
                <w:sz w:val="24"/>
                <w:szCs w:val="24"/>
              </w:rPr>
              <w:t>，</w:t>
            </w:r>
            <w:bookmarkStart w:id="0" w:name="_GoBack"/>
            <w:bookmarkEnd w:id="0"/>
            <w:r w:rsidR="003506CA" w:rsidRPr="003506CA">
              <w:rPr>
                <w:rFonts w:ascii="Times New Roman" w:eastAsia="宋体" w:hAnsi="Times New Roman" w:hint="eastAsia"/>
                <w:sz w:val="24"/>
                <w:szCs w:val="24"/>
              </w:rPr>
              <w:t>其中</w:t>
            </w:r>
            <w:r w:rsidR="003506CA">
              <w:rPr>
                <w:rFonts w:ascii="Times New Roman" w:eastAsia="宋体" w:hAnsi="Times New Roman" w:hint="eastAsia"/>
                <w:sz w:val="24"/>
                <w:szCs w:val="24"/>
              </w:rPr>
              <w:t>核心产品</w:t>
            </w:r>
            <w:r w:rsidR="00E56267" w:rsidRPr="00E56267">
              <w:rPr>
                <w:rFonts w:ascii="Times New Roman" w:eastAsia="宋体" w:hAnsi="Times New Roman" w:hint="eastAsia"/>
                <w:sz w:val="24"/>
                <w:szCs w:val="24"/>
              </w:rPr>
              <w:t>拓益</w:t>
            </w:r>
            <w:r w:rsidR="00E56267" w:rsidRPr="00E56267">
              <w:rPr>
                <w:rFonts w:ascii="Times New Roman" w:eastAsia="宋体" w:hAnsi="Times New Roman" w:hint="eastAsia"/>
                <w:sz w:val="24"/>
                <w:szCs w:val="24"/>
                <w:vertAlign w:val="superscript"/>
              </w:rPr>
              <w:t>®</w:t>
            </w:r>
            <w:r w:rsidR="003506CA" w:rsidRPr="003506CA">
              <w:rPr>
                <w:rFonts w:ascii="Times New Roman" w:eastAsia="宋体" w:hAnsi="Times New Roman" w:hint="eastAsia"/>
                <w:sz w:val="24"/>
                <w:szCs w:val="24"/>
              </w:rPr>
              <w:t>于国内市场实现销售收入人民币</w:t>
            </w:r>
            <w:r w:rsidR="003506CA" w:rsidRPr="003506CA">
              <w:rPr>
                <w:rFonts w:ascii="Times New Roman" w:eastAsia="宋体" w:hAnsi="Times New Roman"/>
                <w:sz w:val="24"/>
                <w:szCs w:val="24"/>
              </w:rPr>
              <w:t>6.71</w:t>
            </w:r>
            <w:r w:rsidR="003506CA" w:rsidRPr="003506CA">
              <w:rPr>
                <w:rFonts w:ascii="Times New Roman" w:eastAsia="宋体" w:hAnsi="Times New Roman" w:hint="eastAsia"/>
                <w:sz w:val="24"/>
                <w:szCs w:val="24"/>
              </w:rPr>
              <w:t>亿元，同比增长约</w:t>
            </w:r>
            <w:r w:rsidR="003506CA" w:rsidRPr="003506CA">
              <w:rPr>
                <w:rFonts w:ascii="Times New Roman" w:eastAsia="宋体" w:hAnsi="Times New Roman"/>
                <w:sz w:val="24"/>
                <w:szCs w:val="24"/>
              </w:rPr>
              <w:t>50%</w:t>
            </w:r>
            <w:r w:rsidR="003506CA" w:rsidRPr="003506CA">
              <w:rPr>
                <w:rFonts w:ascii="Times New Roman" w:eastAsia="宋体" w:hAnsi="Times New Roman"/>
                <w:sz w:val="24"/>
                <w:szCs w:val="24"/>
              </w:rPr>
              <w:t>。</w:t>
            </w:r>
            <w:r w:rsidR="00FF40FC" w:rsidRPr="00FF40FC">
              <w:rPr>
                <w:rFonts w:ascii="Times New Roman" w:eastAsia="宋体" w:hAnsi="Times New Roman" w:hint="eastAsia"/>
                <w:sz w:val="24"/>
                <w:szCs w:val="24"/>
              </w:rPr>
              <w:t>截至报告期末，拓益</w:t>
            </w:r>
            <w:r w:rsidR="00FF40FC" w:rsidRPr="00E56267">
              <w:rPr>
                <w:rFonts w:ascii="Times New Roman" w:eastAsia="宋体" w:hAnsi="Times New Roman" w:hint="eastAsia"/>
                <w:sz w:val="24"/>
                <w:szCs w:val="24"/>
                <w:vertAlign w:val="superscript"/>
              </w:rPr>
              <w:t>®</w:t>
            </w:r>
            <w:r w:rsidR="00FF40FC" w:rsidRPr="00FF40FC">
              <w:rPr>
                <w:rFonts w:ascii="Times New Roman" w:eastAsia="宋体" w:hAnsi="Times New Roman" w:hint="eastAsia"/>
                <w:sz w:val="24"/>
                <w:szCs w:val="24"/>
              </w:rPr>
              <w:t>已累计在全国超过五千家医疗机构及超过两千家专业药房及社会药房销售。</w:t>
            </w:r>
          </w:p>
          <w:p w14:paraId="0A17E52A" w14:textId="12BF75F5" w:rsidR="007C3B6E" w:rsidRDefault="007C3B6E" w:rsidP="001C6C95">
            <w:pPr>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成本端</w:t>
            </w:r>
            <w:r w:rsidR="00047963" w:rsidRPr="00047963">
              <w:rPr>
                <w:rFonts w:ascii="Times New Roman" w:eastAsia="宋体" w:hAnsi="Times New Roman" w:hint="eastAsia"/>
                <w:sz w:val="24"/>
                <w:szCs w:val="24"/>
              </w:rPr>
              <w:t>，</w:t>
            </w:r>
            <w:r w:rsidR="00596C9D">
              <w:rPr>
                <w:rFonts w:ascii="Times New Roman" w:eastAsia="宋体" w:hAnsi="Times New Roman" w:hint="eastAsia"/>
                <w:sz w:val="24"/>
                <w:szCs w:val="24"/>
              </w:rPr>
              <w:t>2</w:t>
            </w:r>
            <w:r w:rsidR="00596C9D">
              <w:rPr>
                <w:rFonts w:ascii="Times New Roman" w:eastAsia="宋体" w:hAnsi="Times New Roman"/>
                <w:sz w:val="24"/>
                <w:szCs w:val="24"/>
              </w:rPr>
              <w:t>024</w:t>
            </w:r>
            <w:r w:rsidR="00350C75">
              <w:rPr>
                <w:rFonts w:ascii="Times New Roman" w:eastAsia="宋体" w:hAnsi="Times New Roman" w:hint="eastAsia"/>
                <w:sz w:val="24"/>
                <w:szCs w:val="24"/>
              </w:rPr>
              <w:t>年</w:t>
            </w:r>
            <w:r w:rsidR="00596C9D">
              <w:rPr>
                <w:rFonts w:ascii="Times New Roman" w:eastAsia="宋体" w:hAnsi="Times New Roman" w:hint="eastAsia"/>
                <w:sz w:val="24"/>
                <w:szCs w:val="24"/>
              </w:rPr>
              <w:t>上半年</w:t>
            </w:r>
            <w:r w:rsidR="006F6567">
              <w:rPr>
                <w:rFonts w:ascii="Times New Roman" w:eastAsia="宋体" w:hAnsi="Times New Roman" w:hint="eastAsia"/>
                <w:sz w:val="24"/>
                <w:szCs w:val="24"/>
              </w:rPr>
              <w:t>，公司营业总成本同比下降</w:t>
            </w:r>
            <w:r w:rsidR="006F6567">
              <w:rPr>
                <w:rFonts w:ascii="Times New Roman" w:eastAsia="宋体" w:hAnsi="Times New Roman" w:hint="eastAsia"/>
                <w:sz w:val="24"/>
                <w:szCs w:val="24"/>
              </w:rPr>
              <w:t>1</w:t>
            </w:r>
            <w:r w:rsidR="006F6567">
              <w:rPr>
                <w:rFonts w:ascii="Times New Roman" w:eastAsia="宋体" w:hAnsi="Times New Roman"/>
                <w:sz w:val="24"/>
                <w:szCs w:val="24"/>
              </w:rPr>
              <w:t>9.07</w:t>
            </w:r>
            <w:r w:rsidR="006F6567">
              <w:rPr>
                <w:rFonts w:ascii="Times New Roman" w:eastAsia="宋体" w:hAnsi="Times New Roman" w:hint="eastAsia"/>
                <w:sz w:val="24"/>
                <w:szCs w:val="24"/>
              </w:rPr>
              <w:t>%</w:t>
            </w:r>
            <w:r w:rsidR="006F6567">
              <w:rPr>
                <w:rFonts w:ascii="Times New Roman" w:eastAsia="宋体" w:hAnsi="Times New Roman" w:hint="eastAsia"/>
                <w:sz w:val="24"/>
                <w:szCs w:val="24"/>
              </w:rPr>
              <w:t>，</w:t>
            </w:r>
            <w:r w:rsidRPr="007C3B6E">
              <w:rPr>
                <w:rFonts w:ascii="Times New Roman" w:eastAsia="宋体" w:hAnsi="Times New Roman" w:hint="eastAsia"/>
                <w:sz w:val="24"/>
                <w:szCs w:val="24"/>
              </w:rPr>
              <w:t>商业化药品组合的单位成本下降，毛利率与上年同期相比有所增长。销售费用</w:t>
            </w:r>
            <w:r w:rsidR="00EB296F">
              <w:rPr>
                <w:rFonts w:ascii="Times New Roman" w:eastAsia="宋体" w:hAnsi="Times New Roman" w:hint="eastAsia"/>
                <w:sz w:val="24"/>
                <w:szCs w:val="24"/>
              </w:rPr>
              <w:t>4</w:t>
            </w:r>
            <w:r w:rsidR="00EB296F">
              <w:rPr>
                <w:rFonts w:ascii="Times New Roman" w:eastAsia="宋体" w:hAnsi="Times New Roman"/>
                <w:sz w:val="24"/>
                <w:szCs w:val="24"/>
              </w:rPr>
              <w:t>.28</w:t>
            </w:r>
            <w:r w:rsidR="00803854">
              <w:rPr>
                <w:rFonts w:ascii="Times New Roman" w:eastAsia="宋体" w:hAnsi="Times New Roman" w:hint="eastAsia"/>
                <w:sz w:val="24"/>
                <w:szCs w:val="24"/>
              </w:rPr>
              <w:t>亿元</w:t>
            </w:r>
            <w:r w:rsidR="00EB296F">
              <w:rPr>
                <w:rFonts w:ascii="Times New Roman" w:eastAsia="宋体" w:hAnsi="Times New Roman" w:hint="eastAsia"/>
                <w:sz w:val="24"/>
                <w:szCs w:val="24"/>
              </w:rPr>
              <w:t>，</w:t>
            </w:r>
            <w:r w:rsidRPr="007C3B6E">
              <w:rPr>
                <w:rFonts w:ascii="Times New Roman" w:eastAsia="宋体" w:hAnsi="Times New Roman" w:hint="eastAsia"/>
                <w:sz w:val="24"/>
                <w:szCs w:val="24"/>
              </w:rPr>
              <w:t>占总收入的比例下降</w:t>
            </w:r>
            <w:r w:rsidRPr="007C3B6E">
              <w:rPr>
                <w:rFonts w:ascii="Times New Roman" w:eastAsia="宋体" w:hAnsi="Times New Roman"/>
                <w:sz w:val="24"/>
                <w:szCs w:val="24"/>
              </w:rPr>
              <w:t>1.2%</w:t>
            </w:r>
            <w:r w:rsidRPr="007C3B6E">
              <w:rPr>
                <w:rFonts w:ascii="Times New Roman" w:eastAsia="宋体" w:hAnsi="Times New Roman"/>
                <w:sz w:val="24"/>
                <w:szCs w:val="24"/>
              </w:rPr>
              <w:t>，占</w:t>
            </w:r>
            <w:r w:rsidRPr="007C3B6E">
              <w:rPr>
                <w:rFonts w:ascii="Times New Roman" w:eastAsia="宋体" w:hAnsi="Times New Roman" w:hint="eastAsia"/>
                <w:sz w:val="24"/>
                <w:szCs w:val="24"/>
              </w:rPr>
              <w:t>产品收入的比例下降</w:t>
            </w:r>
            <w:r w:rsidRPr="007C3B6E">
              <w:rPr>
                <w:rFonts w:ascii="Times New Roman" w:eastAsia="宋体" w:hAnsi="Times New Roman"/>
                <w:sz w:val="24"/>
                <w:szCs w:val="24"/>
              </w:rPr>
              <w:t>19.7%</w:t>
            </w:r>
            <w:r w:rsidR="00816E90">
              <w:rPr>
                <w:rFonts w:ascii="Times New Roman" w:eastAsia="宋体" w:hAnsi="Times New Roman" w:hint="eastAsia"/>
                <w:sz w:val="24"/>
                <w:szCs w:val="24"/>
              </w:rPr>
              <w:t>，销售费用增速远低于</w:t>
            </w:r>
            <w:r w:rsidR="00A00861" w:rsidRPr="00E56267">
              <w:rPr>
                <w:rFonts w:ascii="Times New Roman" w:eastAsia="宋体" w:hAnsi="Times New Roman" w:hint="eastAsia"/>
                <w:sz w:val="24"/>
                <w:szCs w:val="24"/>
              </w:rPr>
              <w:t>拓益</w:t>
            </w:r>
            <w:r w:rsidR="00A00861" w:rsidRPr="00E56267">
              <w:rPr>
                <w:rFonts w:ascii="Times New Roman" w:eastAsia="宋体" w:hAnsi="Times New Roman" w:hint="eastAsia"/>
                <w:sz w:val="24"/>
                <w:szCs w:val="24"/>
                <w:vertAlign w:val="superscript"/>
              </w:rPr>
              <w:t>®</w:t>
            </w:r>
            <w:r w:rsidR="00816E90">
              <w:rPr>
                <w:rFonts w:ascii="Times New Roman" w:eastAsia="宋体" w:hAnsi="Times New Roman" w:hint="eastAsia"/>
                <w:sz w:val="24"/>
                <w:szCs w:val="24"/>
              </w:rPr>
              <w:t>国内销售收入增速</w:t>
            </w:r>
            <w:r w:rsidR="00803854">
              <w:rPr>
                <w:rFonts w:ascii="Times New Roman" w:eastAsia="宋体" w:hAnsi="Times New Roman" w:hint="eastAsia"/>
                <w:sz w:val="24"/>
                <w:szCs w:val="24"/>
              </w:rPr>
              <w:t>；</w:t>
            </w:r>
            <w:r w:rsidRPr="007C3B6E">
              <w:rPr>
                <w:rFonts w:ascii="Times New Roman" w:eastAsia="宋体" w:hAnsi="Times New Roman"/>
                <w:sz w:val="24"/>
                <w:szCs w:val="24"/>
              </w:rPr>
              <w:t>管理</w:t>
            </w:r>
            <w:r w:rsidRPr="007C3B6E">
              <w:rPr>
                <w:rFonts w:ascii="Times New Roman" w:eastAsia="宋体" w:hAnsi="Times New Roman" w:hint="eastAsia"/>
                <w:sz w:val="24"/>
                <w:szCs w:val="24"/>
              </w:rPr>
              <w:t>费用</w:t>
            </w:r>
            <w:r w:rsidR="0013034C">
              <w:rPr>
                <w:rFonts w:ascii="Times New Roman" w:eastAsia="宋体" w:hAnsi="Times New Roman"/>
                <w:sz w:val="24"/>
                <w:szCs w:val="24"/>
              </w:rPr>
              <w:t>2.4</w:t>
            </w:r>
            <w:r w:rsidR="00B7389E">
              <w:rPr>
                <w:rFonts w:ascii="Times New Roman" w:eastAsia="宋体" w:hAnsi="Times New Roman" w:hint="eastAsia"/>
                <w:sz w:val="24"/>
                <w:szCs w:val="24"/>
              </w:rPr>
              <w:t>亿元，</w:t>
            </w:r>
            <w:r w:rsidRPr="007C3B6E">
              <w:rPr>
                <w:rFonts w:ascii="Times New Roman" w:eastAsia="宋体" w:hAnsi="Times New Roman" w:hint="eastAsia"/>
                <w:sz w:val="24"/>
                <w:szCs w:val="24"/>
              </w:rPr>
              <w:t>占总收入的比例下降</w:t>
            </w:r>
            <w:r w:rsidRPr="007C3B6E">
              <w:rPr>
                <w:rFonts w:ascii="Times New Roman" w:eastAsia="宋体" w:hAnsi="Times New Roman"/>
                <w:sz w:val="24"/>
                <w:szCs w:val="24"/>
              </w:rPr>
              <w:t>4.1%</w:t>
            </w:r>
            <w:r w:rsidRPr="007C3B6E">
              <w:rPr>
                <w:rFonts w:ascii="Times New Roman" w:eastAsia="宋体" w:hAnsi="Times New Roman"/>
                <w:sz w:val="24"/>
                <w:szCs w:val="24"/>
              </w:rPr>
              <w:t>，占</w:t>
            </w:r>
            <w:r w:rsidRPr="007C3B6E">
              <w:rPr>
                <w:rFonts w:ascii="Times New Roman" w:eastAsia="宋体" w:hAnsi="Times New Roman" w:hint="eastAsia"/>
                <w:sz w:val="24"/>
                <w:szCs w:val="24"/>
              </w:rPr>
              <w:t>产品收入的比例下降</w:t>
            </w:r>
            <w:r w:rsidRPr="007C3B6E">
              <w:rPr>
                <w:rFonts w:ascii="Times New Roman" w:eastAsia="宋体" w:hAnsi="Times New Roman"/>
                <w:sz w:val="24"/>
                <w:szCs w:val="24"/>
              </w:rPr>
              <w:t>16.1%</w:t>
            </w:r>
            <w:r w:rsidR="0013034C">
              <w:rPr>
                <w:rFonts w:ascii="Times New Roman" w:eastAsia="宋体" w:hAnsi="Times New Roman" w:hint="eastAsia"/>
                <w:sz w:val="24"/>
                <w:szCs w:val="24"/>
              </w:rPr>
              <w:t>；</w:t>
            </w:r>
            <w:r w:rsidR="00070597">
              <w:rPr>
                <w:rFonts w:ascii="Times New Roman" w:eastAsia="宋体" w:hAnsi="Times New Roman" w:hint="eastAsia"/>
                <w:sz w:val="24"/>
                <w:szCs w:val="24"/>
              </w:rPr>
              <w:t>研发费用</w:t>
            </w:r>
            <w:r w:rsidR="000B68EB">
              <w:rPr>
                <w:rFonts w:ascii="Times New Roman" w:eastAsia="宋体" w:hAnsi="Times New Roman" w:hint="eastAsia"/>
                <w:sz w:val="24"/>
                <w:szCs w:val="24"/>
              </w:rPr>
              <w:t>5</w:t>
            </w:r>
            <w:r w:rsidR="000B68EB">
              <w:rPr>
                <w:rFonts w:ascii="Times New Roman" w:eastAsia="宋体" w:hAnsi="Times New Roman"/>
                <w:sz w:val="24"/>
                <w:szCs w:val="24"/>
              </w:rPr>
              <w:t>.46</w:t>
            </w:r>
            <w:r w:rsidR="000B68EB">
              <w:rPr>
                <w:rFonts w:ascii="Times New Roman" w:eastAsia="宋体" w:hAnsi="Times New Roman" w:hint="eastAsia"/>
                <w:sz w:val="24"/>
                <w:szCs w:val="24"/>
              </w:rPr>
              <w:t>亿元，</w:t>
            </w:r>
            <w:r w:rsidR="00070597">
              <w:rPr>
                <w:rFonts w:ascii="Times New Roman" w:eastAsia="宋体" w:hAnsi="Times New Roman" w:hint="eastAsia"/>
                <w:sz w:val="24"/>
                <w:szCs w:val="24"/>
              </w:rPr>
              <w:t>同比下降</w:t>
            </w:r>
            <w:r w:rsidR="00070597">
              <w:rPr>
                <w:rFonts w:ascii="Times New Roman" w:eastAsia="宋体" w:hAnsi="Times New Roman" w:hint="eastAsia"/>
                <w:sz w:val="24"/>
                <w:szCs w:val="24"/>
              </w:rPr>
              <w:t>4</w:t>
            </w:r>
            <w:r w:rsidR="00070597">
              <w:rPr>
                <w:rFonts w:ascii="Times New Roman" w:eastAsia="宋体" w:hAnsi="Times New Roman"/>
                <w:sz w:val="24"/>
                <w:szCs w:val="24"/>
              </w:rPr>
              <w:t>2.4</w:t>
            </w:r>
            <w:r w:rsidR="00070597">
              <w:rPr>
                <w:rFonts w:ascii="Times New Roman" w:eastAsia="宋体" w:hAnsi="Times New Roman" w:hint="eastAsia"/>
                <w:sz w:val="24"/>
                <w:szCs w:val="24"/>
              </w:rPr>
              <w:t>%</w:t>
            </w:r>
            <w:r w:rsidR="00816E90">
              <w:rPr>
                <w:rFonts w:ascii="Times New Roman" w:eastAsia="宋体" w:hAnsi="Times New Roman" w:hint="eastAsia"/>
                <w:sz w:val="24"/>
                <w:szCs w:val="24"/>
              </w:rPr>
              <w:t>，主要由于</w:t>
            </w:r>
            <w:r w:rsidR="00816E90" w:rsidRPr="00C75C4B">
              <w:rPr>
                <w:rFonts w:ascii="Times New Roman" w:eastAsia="宋体" w:hAnsi="Times New Roman" w:hint="eastAsia"/>
                <w:sz w:val="24"/>
                <w:szCs w:val="24"/>
              </w:rPr>
              <w:t>核心产品</w:t>
            </w:r>
            <w:r w:rsidR="00486D8E" w:rsidRPr="00E56267">
              <w:rPr>
                <w:rFonts w:ascii="Times New Roman" w:eastAsia="宋体" w:hAnsi="Times New Roman" w:hint="eastAsia"/>
                <w:sz w:val="24"/>
                <w:szCs w:val="24"/>
              </w:rPr>
              <w:t>拓益</w:t>
            </w:r>
            <w:r w:rsidR="00486D8E" w:rsidRPr="00E56267">
              <w:rPr>
                <w:rFonts w:ascii="Times New Roman" w:eastAsia="宋体" w:hAnsi="Times New Roman" w:hint="eastAsia"/>
                <w:sz w:val="24"/>
                <w:szCs w:val="24"/>
                <w:vertAlign w:val="superscript"/>
              </w:rPr>
              <w:t>®</w:t>
            </w:r>
            <w:r w:rsidR="00816E90" w:rsidRPr="00C75C4B">
              <w:rPr>
                <w:rFonts w:ascii="Times New Roman" w:eastAsia="宋体" w:hAnsi="Times New Roman" w:hint="eastAsia"/>
                <w:sz w:val="24"/>
                <w:szCs w:val="24"/>
              </w:rPr>
              <w:t>的多项临床</w:t>
            </w:r>
            <w:r w:rsidR="00C81510">
              <w:rPr>
                <w:rFonts w:ascii="Times New Roman" w:eastAsia="宋体" w:hAnsi="Times New Roman" w:hint="eastAsia"/>
                <w:sz w:val="24"/>
                <w:szCs w:val="24"/>
              </w:rPr>
              <w:t>研究</w:t>
            </w:r>
            <w:r w:rsidR="00816E90" w:rsidRPr="00C75C4B">
              <w:rPr>
                <w:rFonts w:ascii="Times New Roman" w:eastAsia="宋体" w:hAnsi="Times New Roman" w:hint="eastAsia"/>
                <w:sz w:val="24"/>
                <w:szCs w:val="24"/>
              </w:rPr>
              <w:t>达到主要</w:t>
            </w:r>
            <w:r w:rsidR="00DD6E36">
              <w:rPr>
                <w:rFonts w:ascii="Times New Roman" w:eastAsia="宋体" w:hAnsi="Times New Roman" w:hint="eastAsia"/>
                <w:sz w:val="24"/>
                <w:szCs w:val="24"/>
              </w:rPr>
              <w:t>研究</w:t>
            </w:r>
            <w:r w:rsidR="00816E90" w:rsidRPr="00C75C4B">
              <w:rPr>
                <w:rFonts w:ascii="Times New Roman" w:eastAsia="宋体" w:hAnsi="Times New Roman" w:hint="eastAsia"/>
                <w:sz w:val="24"/>
                <w:szCs w:val="24"/>
              </w:rPr>
              <w:t>终点</w:t>
            </w:r>
            <w:r w:rsidR="00816E90">
              <w:rPr>
                <w:rFonts w:ascii="Times New Roman" w:eastAsia="宋体" w:hAnsi="Times New Roman" w:hint="eastAsia"/>
                <w:sz w:val="24"/>
                <w:szCs w:val="24"/>
              </w:rPr>
              <w:t>，同时公司持续梳理产品管线，将资源聚焦于更具潜力的研发项目</w:t>
            </w:r>
            <w:r w:rsidR="00070597">
              <w:rPr>
                <w:rFonts w:ascii="Times New Roman" w:eastAsia="宋体" w:hAnsi="Times New Roman" w:hint="eastAsia"/>
                <w:sz w:val="24"/>
                <w:szCs w:val="24"/>
              </w:rPr>
              <w:t>。</w:t>
            </w:r>
            <w:r w:rsidR="00816E90" w:rsidRPr="004F790B">
              <w:rPr>
                <w:rFonts w:ascii="Times New Roman" w:eastAsia="宋体" w:hAnsi="Times New Roman" w:hint="eastAsia"/>
                <w:sz w:val="24"/>
                <w:szCs w:val="24"/>
              </w:rPr>
              <w:t>此外，公司通过进一步优化组织架构和人员精简，总体人力成本环比下降</w:t>
            </w:r>
            <w:r w:rsidR="00816E90">
              <w:rPr>
                <w:rFonts w:ascii="Times New Roman" w:eastAsia="宋体" w:hAnsi="Times New Roman" w:hint="eastAsia"/>
                <w:sz w:val="24"/>
                <w:szCs w:val="24"/>
              </w:rPr>
              <w:t>1</w:t>
            </w:r>
            <w:r w:rsidR="00816E90">
              <w:rPr>
                <w:rFonts w:ascii="Times New Roman" w:eastAsia="宋体" w:hAnsi="Times New Roman"/>
                <w:sz w:val="24"/>
                <w:szCs w:val="24"/>
              </w:rPr>
              <w:t>1</w:t>
            </w:r>
            <w:r w:rsidR="00816E90" w:rsidRPr="004F790B">
              <w:rPr>
                <w:rFonts w:ascii="Times New Roman" w:eastAsia="宋体" w:hAnsi="Times New Roman" w:hint="eastAsia"/>
                <w:sz w:val="24"/>
                <w:szCs w:val="24"/>
              </w:rPr>
              <w:t>%</w:t>
            </w:r>
            <w:r w:rsidR="00816E90" w:rsidRPr="004F790B">
              <w:rPr>
                <w:rFonts w:ascii="Times New Roman" w:eastAsia="宋体" w:hAnsi="Times New Roman" w:hint="eastAsia"/>
                <w:sz w:val="24"/>
                <w:szCs w:val="24"/>
              </w:rPr>
              <w:t>。</w:t>
            </w:r>
          </w:p>
          <w:p w14:paraId="497FB1FD" w14:textId="18E98804" w:rsidR="00752FE2" w:rsidRPr="00752FE2" w:rsidRDefault="003174C2" w:rsidP="001C6C95">
            <w:pPr>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报告期内，公</w:t>
            </w:r>
            <w:r w:rsidRPr="00EA76BE">
              <w:rPr>
                <w:rFonts w:ascii="Times New Roman" w:eastAsia="宋体" w:hAnsi="Times New Roman" w:hint="eastAsia"/>
                <w:sz w:val="24"/>
                <w:szCs w:val="24"/>
              </w:rPr>
              <w:t>司围绕“降本、增效、提质”的目标已取得一定成效，通过持续强化造血能力，聚焦重点管线，</w:t>
            </w:r>
            <w:r>
              <w:rPr>
                <w:rFonts w:ascii="Times New Roman" w:eastAsia="宋体" w:hAnsi="Times New Roman" w:hint="eastAsia"/>
                <w:sz w:val="24"/>
                <w:szCs w:val="24"/>
              </w:rPr>
              <w:t>实施全面的预算管控，做到无预算不支出，</w:t>
            </w:r>
            <w:r w:rsidR="002A2F02" w:rsidRPr="002A2F02">
              <w:rPr>
                <w:rFonts w:ascii="Times New Roman" w:eastAsia="宋体" w:hAnsi="Times New Roman" w:hint="eastAsia"/>
                <w:sz w:val="24"/>
                <w:szCs w:val="24"/>
              </w:rPr>
              <w:t>不断提升研发和商业化效</w:t>
            </w:r>
            <w:r w:rsidR="002A2F02" w:rsidRPr="002A2F02">
              <w:rPr>
                <w:rFonts w:ascii="Times New Roman" w:eastAsia="宋体" w:hAnsi="Times New Roman" w:hint="eastAsia"/>
                <w:sz w:val="24"/>
                <w:szCs w:val="24"/>
              </w:rPr>
              <w:lastRenderedPageBreak/>
              <w:t>率，</w:t>
            </w:r>
            <w:r w:rsidR="0036062E" w:rsidRPr="00752FE2">
              <w:rPr>
                <w:rFonts w:ascii="Times New Roman" w:eastAsia="宋体" w:hAnsi="Times New Roman" w:hint="eastAsia"/>
                <w:sz w:val="24"/>
                <w:szCs w:val="24"/>
              </w:rPr>
              <w:t>将资源聚焦于更具潜力的研发项目，临床、技术服务费及职工薪酬均相应减少，</w:t>
            </w:r>
            <w:r w:rsidR="002F4991">
              <w:rPr>
                <w:rFonts w:ascii="Times New Roman" w:eastAsia="宋体" w:hAnsi="Times New Roman" w:hint="eastAsia"/>
                <w:sz w:val="24"/>
                <w:szCs w:val="24"/>
              </w:rPr>
              <w:t>因此，</w:t>
            </w:r>
            <w:r w:rsidR="00752FE2">
              <w:rPr>
                <w:rFonts w:ascii="Times New Roman" w:eastAsia="宋体" w:hAnsi="Times New Roman" w:hint="eastAsia"/>
                <w:sz w:val="24"/>
                <w:szCs w:val="24"/>
              </w:rPr>
              <w:t>公司</w:t>
            </w:r>
            <w:r w:rsidR="002F4606">
              <w:rPr>
                <w:rFonts w:ascii="Times New Roman" w:eastAsia="宋体" w:hAnsi="Times New Roman" w:hint="eastAsia"/>
                <w:sz w:val="24"/>
                <w:szCs w:val="24"/>
              </w:rPr>
              <w:t>报告期内</w:t>
            </w:r>
            <w:r w:rsidR="00752FE2" w:rsidRPr="00752FE2">
              <w:rPr>
                <w:rFonts w:ascii="Times New Roman" w:eastAsia="宋体" w:hAnsi="Times New Roman" w:hint="eastAsia"/>
                <w:sz w:val="24"/>
                <w:szCs w:val="24"/>
              </w:rPr>
              <w:t>归属于上市公司股东的净利润、归属于上市公司股东的扣除非经常性损益的净利润较上年同期亏损减少。</w:t>
            </w:r>
          </w:p>
          <w:p w14:paraId="308B3A78" w14:textId="6CB5E5C3" w:rsidR="007C3B6E" w:rsidRDefault="005A547D" w:rsidP="001C6C95">
            <w:pPr>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截至</w:t>
            </w:r>
            <w:r w:rsidR="00A52388" w:rsidRPr="00A52388">
              <w:rPr>
                <w:rFonts w:ascii="Times New Roman" w:eastAsia="宋体" w:hAnsi="Times New Roman" w:hint="eastAsia"/>
                <w:sz w:val="24"/>
                <w:szCs w:val="24"/>
              </w:rPr>
              <w:t>报告期末，公司的货币资金及交易性金融资产余额合计</w:t>
            </w:r>
            <w:r w:rsidR="00A52388" w:rsidRPr="00A52388">
              <w:rPr>
                <w:rFonts w:ascii="Times New Roman" w:eastAsia="宋体" w:hAnsi="Times New Roman"/>
                <w:sz w:val="24"/>
                <w:szCs w:val="24"/>
              </w:rPr>
              <w:t>33.12</w:t>
            </w:r>
            <w:r w:rsidR="00A52388" w:rsidRPr="00A52388">
              <w:rPr>
                <w:rFonts w:ascii="Times New Roman" w:eastAsia="宋体" w:hAnsi="Times New Roman" w:hint="eastAsia"/>
                <w:sz w:val="24"/>
                <w:szCs w:val="24"/>
              </w:rPr>
              <w:t>亿元，资金储备较为充足。</w:t>
            </w:r>
          </w:p>
          <w:p w14:paraId="5D65BC5B" w14:textId="380B055F" w:rsidR="004B6BF0" w:rsidRDefault="004B6BF0" w:rsidP="004B6BF0">
            <w:pPr>
              <w:ind w:firstLineChars="200" w:firstLine="482"/>
              <w:rPr>
                <w:rFonts w:ascii="Times New Roman" w:eastAsia="宋体" w:hAnsi="Times New Roman"/>
                <w:b/>
                <w:sz w:val="24"/>
                <w:szCs w:val="24"/>
              </w:rPr>
            </w:pPr>
            <w:r>
              <w:rPr>
                <w:rFonts w:ascii="Times New Roman" w:eastAsia="宋体" w:hAnsi="Times New Roman" w:hint="eastAsia"/>
                <w:b/>
                <w:sz w:val="24"/>
                <w:szCs w:val="24"/>
              </w:rPr>
              <w:t>（二）</w:t>
            </w:r>
            <w:r w:rsidR="0060257A">
              <w:rPr>
                <w:rFonts w:ascii="Times New Roman" w:eastAsia="宋体" w:hAnsi="Times New Roman" w:hint="eastAsia"/>
                <w:b/>
                <w:sz w:val="24"/>
                <w:szCs w:val="24"/>
              </w:rPr>
              <w:t>临床管线进展</w:t>
            </w:r>
          </w:p>
          <w:p w14:paraId="19D9E52F" w14:textId="1AA50BAF" w:rsidR="0060257A" w:rsidRPr="00023C12" w:rsidRDefault="0060257A" w:rsidP="004B6BF0">
            <w:pPr>
              <w:ind w:firstLineChars="200" w:firstLine="480"/>
              <w:rPr>
                <w:rFonts w:ascii="Times New Roman" w:eastAsia="宋体" w:hAnsi="Times New Roman"/>
                <w:sz w:val="24"/>
                <w:szCs w:val="24"/>
              </w:rPr>
            </w:pPr>
            <w:r w:rsidRPr="00023C12">
              <w:rPr>
                <w:rFonts w:ascii="Times New Roman" w:eastAsia="宋体" w:hAnsi="Times New Roman" w:hint="eastAsia"/>
                <w:sz w:val="24"/>
                <w:szCs w:val="24"/>
              </w:rPr>
              <w:t>1</w:t>
            </w:r>
            <w:r w:rsidRPr="00023C12">
              <w:rPr>
                <w:rFonts w:ascii="Times New Roman" w:eastAsia="宋体" w:hAnsi="Times New Roman" w:hint="eastAsia"/>
                <w:sz w:val="24"/>
                <w:szCs w:val="24"/>
              </w:rPr>
              <w:t>、特瑞普利单抗</w:t>
            </w:r>
          </w:p>
          <w:p w14:paraId="4EA0DE13" w14:textId="45A0C5E8" w:rsidR="00F3610E" w:rsidRDefault="00E626FF" w:rsidP="00AD0427">
            <w:pPr>
              <w:ind w:firstLineChars="200" w:firstLine="480"/>
              <w:jc w:val="both"/>
              <w:rPr>
                <w:rFonts w:ascii="Times New Roman" w:eastAsia="宋体" w:hAnsi="Times New Roman"/>
                <w:sz w:val="24"/>
                <w:szCs w:val="24"/>
                <w:lang w:val="en-MY"/>
              </w:rPr>
            </w:pPr>
            <w:r>
              <w:rPr>
                <w:rFonts w:ascii="Times New Roman" w:eastAsia="宋体" w:hAnsi="Times New Roman" w:hint="eastAsia"/>
                <w:sz w:val="24"/>
                <w:szCs w:val="24"/>
              </w:rPr>
              <w:t>2</w:t>
            </w:r>
            <w:r>
              <w:rPr>
                <w:rFonts w:ascii="Times New Roman" w:eastAsia="宋体" w:hAnsi="Times New Roman"/>
                <w:sz w:val="24"/>
                <w:szCs w:val="24"/>
              </w:rPr>
              <w:t>024</w:t>
            </w:r>
            <w:r>
              <w:rPr>
                <w:rFonts w:ascii="Times New Roman" w:eastAsia="宋体" w:hAnsi="Times New Roman" w:hint="eastAsia"/>
                <w:sz w:val="24"/>
                <w:szCs w:val="24"/>
              </w:rPr>
              <w:t>年</w:t>
            </w:r>
            <w:r>
              <w:rPr>
                <w:rFonts w:ascii="Times New Roman" w:eastAsia="宋体" w:hAnsi="Times New Roman" w:hint="eastAsia"/>
                <w:sz w:val="24"/>
                <w:szCs w:val="24"/>
              </w:rPr>
              <w:t>1</w:t>
            </w:r>
            <w:r>
              <w:rPr>
                <w:rFonts w:ascii="Times New Roman" w:eastAsia="宋体" w:hAnsi="Times New Roman" w:hint="eastAsia"/>
                <w:sz w:val="24"/>
                <w:szCs w:val="24"/>
              </w:rPr>
              <w:t>月起，</w:t>
            </w:r>
            <w:r w:rsidR="00BC1844" w:rsidRPr="00FF40FC">
              <w:rPr>
                <w:rFonts w:ascii="Times New Roman" w:eastAsia="宋体" w:hAnsi="Times New Roman" w:hint="eastAsia"/>
                <w:sz w:val="24"/>
                <w:szCs w:val="24"/>
              </w:rPr>
              <w:t>拓益</w:t>
            </w:r>
            <w:r w:rsidR="00BC1844" w:rsidRPr="00E56267">
              <w:rPr>
                <w:rFonts w:ascii="Times New Roman" w:eastAsia="宋体" w:hAnsi="Times New Roman" w:hint="eastAsia"/>
                <w:sz w:val="24"/>
                <w:szCs w:val="24"/>
                <w:vertAlign w:val="superscript"/>
              </w:rPr>
              <w:t>®</w:t>
            </w:r>
            <w:r w:rsidR="00FD155F" w:rsidRPr="00FD155F">
              <w:rPr>
                <w:rFonts w:ascii="Times New Roman" w:eastAsia="宋体" w:hAnsi="Times New Roman" w:hint="eastAsia"/>
                <w:sz w:val="24"/>
                <w:szCs w:val="24"/>
              </w:rPr>
              <w:t>新增一线鼻咽癌、一线食管鳞癌、一线非小细胞肺癌</w:t>
            </w:r>
            <w:r w:rsidR="00FD155F" w:rsidRPr="00FD155F">
              <w:rPr>
                <w:rFonts w:ascii="Times New Roman" w:eastAsia="宋体" w:hAnsi="Times New Roman"/>
                <w:sz w:val="24"/>
                <w:szCs w:val="24"/>
              </w:rPr>
              <w:t>3</w:t>
            </w:r>
            <w:r w:rsidR="00FD155F" w:rsidRPr="00FD155F">
              <w:rPr>
                <w:rFonts w:ascii="Times New Roman" w:eastAsia="宋体" w:hAnsi="Times New Roman" w:hint="eastAsia"/>
                <w:sz w:val="24"/>
                <w:szCs w:val="24"/>
              </w:rPr>
              <w:t>项适应症纳入新版国家医保目录，累计已有</w:t>
            </w:r>
            <w:r w:rsidR="00FD155F" w:rsidRPr="00FD155F">
              <w:rPr>
                <w:rFonts w:ascii="Times New Roman" w:eastAsia="宋体" w:hAnsi="Times New Roman"/>
                <w:sz w:val="24"/>
                <w:szCs w:val="24"/>
              </w:rPr>
              <w:t>6</w:t>
            </w:r>
            <w:r w:rsidR="00FD155F" w:rsidRPr="00FD155F">
              <w:rPr>
                <w:rFonts w:ascii="Times New Roman" w:eastAsia="宋体" w:hAnsi="Times New Roman" w:hint="eastAsia"/>
                <w:sz w:val="24"/>
                <w:szCs w:val="24"/>
              </w:rPr>
              <w:t>项适应症纳入国家医保</w:t>
            </w:r>
            <w:r w:rsidR="00A30DDB">
              <w:rPr>
                <w:rFonts w:ascii="Times New Roman" w:eastAsia="宋体" w:hAnsi="Times New Roman" w:hint="eastAsia"/>
                <w:sz w:val="24"/>
                <w:szCs w:val="24"/>
              </w:rPr>
              <w:t>目录</w:t>
            </w:r>
            <w:r w:rsidR="00897D0B" w:rsidRPr="00897D0B">
              <w:rPr>
                <w:rFonts w:ascii="Times New Roman" w:eastAsia="宋体" w:hAnsi="Times New Roman" w:hint="eastAsia"/>
                <w:sz w:val="24"/>
                <w:szCs w:val="24"/>
              </w:rPr>
              <w:t>，是国家医保目录中唯一用于治疗黑色素瘤的抗</w:t>
            </w:r>
            <w:r w:rsidR="00897D0B" w:rsidRPr="00897D0B">
              <w:rPr>
                <w:rFonts w:ascii="Times New Roman" w:eastAsia="宋体" w:hAnsi="Times New Roman"/>
                <w:sz w:val="24"/>
                <w:szCs w:val="24"/>
              </w:rPr>
              <w:t>PD-1</w:t>
            </w:r>
            <w:r w:rsidR="00897D0B" w:rsidRPr="00897D0B">
              <w:rPr>
                <w:rFonts w:ascii="Times New Roman" w:eastAsia="宋体" w:hAnsi="Times New Roman" w:hint="eastAsia"/>
                <w:sz w:val="24"/>
                <w:szCs w:val="24"/>
              </w:rPr>
              <w:t>单抗药物。本次国家医保目录内</w:t>
            </w:r>
            <w:r w:rsidR="00897D0B" w:rsidRPr="00FF40FC">
              <w:rPr>
                <w:rFonts w:ascii="Times New Roman" w:eastAsia="宋体" w:hAnsi="Times New Roman" w:hint="eastAsia"/>
                <w:sz w:val="24"/>
                <w:szCs w:val="24"/>
              </w:rPr>
              <w:t>拓益</w:t>
            </w:r>
            <w:r w:rsidR="00897D0B" w:rsidRPr="00E56267">
              <w:rPr>
                <w:rFonts w:ascii="Times New Roman" w:eastAsia="宋体" w:hAnsi="Times New Roman" w:hint="eastAsia"/>
                <w:sz w:val="24"/>
                <w:szCs w:val="24"/>
                <w:vertAlign w:val="superscript"/>
              </w:rPr>
              <w:t>®</w:t>
            </w:r>
            <w:r w:rsidR="00897D0B" w:rsidRPr="00897D0B">
              <w:rPr>
                <w:rFonts w:ascii="Times New Roman" w:eastAsia="宋体" w:hAnsi="Times New Roman" w:hint="eastAsia"/>
                <w:sz w:val="24"/>
                <w:szCs w:val="24"/>
              </w:rPr>
              <w:t>适应症的增加将进一步拓展不同瘤种领域获益患者的范围，为患者及其家庭减轻就医负担，提高</w:t>
            </w:r>
            <w:r w:rsidR="00897D0B" w:rsidRPr="00FF40FC">
              <w:rPr>
                <w:rFonts w:ascii="Times New Roman" w:eastAsia="宋体" w:hAnsi="Times New Roman" w:hint="eastAsia"/>
                <w:sz w:val="24"/>
                <w:szCs w:val="24"/>
              </w:rPr>
              <w:t>拓益</w:t>
            </w:r>
            <w:r w:rsidR="00897D0B" w:rsidRPr="00E56267">
              <w:rPr>
                <w:rFonts w:ascii="Times New Roman" w:eastAsia="宋体" w:hAnsi="Times New Roman" w:hint="eastAsia"/>
                <w:sz w:val="24"/>
                <w:szCs w:val="24"/>
                <w:vertAlign w:val="superscript"/>
              </w:rPr>
              <w:t>®</w:t>
            </w:r>
            <w:r w:rsidR="00897D0B" w:rsidRPr="00897D0B">
              <w:rPr>
                <w:rFonts w:ascii="Times New Roman" w:eastAsia="宋体" w:hAnsi="Times New Roman" w:hint="eastAsia"/>
                <w:sz w:val="24"/>
                <w:szCs w:val="24"/>
              </w:rPr>
              <w:t>在患者中的可负担性和可及性</w:t>
            </w:r>
            <w:r w:rsidR="00FD155F" w:rsidRPr="00FD155F">
              <w:rPr>
                <w:rFonts w:ascii="Times New Roman" w:eastAsia="宋体" w:hAnsi="Times New Roman" w:hint="eastAsia"/>
                <w:sz w:val="24"/>
                <w:szCs w:val="24"/>
              </w:rPr>
              <w:t>。</w:t>
            </w:r>
          </w:p>
          <w:p w14:paraId="51CCFA10" w14:textId="14673186" w:rsidR="00222820" w:rsidRDefault="00222820" w:rsidP="00A67D2B">
            <w:pPr>
              <w:ind w:firstLineChars="200" w:firstLine="480"/>
              <w:jc w:val="both"/>
              <w:rPr>
                <w:rFonts w:ascii="Times New Roman" w:eastAsia="宋体" w:hAnsi="Times New Roman"/>
                <w:sz w:val="24"/>
                <w:szCs w:val="24"/>
                <w:lang w:val="en-MY"/>
              </w:rPr>
            </w:pPr>
            <w:r w:rsidRPr="00222820">
              <w:rPr>
                <w:rFonts w:ascii="Times New Roman" w:eastAsia="宋体" w:hAnsi="Times New Roman" w:hint="eastAsia"/>
                <w:sz w:val="24"/>
                <w:szCs w:val="24"/>
                <w:lang w:val="en-MY"/>
              </w:rPr>
              <w:t>报告期内，</w:t>
            </w:r>
            <w:r w:rsidR="00B30F68" w:rsidRPr="00FF40FC">
              <w:rPr>
                <w:rFonts w:ascii="Times New Roman" w:eastAsia="宋体" w:hAnsi="Times New Roman" w:hint="eastAsia"/>
                <w:sz w:val="24"/>
                <w:szCs w:val="24"/>
              </w:rPr>
              <w:t>拓益</w:t>
            </w:r>
            <w:r w:rsidR="00B30F68" w:rsidRPr="00E56267">
              <w:rPr>
                <w:rFonts w:ascii="Times New Roman" w:eastAsia="宋体" w:hAnsi="Times New Roman" w:hint="eastAsia"/>
                <w:sz w:val="24"/>
                <w:szCs w:val="24"/>
                <w:vertAlign w:val="superscript"/>
              </w:rPr>
              <w:t>®</w:t>
            </w:r>
            <w:r w:rsidR="00B11C69" w:rsidRPr="00B11C69">
              <w:rPr>
                <w:rFonts w:ascii="Times New Roman" w:eastAsia="宋体" w:hAnsi="Times New Roman" w:hint="eastAsia"/>
                <w:sz w:val="24"/>
                <w:szCs w:val="24"/>
                <w:lang w:val="en-MY"/>
              </w:rPr>
              <w:t>临床研究效率持续提升，注册进程不断加速</w:t>
            </w:r>
            <w:r w:rsidR="00B11C69">
              <w:rPr>
                <w:rFonts w:ascii="Times New Roman" w:eastAsia="宋体" w:hAnsi="Times New Roman" w:hint="eastAsia"/>
                <w:sz w:val="24"/>
                <w:szCs w:val="24"/>
                <w:lang w:val="en-MY"/>
              </w:rPr>
              <w:t>。</w:t>
            </w:r>
            <w:r w:rsidRPr="00222820">
              <w:rPr>
                <w:rFonts w:ascii="Times New Roman" w:eastAsia="宋体" w:hAnsi="Times New Roman" w:hint="eastAsia"/>
                <w:sz w:val="24"/>
                <w:szCs w:val="24"/>
                <w:lang w:val="en-MY"/>
              </w:rPr>
              <w:t>拓益</w:t>
            </w:r>
            <w:r w:rsidR="00D81AB6" w:rsidRPr="00E56267">
              <w:rPr>
                <w:rFonts w:ascii="Times New Roman" w:eastAsia="宋体" w:hAnsi="Times New Roman" w:hint="eastAsia"/>
                <w:sz w:val="24"/>
                <w:szCs w:val="24"/>
                <w:vertAlign w:val="superscript"/>
              </w:rPr>
              <w:t>®</w:t>
            </w:r>
            <w:r w:rsidR="00754B46">
              <w:rPr>
                <w:rFonts w:ascii="Times New Roman" w:eastAsia="宋体" w:hAnsi="Times New Roman" w:hint="eastAsia"/>
                <w:sz w:val="24"/>
                <w:szCs w:val="24"/>
                <w:lang w:val="en-MY"/>
              </w:rPr>
              <w:t>用于肾细胞癌</w:t>
            </w:r>
            <w:r w:rsidR="00754B46" w:rsidRPr="00F3610E">
              <w:rPr>
                <w:rFonts w:ascii="Times New Roman" w:eastAsia="宋体" w:hAnsi="Times New Roman" w:hint="eastAsia"/>
                <w:sz w:val="24"/>
                <w:szCs w:val="24"/>
              </w:rPr>
              <w:t>一线治疗</w:t>
            </w:r>
            <w:r w:rsidR="00754B46">
              <w:rPr>
                <w:rFonts w:ascii="Times New Roman" w:eastAsia="宋体" w:hAnsi="Times New Roman" w:hint="eastAsia"/>
                <w:sz w:val="24"/>
                <w:szCs w:val="24"/>
              </w:rPr>
              <w:t>、</w:t>
            </w:r>
            <w:r w:rsidR="00754B46" w:rsidRPr="00F3610E">
              <w:rPr>
                <w:rFonts w:ascii="Times New Roman" w:eastAsia="宋体" w:hAnsi="Times New Roman" w:hint="eastAsia"/>
                <w:sz w:val="24"/>
                <w:szCs w:val="24"/>
              </w:rPr>
              <w:t>三阴性乳腺癌一线治疗</w:t>
            </w:r>
            <w:r w:rsidR="00754B46">
              <w:rPr>
                <w:rFonts w:ascii="Times New Roman" w:eastAsia="宋体" w:hAnsi="Times New Roman" w:hint="eastAsia"/>
                <w:sz w:val="24"/>
                <w:szCs w:val="24"/>
              </w:rPr>
              <w:t>和广泛期</w:t>
            </w:r>
            <w:r w:rsidR="00754B46" w:rsidRPr="00F3610E">
              <w:rPr>
                <w:rFonts w:ascii="Times New Roman" w:eastAsia="宋体" w:hAnsi="Times New Roman" w:hint="eastAsia"/>
                <w:sz w:val="24"/>
                <w:szCs w:val="24"/>
              </w:rPr>
              <w:t>小细胞肺癌一线治疗</w:t>
            </w:r>
            <w:r w:rsidRPr="00222820">
              <w:rPr>
                <w:rFonts w:ascii="Times New Roman" w:eastAsia="宋体" w:hAnsi="Times New Roman" w:hint="eastAsia"/>
                <w:sz w:val="24"/>
                <w:szCs w:val="24"/>
                <w:lang w:val="en-MY"/>
              </w:rPr>
              <w:t>的三项新适应症上市申请</w:t>
            </w:r>
            <w:r w:rsidR="00330BA2">
              <w:rPr>
                <w:rFonts w:ascii="Times New Roman" w:eastAsia="宋体" w:hAnsi="Times New Roman" w:hint="eastAsia"/>
                <w:sz w:val="24"/>
                <w:szCs w:val="24"/>
                <w:lang w:val="en-MY"/>
              </w:rPr>
              <w:t>（</w:t>
            </w:r>
            <w:r w:rsidR="00330BA2" w:rsidRPr="00222820">
              <w:rPr>
                <w:rFonts w:ascii="Times New Roman" w:eastAsia="宋体" w:hAnsi="Times New Roman"/>
                <w:sz w:val="24"/>
                <w:szCs w:val="24"/>
                <w:lang w:val="en-MY"/>
              </w:rPr>
              <w:t>sNDA</w:t>
            </w:r>
            <w:r w:rsidR="00330BA2">
              <w:rPr>
                <w:rFonts w:ascii="Times New Roman" w:eastAsia="宋体" w:hAnsi="Times New Roman" w:hint="eastAsia"/>
                <w:sz w:val="24"/>
                <w:szCs w:val="24"/>
                <w:lang w:val="en-MY"/>
              </w:rPr>
              <w:t>）</w:t>
            </w:r>
            <w:r w:rsidRPr="00222820">
              <w:rPr>
                <w:rFonts w:ascii="Times New Roman" w:eastAsia="宋体" w:hAnsi="Times New Roman" w:hint="eastAsia"/>
                <w:sz w:val="24"/>
                <w:szCs w:val="24"/>
                <w:lang w:val="en-MY"/>
              </w:rPr>
              <w:t>获得</w:t>
            </w:r>
            <w:r w:rsidR="00F82B91">
              <w:rPr>
                <w:rFonts w:ascii="Times New Roman" w:eastAsia="宋体" w:hAnsi="Times New Roman" w:hint="eastAsia"/>
                <w:sz w:val="24"/>
                <w:szCs w:val="24"/>
                <w:lang w:val="en-MY"/>
              </w:rPr>
              <w:t>国家药品监督管理局（</w:t>
            </w:r>
            <w:r w:rsidR="00F82B91">
              <w:rPr>
                <w:rFonts w:ascii="Times New Roman" w:eastAsia="宋体" w:hAnsi="Times New Roman" w:hint="eastAsia"/>
                <w:sz w:val="24"/>
                <w:szCs w:val="24"/>
                <w:lang w:val="en-MY"/>
              </w:rPr>
              <w:t>N</w:t>
            </w:r>
            <w:r w:rsidR="00F82B91">
              <w:rPr>
                <w:rFonts w:ascii="Times New Roman" w:eastAsia="宋体" w:hAnsi="Times New Roman"/>
                <w:sz w:val="24"/>
                <w:szCs w:val="24"/>
                <w:lang w:val="en-MY"/>
              </w:rPr>
              <w:t>MPA</w:t>
            </w:r>
            <w:r w:rsidR="00F82B91">
              <w:rPr>
                <w:rFonts w:ascii="Times New Roman" w:eastAsia="宋体" w:hAnsi="Times New Roman" w:hint="eastAsia"/>
                <w:sz w:val="24"/>
                <w:szCs w:val="24"/>
                <w:lang w:val="en-MY"/>
              </w:rPr>
              <w:t>）</w:t>
            </w:r>
            <w:r w:rsidRPr="00222820">
              <w:rPr>
                <w:rFonts w:ascii="Times New Roman" w:eastAsia="宋体" w:hAnsi="Times New Roman"/>
                <w:sz w:val="24"/>
                <w:szCs w:val="24"/>
                <w:lang w:val="en-MY"/>
              </w:rPr>
              <w:t>批准</w:t>
            </w:r>
            <w:r w:rsidR="003E608C">
              <w:rPr>
                <w:rFonts w:ascii="Times New Roman" w:eastAsia="宋体" w:hAnsi="Times New Roman" w:hint="eastAsia"/>
                <w:sz w:val="24"/>
                <w:szCs w:val="24"/>
                <w:lang w:val="en-MY"/>
              </w:rPr>
              <w:t>。</w:t>
            </w:r>
            <w:r w:rsidRPr="00222820">
              <w:rPr>
                <w:rFonts w:ascii="Times New Roman" w:eastAsia="宋体" w:hAnsi="Times New Roman"/>
                <w:sz w:val="24"/>
                <w:szCs w:val="24"/>
                <w:lang w:val="en-MY"/>
              </w:rPr>
              <w:t>截至</w:t>
            </w:r>
            <w:r w:rsidR="000B1585">
              <w:rPr>
                <w:rFonts w:ascii="Times New Roman" w:eastAsia="宋体" w:hAnsi="Times New Roman" w:hint="eastAsia"/>
                <w:sz w:val="24"/>
                <w:szCs w:val="24"/>
                <w:lang w:val="en-MY"/>
              </w:rPr>
              <w:t>目前</w:t>
            </w:r>
            <w:r w:rsidRPr="00222820">
              <w:rPr>
                <w:rFonts w:ascii="Times New Roman" w:eastAsia="宋体" w:hAnsi="Times New Roman"/>
                <w:sz w:val="24"/>
                <w:szCs w:val="24"/>
                <w:lang w:val="en-MY"/>
              </w:rPr>
              <w:t>NMPA</w:t>
            </w:r>
            <w:r w:rsidRPr="00222820">
              <w:rPr>
                <w:rFonts w:ascii="Times New Roman" w:eastAsia="宋体" w:hAnsi="Times New Roman"/>
                <w:sz w:val="24"/>
                <w:szCs w:val="24"/>
                <w:lang w:val="en-MY"/>
              </w:rPr>
              <w:t>已</w:t>
            </w:r>
            <w:r w:rsidRPr="00222820">
              <w:rPr>
                <w:rFonts w:ascii="Times New Roman" w:eastAsia="宋体" w:hAnsi="Times New Roman" w:hint="eastAsia"/>
                <w:sz w:val="24"/>
                <w:szCs w:val="24"/>
                <w:lang w:val="en-MY"/>
              </w:rPr>
              <w:t>批准</w:t>
            </w:r>
            <w:r w:rsidR="008A5317" w:rsidRPr="00FF40FC">
              <w:rPr>
                <w:rFonts w:ascii="Times New Roman" w:eastAsia="宋体" w:hAnsi="Times New Roman" w:hint="eastAsia"/>
                <w:sz w:val="24"/>
                <w:szCs w:val="24"/>
              </w:rPr>
              <w:t>拓益</w:t>
            </w:r>
            <w:r w:rsidR="008A5317" w:rsidRPr="00E56267">
              <w:rPr>
                <w:rFonts w:ascii="Times New Roman" w:eastAsia="宋体" w:hAnsi="Times New Roman" w:hint="eastAsia"/>
                <w:sz w:val="24"/>
                <w:szCs w:val="24"/>
                <w:vertAlign w:val="superscript"/>
              </w:rPr>
              <w:t>®</w:t>
            </w:r>
            <w:r w:rsidRPr="00222820">
              <w:rPr>
                <w:rFonts w:ascii="Times New Roman" w:eastAsia="宋体" w:hAnsi="Times New Roman" w:hint="eastAsia"/>
                <w:sz w:val="24"/>
                <w:szCs w:val="24"/>
                <w:lang w:val="en-MY"/>
              </w:rPr>
              <w:t>的十项适应症，另有</w:t>
            </w:r>
            <w:r w:rsidR="00D81AB6">
              <w:rPr>
                <w:rFonts w:ascii="Times New Roman" w:eastAsia="宋体" w:hAnsi="Times New Roman" w:hint="eastAsia"/>
                <w:sz w:val="24"/>
                <w:szCs w:val="24"/>
                <w:lang w:val="en-MY"/>
              </w:rPr>
              <w:t>一线治疗黑色素瘤、</w:t>
            </w:r>
            <w:r w:rsidR="00D81AB6" w:rsidRPr="00D81AB6">
              <w:rPr>
                <w:rFonts w:ascii="Times New Roman" w:eastAsia="宋体" w:hAnsi="Times New Roman" w:hint="eastAsia"/>
                <w:sz w:val="24"/>
                <w:szCs w:val="24"/>
                <w:lang w:val="en-MY"/>
              </w:rPr>
              <w:t>联合贝伐珠单抗一线治疗晚期肝细胞癌</w:t>
            </w:r>
            <w:r w:rsidRPr="00222820">
              <w:rPr>
                <w:rFonts w:ascii="Times New Roman" w:eastAsia="宋体" w:hAnsi="Times New Roman" w:hint="eastAsia"/>
                <w:sz w:val="24"/>
                <w:szCs w:val="24"/>
                <w:lang w:val="en-MY"/>
              </w:rPr>
              <w:t>两项</w:t>
            </w:r>
            <w:r w:rsidRPr="00222820">
              <w:rPr>
                <w:rFonts w:ascii="Times New Roman" w:eastAsia="宋体" w:hAnsi="Times New Roman"/>
                <w:sz w:val="24"/>
                <w:szCs w:val="24"/>
                <w:lang w:val="en-MY"/>
              </w:rPr>
              <w:t>sNDA</w:t>
            </w:r>
            <w:r w:rsidRPr="00222820">
              <w:rPr>
                <w:rFonts w:ascii="Times New Roman" w:eastAsia="宋体" w:hAnsi="Times New Roman"/>
                <w:sz w:val="24"/>
                <w:szCs w:val="24"/>
                <w:lang w:val="en-MY"/>
              </w:rPr>
              <w:t>已</w:t>
            </w:r>
            <w:r w:rsidRPr="00222820">
              <w:rPr>
                <w:rFonts w:ascii="Times New Roman" w:eastAsia="宋体" w:hAnsi="Times New Roman" w:hint="eastAsia"/>
                <w:sz w:val="24"/>
                <w:szCs w:val="24"/>
                <w:lang w:val="en-MY"/>
              </w:rPr>
              <w:t>获得</w:t>
            </w:r>
            <w:r w:rsidRPr="00222820">
              <w:rPr>
                <w:rFonts w:ascii="Times New Roman" w:eastAsia="宋体" w:hAnsi="Times New Roman"/>
                <w:sz w:val="24"/>
                <w:szCs w:val="24"/>
                <w:lang w:val="en-MY"/>
              </w:rPr>
              <w:t>NMPA</w:t>
            </w:r>
            <w:r w:rsidRPr="00222820">
              <w:rPr>
                <w:rFonts w:ascii="Times New Roman" w:eastAsia="宋体" w:hAnsi="Times New Roman"/>
                <w:sz w:val="24"/>
                <w:szCs w:val="24"/>
                <w:lang w:val="en-MY"/>
              </w:rPr>
              <w:t>受理</w:t>
            </w:r>
            <w:r w:rsidR="00A67D2B">
              <w:rPr>
                <w:rFonts w:ascii="Times New Roman" w:eastAsia="宋体" w:hAnsi="Times New Roman" w:hint="eastAsia"/>
                <w:sz w:val="24"/>
                <w:szCs w:val="24"/>
                <w:lang w:val="en-MY"/>
              </w:rPr>
              <w:t>，其中一线治疗肝细胞癌</w:t>
            </w:r>
            <w:r w:rsidR="00A67D2B" w:rsidRPr="00A67D2B">
              <w:rPr>
                <w:rFonts w:ascii="Times New Roman" w:eastAsia="宋体" w:hAnsi="Times New Roman" w:hint="eastAsia"/>
                <w:sz w:val="24"/>
                <w:szCs w:val="24"/>
                <w:lang w:val="en-MY"/>
              </w:rPr>
              <w:t>从数据读出到上市申请获得</w:t>
            </w:r>
            <w:r w:rsidR="00A67D2B" w:rsidRPr="00A67D2B">
              <w:rPr>
                <w:rFonts w:ascii="Times New Roman" w:eastAsia="宋体" w:hAnsi="Times New Roman"/>
                <w:sz w:val="24"/>
                <w:szCs w:val="24"/>
                <w:lang w:val="en-MY"/>
              </w:rPr>
              <w:t>NMPA</w:t>
            </w:r>
            <w:r w:rsidR="00A67D2B" w:rsidRPr="00A67D2B">
              <w:rPr>
                <w:rFonts w:ascii="Times New Roman" w:eastAsia="宋体" w:hAnsi="Times New Roman"/>
                <w:sz w:val="24"/>
                <w:szCs w:val="24"/>
                <w:lang w:val="en-MY"/>
              </w:rPr>
              <w:t>受理</w:t>
            </w:r>
            <w:r w:rsidR="00A67D2B" w:rsidRPr="00A67D2B">
              <w:rPr>
                <w:rFonts w:ascii="Times New Roman" w:eastAsia="宋体" w:hAnsi="Times New Roman" w:hint="eastAsia"/>
                <w:sz w:val="24"/>
                <w:szCs w:val="24"/>
                <w:lang w:val="en-MY"/>
              </w:rPr>
              <w:t>仅</w:t>
            </w:r>
            <w:r w:rsidR="00A67D2B" w:rsidRPr="00A67D2B">
              <w:rPr>
                <w:rFonts w:ascii="Times New Roman" w:eastAsia="宋体" w:hAnsi="Times New Roman"/>
                <w:sz w:val="24"/>
                <w:szCs w:val="24"/>
                <w:lang w:val="en-MY"/>
              </w:rPr>
              <w:t>36</w:t>
            </w:r>
            <w:r w:rsidR="00A67D2B" w:rsidRPr="00A67D2B">
              <w:rPr>
                <w:rFonts w:ascii="Times New Roman" w:eastAsia="宋体" w:hAnsi="Times New Roman"/>
                <w:sz w:val="24"/>
                <w:szCs w:val="24"/>
                <w:lang w:val="en-MY"/>
              </w:rPr>
              <w:t>天</w:t>
            </w:r>
            <w:r w:rsidR="00A67D2B">
              <w:rPr>
                <w:rFonts w:ascii="Times New Roman" w:eastAsia="宋体" w:hAnsi="Times New Roman" w:hint="eastAsia"/>
                <w:sz w:val="24"/>
                <w:szCs w:val="24"/>
                <w:lang w:val="en-MY"/>
              </w:rPr>
              <w:t>。</w:t>
            </w:r>
            <w:r w:rsidR="00A429A5">
              <w:rPr>
                <w:rFonts w:ascii="Times New Roman" w:eastAsia="宋体" w:hAnsi="Times New Roman" w:hint="eastAsia"/>
                <w:sz w:val="24"/>
                <w:szCs w:val="24"/>
                <w:lang w:val="en-MY"/>
              </w:rPr>
              <w:t>上述适应症中</w:t>
            </w:r>
            <w:r w:rsidRPr="00222820">
              <w:rPr>
                <w:rFonts w:ascii="Times New Roman" w:eastAsia="宋体" w:hAnsi="Times New Roman"/>
                <w:sz w:val="24"/>
                <w:szCs w:val="24"/>
                <w:lang w:val="en-MY"/>
              </w:rPr>
              <w:t>多</w:t>
            </w:r>
            <w:r w:rsidRPr="00222820">
              <w:rPr>
                <w:rFonts w:ascii="Times New Roman" w:eastAsia="宋体" w:hAnsi="Times New Roman" w:hint="eastAsia"/>
                <w:sz w:val="24"/>
                <w:szCs w:val="24"/>
                <w:lang w:val="en-MY"/>
              </w:rPr>
              <w:t>项为公司独家或领先适应症，将有望在相应适应症的市场推广上取得先发优势</w:t>
            </w:r>
            <w:r w:rsidR="007D3E3D">
              <w:rPr>
                <w:rFonts w:ascii="Times New Roman" w:eastAsia="宋体" w:hAnsi="Times New Roman" w:hint="eastAsia"/>
                <w:sz w:val="24"/>
                <w:szCs w:val="24"/>
                <w:lang w:val="en-MY"/>
              </w:rPr>
              <w:t>。</w:t>
            </w:r>
          </w:p>
          <w:p w14:paraId="19912068" w14:textId="7EFDE029" w:rsidR="00B52924" w:rsidRDefault="00A778A9" w:rsidP="00921A81">
            <w:pPr>
              <w:ind w:firstLineChars="200" w:firstLine="480"/>
              <w:rPr>
                <w:rFonts w:ascii="Times New Roman" w:eastAsia="宋体" w:hAnsi="Times New Roman"/>
                <w:sz w:val="24"/>
                <w:szCs w:val="24"/>
              </w:rPr>
            </w:pPr>
            <w:r>
              <w:rPr>
                <w:rFonts w:ascii="Times New Roman" w:eastAsia="宋体" w:hAnsi="Times New Roman"/>
                <w:sz w:val="24"/>
                <w:szCs w:val="24"/>
              </w:rPr>
              <w:t>2</w:t>
            </w:r>
            <w:r w:rsidR="00B52924">
              <w:rPr>
                <w:rFonts w:ascii="Times New Roman" w:eastAsia="宋体" w:hAnsi="Times New Roman" w:hint="eastAsia"/>
                <w:sz w:val="24"/>
                <w:szCs w:val="24"/>
              </w:rPr>
              <w:t>、</w:t>
            </w:r>
            <w:r w:rsidR="00340A8D" w:rsidRPr="00340A8D">
              <w:rPr>
                <w:rFonts w:ascii="Times New Roman" w:eastAsia="宋体" w:hAnsi="Times New Roman" w:hint="eastAsia"/>
                <w:sz w:val="24"/>
                <w:szCs w:val="24"/>
              </w:rPr>
              <w:t>昂戈瑞西单抗（</w:t>
            </w:r>
            <w:r w:rsidR="00816AE5" w:rsidRPr="00816AE5">
              <w:rPr>
                <w:rFonts w:ascii="Times New Roman" w:eastAsia="宋体" w:hAnsi="Times New Roman" w:hint="eastAsia"/>
                <w:sz w:val="24"/>
                <w:szCs w:val="24"/>
              </w:rPr>
              <w:t>抗</w:t>
            </w:r>
            <w:r w:rsidR="00816AE5" w:rsidRPr="00816AE5">
              <w:rPr>
                <w:rFonts w:ascii="Times New Roman" w:eastAsia="宋体" w:hAnsi="Times New Roman"/>
                <w:sz w:val="24"/>
                <w:szCs w:val="24"/>
              </w:rPr>
              <w:t>PCSK9</w:t>
            </w:r>
            <w:r w:rsidR="00816AE5">
              <w:rPr>
                <w:rFonts w:ascii="Times New Roman" w:eastAsia="宋体" w:hAnsi="Times New Roman" w:hint="eastAsia"/>
                <w:sz w:val="24"/>
                <w:szCs w:val="24"/>
              </w:rPr>
              <w:t>单抗，</w:t>
            </w:r>
            <w:r w:rsidR="00340A8D" w:rsidRPr="00340A8D">
              <w:rPr>
                <w:rFonts w:ascii="Times New Roman" w:eastAsia="宋体" w:hAnsi="Times New Roman" w:hint="eastAsia"/>
                <w:sz w:val="24"/>
                <w:szCs w:val="24"/>
              </w:rPr>
              <w:t>代号</w:t>
            </w:r>
            <w:r w:rsidR="00340A8D" w:rsidRPr="00340A8D">
              <w:rPr>
                <w:rFonts w:ascii="Times New Roman" w:eastAsia="宋体" w:hAnsi="Times New Roman"/>
                <w:sz w:val="24"/>
                <w:szCs w:val="24"/>
              </w:rPr>
              <w:t>JS002</w:t>
            </w:r>
            <w:r w:rsidR="00340A8D" w:rsidRPr="00340A8D">
              <w:rPr>
                <w:rFonts w:ascii="Times New Roman" w:eastAsia="宋体" w:hAnsi="Times New Roman"/>
                <w:sz w:val="24"/>
                <w:szCs w:val="24"/>
              </w:rPr>
              <w:t>）</w:t>
            </w:r>
          </w:p>
          <w:p w14:paraId="3E06374F" w14:textId="73B2C444" w:rsidR="006F4D15" w:rsidRDefault="00DD6C55" w:rsidP="00DD6C55">
            <w:pPr>
              <w:ind w:firstLineChars="200" w:firstLine="480"/>
              <w:jc w:val="both"/>
              <w:rPr>
                <w:rFonts w:ascii="Times New Roman" w:eastAsia="宋体" w:hAnsi="Times New Roman"/>
                <w:sz w:val="24"/>
                <w:szCs w:val="24"/>
              </w:rPr>
            </w:pPr>
            <w:r w:rsidRPr="00DD6C55">
              <w:rPr>
                <w:rFonts w:ascii="Times New Roman" w:eastAsia="宋体" w:hAnsi="Times New Roman"/>
                <w:sz w:val="24"/>
                <w:szCs w:val="24"/>
              </w:rPr>
              <w:t>2024</w:t>
            </w:r>
            <w:r w:rsidRPr="00DD6C55">
              <w:rPr>
                <w:rFonts w:ascii="Times New Roman" w:eastAsia="宋体" w:hAnsi="Times New Roman"/>
                <w:sz w:val="24"/>
                <w:szCs w:val="24"/>
              </w:rPr>
              <w:t>年</w:t>
            </w:r>
            <w:r w:rsidRPr="00DD6C55">
              <w:rPr>
                <w:rFonts w:ascii="Times New Roman" w:eastAsia="宋体" w:hAnsi="Times New Roman"/>
                <w:sz w:val="24"/>
                <w:szCs w:val="24"/>
              </w:rPr>
              <w:t>4</w:t>
            </w:r>
            <w:r w:rsidRPr="00DD6C55">
              <w:rPr>
                <w:rFonts w:ascii="Times New Roman" w:eastAsia="宋体" w:hAnsi="Times New Roman"/>
                <w:sz w:val="24"/>
                <w:szCs w:val="24"/>
              </w:rPr>
              <w:t>月，昂戈瑞西</w:t>
            </w:r>
            <w:r w:rsidRPr="00DD6C55">
              <w:rPr>
                <w:rFonts w:ascii="Times New Roman" w:eastAsia="宋体" w:hAnsi="Times New Roman" w:hint="eastAsia"/>
                <w:sz w:val="24"/>
                <w:szCs w:val="24"/>
              </w:rPr>
              <w:t>单抗的两项</w:t>
            </w:r>
            <w:r w:rsidRPr="00DD6C55">
              <w:rPr>
                <w:rFonts w:ascii="Times New Roman" w:eastAsia="宋体" w:hAnsi="Times New Roman"/>
                <w:sz w:val="24"/>
                <w:szCs w:val="24"/>
              </w:rPr>
              <w:t>sNDA</w:t>
            </w:r>
            <w:r w:rsidRPr="00DD6C55">
              <w:rPr>
                <w:rFonts w:ascii="Times New Roman" w:eastAsia="宋体" w:hAnsi="Times New Roman" w:hint="eastAsia"/>
                <w:sz w:val="24"/>
                <w:szCs w:val="24"/>
              </w:rPr>
              <w:t>获得</w:t>
            </w:r>
            <w:r w:rsidRPr="00DD6C55">
              <w:rPr>
                <w:rFonts w:ascii="Times New Roman" w:eastAsia="宋体" w:hAnsi="Times New Roman"/>
                <w:sz w:val="24"/>
                <w:szCs w:val="24"/>
              </w:rPr>
              <w:t>NMPA</w:t>
            </w:r>
            <w:r w:rsidRPr="00DD6C55">
              <w:rPr>
                <w:rFonts w:ascii="Times New Roman" w:eastAsia="宋体" w:hAnsi="Times New Roman"/>
                <w:sz w:val="24"/>
                <w:szCs w:val="24"/>
              </w:rPr>
              <w:t>受理，用于治</w:t>
            </w:r>
            <w:r w:rsidRPr="00DD6C55">
              <w:rPr>
                <w:rFonts w:ascii="Times New Roman" w:eastAsia="宋体" w:hAnsi="Times New Roman" w:hint="eastAsia"/>
                <w:sz w:val="24"/>
                <w:szCs w:val="24"/>
              </w:rPr>
              <w:t>疗：（一）杂合子型家族性高胆固醇血症。（二）他汀类药物不耐受或禁忌使用的原发性高胆固醇血症和混合型血脂异常（单药）。此前，</w:t>
            </w:r>
            <w:r w:rsidRPr="00DD6C55">
              <w:rPr>
                <w:rFonts w:ascii="Times New Roman" w:eastAsia="宋体" w:hAnsi="Times New Roman"/>
                <w:sz w:val="24"/>
                <w:szCs w:val="24"/>
              </w:rPr>
              <w:t>NMPA</w:t>
            </w:r>
            <w:r w:rsidRPr="00DD6C55">
              <w:rPr>
                <w:rFonts w:ascii="Times New Roman" w:eastAsia="宋体" w:hAnsi="Times New Roman"/>
                <w:sz w:val="24"/>
                <w:szCs w:val="24"/>
              </w:rPr>
              <w:t>已受理昂戈瑞西</w:t>
            </w:r>
            <w:r w:rsidRPr="00DD6C55">
              <w:rPr>
                <w:rFonts w:ascii="Times New Roman" w:eastAsia="宋体" w:hAnsi="Times New Roman" w:hint="eastAsia"/>
                <w:sz w:val="24"/>
                <w:szCs w:val="24"/>
              </w:rPr>
              <w:t>单抗的新药上市申请，用于治疗：（一）原发性高胆固醇血症和混合型血脂异常（联合他汀）；（二）纯合子型家族性高胆固醇血症。</w:t>
            </w:r>
          </w:p>
          <w:p w14:paraId="487E0C4E" w14:textId="6A7948F4" w:rsidR="00027535" w:rsidRDefault="004C296E" w:rsidP="00620C50">
            <w:pPr>
              <w:ind w:firstLineChars="200" w:firstLine="480"/>
              <w:jc w:val="both"/>
              <w:rPr>
                <w:rFonts w:ascii="Times New Roman" w:eastAsia="宋体" w:hAnsi="Times New Roman"/>
                <w:sz w:val="24"/>
                <w:szCs w:val="24"/>
              </w:rPr>
            </w:pPr>
            <w:r>
              <w:rPr>
                <w:rFonts w:ascii="Times New Roman" w:eastAsia="宋体" w:hAnsi="Times New Roman"/>
                <w:sz w:val="24"/>
                <w:szCs w:val="24"/>
              </w:rPr>
              <w:t>3</w:t>
            </w:r>
            <w:r w:rsidR="00027535">
              <w:rPr>
                <w:rFonts w:ascii="Times New Roman" w:eastAsia="宋体" w:hAnsi="Times New Roman" w:hint="eastAsia"/>
                <w:sz w:val="24"/>
                <w:szCs w:val="24"/>
              </w:rPr>
              <w:t>、</w:t>
            </w:r>
            <w:r w:rsidR="003856FB" w:rsidRPr="003856FB">
              <w:rPr>
                <w:rFonts w:ascii="Times New Roman" w:eastAsia="宋体" w:hAnsi="Times New Roman"/>
                <w:sz w:val="24"/>
                <w:szCs w:val="24"/>
              </w:rPr>
              <w:t>Tifcemalimab</w:t>
            </w:r>
            <w:r w:rsidR="003856FB" w:rsidRPr="003856FB">
              <w:rPr>
                <w:rFonts w:ascii="Times New Roman" w:eastAsia="宋体" w:hAnsi="Times New Roman"/>
                <w:sz w:val="24"/>
                <w:szCs w:val="24"/>
              </w:rPr>
              <w:t>（</w:t>
            </w:r>
            <w:r w:rsidR="00145309">
              <w:rPr>
                <w:rFonts w:ascii="Times New Roman" w:eastAsia="宋体" w:hAnsi="Times New Roman" w:hint="eastAsia"/>
                <w:sz w:val="24"/>
                <w:szCs w:val="24"/>
              </w:rPr>
              <w:t>抗</w:t>
            </w:r>
            <w:r w:rsidR="00145309">
              <w:rPr>
                <w:rFonts w:ascii="Times New Roman" w:eastAsia="宋体" w:hAnsi="Times New Roman" w:hint="eastAsia"/>
                <w:sz w:val="24"/>
                <w:szCs w:val="24"/>
              </w:rPr>
              <w:t>B</w:t>
            </w:r>
            <w:r w:rsidR="00145309">
              <w:rPr>
                <w:rFonts w:ascii="Times New Roman" w:eastAsia="宋体" w:hAnsi="Times New Roman"/>
                <w:sz w:val="24"/>
                <w:szCs w:val="24"/>
              </w:rPr>
              <w:t>TLA</w:t>
            </w:r>
            <w:r w:rsidR="00145309">
              <w:rPr>
                <w:rFonts w:ascii="Times New Roman" w:eastAsia="宋体" w:hAnsi="Times New Roman" w:hint="eastAsia"/>
                <w:sz w:val="24"/>
                <w:szCs w:val="24"/>
              </w:rPr>
              <w:t>单抗，</w:t>
            </w:r>
            <w:r w:rsidR="003856FB" w:rsidRPr="003856FB">
              <w:rPr>
                <w:rFonts w:ascii="Times New Roman" w:eastAsia="宋体" w:hAnsi="Times New Roman"/>
                <w:sz w:val="24"/>
                <w:szCs w:val="24"/>
              </w:rPr>
              <w:t>代</w:t>
            </w:r>
            <w:r w:rsidR="003856FB" w:rsidRPr="003856FB">
              <w:rPr>
                <w:rFonts w:ascii="Times New Roman" w:eastAsia="宋体" w:hAnsi="Times New Roman" w:hint="eastAsia"/>
                <w:sz w:val="24"/>
                <w:szCs w:val="24"/>
              </w:rPr>
              <w:t>号</w:t>
            </w:r>
            <w:r w:rsidR="003856FB" w:rsidRPr="003856FB">
              <w:rPr>
                <w:rFonts w:ascii="Times New Roman" w:eastAsia="宋体" w:hAnsi="Times New Roman"/>
                <w:sz w:val="24"/>
                <w:szCs w:val="24"/>
              </w:rPr>
              <w:t>TAB004/JS004</w:t>
            </w:r>
            <w:r w:rsidR="003856FB" w:rsidRPr="003856FB">
              <w:rPr>
                <w:rFonts w:ascii="Times New Roman" w:eastAsia="宋体" w:hAnsi="Times New Roman"/>
                <w:sz w:val="24"/>
                <w:szCs w:val="24"/>
              </w:rPr>
              <w:t>）</w:t>
            </w:r>
          </w:p>
          <w:p w14:paraId="37854281" w14:textId="0119D41B" w:rsidR="00D14808" w:rsidRDefault="003E4AC1" w:rsidP="00B379D9">
            <w:pPr>
              <w:ind w:firstLineChars="200" w:firstLine="480"/>
              <w:jc w:val="both"/>
              <w:rPr>
                <w:rFonts w:ascii="Times New Roman" w:eastAsia="宋体" w:hAnsi="Times New Roman"/>
                <w:sz w:val="24"/>
                <w:szCs w:val="24"/>
              </w:rPr>
            </w:pPr>
            <w:r w:rsidRPr="005C7455">
              <w:rPr>
                <w:rFonts w:ascii="Times New Roman" w:eastAsia="宋体" w:hAnsi="Times New Roman"/>
                <w:sz w:val="24"/>
                <w:szCs w:val="24"/>
              </w:rPr>
              <w:t>T</w:t>
            </w:r>
            <w:r w:rsidR="005C7455" w:rsidRPr="005C7455">
              <w:rPr>
                <w:rFonts w:ascii="Times New Roman" w:eastAsia="宋体" w:hAnsi="Times New Roman"/>
                <w:sz w:val="24"/>
                <w:szCs w:val="24"/>
              </w:rPr>
              <w:t>ifcemalimab</w:t>
            </w:r>
            <w:r>
              <w:rPr>
                <w:rFonts w:ascii="Times New Roman" w:eastAsia="宋体" w:hAnsi="Times New Roman" w:hint="eastAsia"/>
                <w:sz w:val="24"/>
                <w:szCs w:val="24"/>
              </w:rPr>
              <w:t>联合</w:t>
            </w:r>
            <w:r w:rsidR="00EF4F10">
              <w:rPr>
                <w:rFonts w:ascii="Times New Roman" w:eastAsia="宋体" w:hAnsi="Times New Roman" w:hint="eastAsia"/>
                <w:sz w:val="24"/>
                <w:szCs w:val="24"/>
              </w:rPr>
              <w:t>特瑞普利</w:t>
            </w:r>
            <w:r>
              <w:rPr>
                <w:rFonts w:ascii="Times New Roman" w:eastAsia="宋体" w:hAnsi="Times New Roman" w:hint="eastAsia"/>
                <w:sz w:val="24"/>
                <w:szCs w:val="24"/>
              </w:rPr>
              <w:t>单抗正在</w:t>
            </w:r>
            <w:r w:rsidR="005C7455" w:rsidRPr="005C7455">
              <w:rPr>
                <w:rFonts w:ascii="Times New Roman" w:eastAsia="宋体" w:hAnsi="Times New Roman" w:hint="eastAsia"/>
                <w:sz w:val="24"/>
                <w:szCs w:val="24"/>
              </w:rPr>
              <w:t>开展两项</w:t>
            </w:r>
            <w:r w:rsidR="005C7455" w:rsidRPr="005C7455">
              <w:rPr>
                <w:rFonts w:ascii="Times New Roman" w:eastAsia="宋体" w:hAnsi="Times New Roman"/>
                <w:sz w:val="24"/>
                <w:szCs w:val="24"/>
              </w:rPr>
              <w:t>III</w:t>
            </w:r>
            <w:r w:rsidR="005C7455" w:rsidRPr="005C7455">
              <w:rPr>
                <w:rFonts w:ascii="Times New Roman" w:eastAsia="宋体" w:hAnsi="Times New Roman"/>
                <w:sz w:val="24"/>
                <w:szCs w:val="24"/>
              </w:rPr>
              <w:t>期注</w:t>
            </w:r>
            <w:r w:rsidR="005C7455" w:rsidRPr="005C7455">
              <w:rPr>
                <w:rFonts w:ascii="Times New Roman" w:eastAsia="宋体" w:hAnsi="Times New Roman" w:hint="eastAsia"/>
                <w:sz w:val="24"/>
                <w:szCs w:val="24"/>
              </w:rPr>
              <w:t>册临床研究</w:t>
            </w:r>
            <w:r w:rsidR="00D14808">
              <w:rPr>
                <w:rFonts w:ascii="Times New Roman" w:eastAsia="宋体" w:hAnsi="Times New Roman" w:hint="eastAsia"/>
                <w:sz w:val="24"/>
                <w:szCs w:val="24"/>
              </w:rPr>
              <w:t>：</w:t>
            </w:r>
          </w:p>
          <w:p w14:paraId="3790BA1D" w14:textId="0C21D980" w:rsidR="005C7455" w:rsidRPr="005C7455" w:rsidRDefault="00D14808" w:rsidP="00997DD1">
            <w:pPr>
              <w:ind w:firstLineChars="200" w:firstLine="480"/>
              <w:jc w:val="both"/>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hint="eastAsia"/>
                <w:sz w:val="24"/>
                <w:szCs w:val="24"/>
              </w:rPr>
              <w:t>）</w:t>
            </w:r>
            <w:r w:rsidRPr="00D14808">
              <w:rPr>
                <w:rFonts w:ascii="Times New Roman" w:eastAsia="宋体" w:hAnsi="Times New Roman"/>
                <w:sz w:val="24"/>
                <w:szCs w:val="24"/>
              </w:rPr>
              <w:t>JUSTAR-001</w:t>
            </w:r>
            <w:r w:rsidRPr="00D14808">
              <w:rPr>
                <w:rFonts w:ascii="Times New Roman" w:eastAsia="宋体" w:hAnsi="Times New Roman"/>
                <w:sz w:val="24"/>
                <w:szCs w:val="24"/>
              </w:rPr>
              <w:t>研究</w:t>
            </w:r>
            <w:r w:rsidR="005C7455" w:rsidRPr="005C7455">
              <w:rPr>
                <w:rFonts w:ascii="Times New Roman" w:eastAsia="宋体" w:hAnsi="Times New Roman" w:hint="eastAsia"/>
                <w:sz w:val="24"/>
                <w:szCs w:val="24"/>
              </w:rPr>
              <w:t>为</w:t>
            </w:r>
            <w:r w:rsidR="005C7455" w:rsidRPr="005C7455">
              <w:rPr>
                <w:rFonts w:ascii="Times New Roman" w:eastAsia="宋体" w:hAnsi="Times New Roman"/>
                <w:sz w:val="24"/>
                <w:szCs w:val="24"/>
              </w:rPr>
              <w:t>BTLA</w:t>
            </w:r>
            <w:r w:rsidR="005C7455" w:rsidRPr="005C7455">
              <w:rPr>
                <w:rFonts w:ascii="Times New Roman" w:eastAsia="宋体" w:hAnsi="Times New Roman"/>
                <w:sz w:val="24"/>
                <w:szCs w:val="24"/>
              </w:rPr>
              <w:t>靶</w:t>
            </w:r>
            <w:r w:rsidR="005C7455" w:rsidRPr="005C7455">
              <w:rPr>
                <w:rFonts w:ascii="Times New Roman" w:eastAsia="宋体" w:hAnsi="Times New Roman" w:hint="eastAsia"/>
                <w:sz w:val="24"/>
                <w:szCs w:val="24"/>
              </w:rPr>
              <w:t>点药物全球首个确证性研究，</w:t>
            </w:r>
            <w:r w:rsidR="00997DD1" w:rsidRPr="00997DD1">
              <w:rPr>
                <w:rFonts w:ascii="Times New Roman" w:eastAsia="宋体" w:hAnsi="Times New Roman" w:hint="eastAsia"/>
                <w:sz w:val="24"/>
                <w:szCs w:val="24"/>
              </w:rPr>
              <w:t>旨在评估</w:t>
            </w:r>
            <w:r w:rsidR="00997DD1" w:rsidRPr="00997DD1">
              <w:rPr>
                <w:rFonts w:ascii="Times New Roman" w:eastAsia="宋体" w:hAnsi="Times New Roman"/>
                <w:sz w:val="24"/>
                <w:szCs w:val="24"/>
              </w:rPr>
              <w:t>tifcemalimab</w:t>
            </w:r>
            <w:r w:rsidR="00997DD1" w:rsidRPr="00997DD1">
              <w:rPr>
                <w:rFonts w:ascii="Times New Roman" w:eastAsia="宋体" w:hAnsi="Times New Roman" w:hint="eastAsia"/>
                <w:sz w:val="24"/>
                <w:szCs w:val="24"/>
              </w:rPr>
              <w:t>联合特瑞普利单抗对比特瑞普利单抗单药及对比安慰剂用于同步放化疗后未进展的局限期小细胞肺癌（</w:t>
            </w:r>
            <w:r w:rsidR="00997DD1" w:rsidRPr="00997DD1">
              <w:rPr>
                <w:rFonts w:ascii="Times New Roman" w:eastAsia="宋体" w:hAnsi="Times New Roman"/>
                <w:sz w:val="24"/>
                <w:szCs w:val="24"/>
              </w:rPr>
              <w:t>LS-SCLC</w:t>
            </w:r>
            <w:r w:rsidR="00997DD1" w:rsidRPr="00997DD1">
              <w:rPr>
                <w:rFonts w:ascii="Times New Roman" w:eastAsia="宋体" w:hAnsi="Times New Roman"/>
                <w:sz w:val="24"/>
                <w:szCs w:val="24"/>
              </w:rPr>
              <w:t>）患者的</w:t>
            </w:r>
            <w:r w:rsidR="00997DD1" w:rsidRPr="00997DD1">
              <w:rPr>
                <w:rFonts w:ascii="Times New Roman" w:eastAsia="宋体" w:hAnsi="Times New Roman" w:hint="eastAsia"/>
                <w:sz w:val="24"/>
                <w:szCs w:val="24"/>
              </w:rPr>
              <w:t>巩固治疗的疗效和安全性</w:t>
            </w:r>
            <w:r w:rsidR="00997DD1">
              <w:rPr>
                <w:rFonts w:ascii="Times New Roman" w:eastAsia="宋体" w:hAnsi="Times New Roman" w:hint="eastAsia"/>
                <w:sz w:val="24"/>
                <w:szCs w:val="24"/>
              </w:rPr>
              <w:t>，目前</w:t>
            </w:r>
            <w:r w:rsidR="005C7455" w:rsidRPr="005C7455">
              <w:rPr>
                <w:rFonts w:ascii="Times New Roman" w:eastAsia="宋体" w:hAnsi="Times New Roman" w:hint="eastAsia"/>
                <w:sz w:val="24"/>
                <w:szCs w:val="24"/>
              </w:rPr>
              <w:t>中国大陆、中国台湾、美国、日本、格鲁吉亚、土耳其监管机构均已批准该研究的开展，研究已完成中国、美国、欧洲、日本四地的首例受试者入组（</w:t>
            </w:r>
            <w:r w:rsidR="005C7455" w:rsidRPr="005C7455">
              <w:rPr>
                <w:rFonts w:ascii="Times New Roman" w:eastAsia="宋体" w:hAnsi="Times New Roman"/>
                <w:sz w:val="24"/>
                <w:szCs w:val="24"/>
              </w:rPr>
              <w:t>FPI</w:t>
            </w:r>
            <w:r w:rsidR="005C7455" w:rsidRPr="005C7455">
              <w:rPr>
                <w:rFonts w:ascii="Times New Roman" w:eastAsia="宋体" w:hAnsi="Times New Roman"/>
                <w:sz w:val="24"/>
                <w:szCs w:val="24"/>
              </w:rPr>
              <w:t>）及首次</w:t>
            </w:r>
            <w:r w:rsidR="005C7455" w:rsidRPr="005C7455">
              <w:rPr>
                <w:rFonts w:ascii="Times New Roman" w:eastAsia="宋体" w:hAnsi="Times New Roman" w:hint="eastAsia"/>
                <w:sz w:val="24"/>
                <w:szCs w:val="24"/>
              </w:rPr>
              <w:t>给药，正在持续入组；</w:t>
            </w:r>
          </w:p>
          <w:p w14:paraId="22923CD7" w14:textId="09A1ABD1" w:rsidR="005C7455" w:rsidRPr="005C7455" w:rsidRDefault="006F13C6" w:rsidP="005C7455">
            <w:pPr>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2</w:t>
            </w:r>
            <w:r w:rsidR="00530123">
              <w:rPr>
                <w:rFonts w:ascii="Times New Roman" w:eastAsia="宋体" w:hAnsi="Times New Roman" w:hint="eastAsia"/>
                <w:sz w:val="24"/>
                <w:szCs w:val="24"/>
              </w:rPr>
              <w:t>）</w:t>
            </w:r>
            <w:r w:rsidR="005C7455" w:rsidRPr="005C7455">
              <w:rPr>
                <w:rFonts w:ascii="Times New Roman" w:eastAsia="宋体" w:hAnsi="Times New Roman"/>
                <w:sz w:val="24"/>
                <w:szCs w:val="24"/>
              </w:rPr>
              <w:t>JS004-009-III-cHL</w:t>
            </w:r>
            <w:r w:rsidR="005C7455" w:rsidRPr="005C7455">
              <w:rPr>
                <w:rFonts w:ascii="Times New Roman" w:eastAsia="宋体" w:hAnsi="Times New Roman"/>
                <w:sz w:val="24"/>
                <w:szCs w:val="24"/>
              </w:rPr>
              <w:t>研究（</w:t>
            </w:r>
            <w:r w:rsidR="005C7455" w:rsidRPr="005C7455">
              <w:rPr>
                <w:rFonts w:ascii="Times New Roman" w:eastAsia="宋体" w:hAnsi="Times New Roman"/>
                <w:sz w:val="24"/>
                <w:szCs w:val="24"/>
              </w:rPr>
              <w:t>NCT06170489</w:t>
            </w:r>
            <w:r w:rsidR="005C7455" w:rsidRPr="005C7455">
              <w:rPr>
                <w:rFonts w:ascii="Times New Roman" w:eastAsia="宋体" w:hAnsi="Times New Roman"/>
                <w:sz w:val="24"/>
                <w:szCs w:val="24"/>
              </w:rPr>
              <w:t>）</w:t>
            </w:r>
            <w:r w:rsidR="005C7455" w:rsidRPr="005C7455">
              <w:rPr>
                <w:rFonts w:ascii="Times New Roman" w:eastAsia="宋体" w:hAnsi="Times New Roman" w:hint="eastAsia"/>
                <w:sz w:val="24"/>
                <w:szCs w:val="24"/>
              </w:rPr>
              <w:t>旨在评估</w:t>
            </w:r>
            <w:r w:rsidR="005C7455" w:rsidRPr="005C7455">
              <w:rPr>
                <w:rFonts w:ascii="Times New Roman" w:eastAsia="宋体" w:hAnsi="Times New Roman"/>
                <w:sz w:val="24"/>
                <w:szCs w:val="24"/>
              </w:rPr>
              <w:t>tifcemalimab</w:t>
            </w:r>
            <w:r w:rsidR="005C7455" w:rsidRPr="005C7455">
              <w:rPr>
                <w:rFonts w:ascii="Times New Roman" w:eastAsia="宋体" w:hAnsi="Times New Roman" w:hint="eastAsia"/>
                <w:sz w:val="24"/>
                <w:szCs w:val="24"/>
              </w:rPr>
              <w:t>联合特瑞普利单抗对比研究者选择的化疗用于抗</w:t>
            </w:r>
            <w:r w:rsidR="005C7455" w:rsidRPr="005C7455">
              <w:rPr>
                <w:rFonts w:ascii="Times New Roman" w:eastAsia="宋体" w:hAnsi="Times New Roman"/>
                <w:sz w:val="24"/>
                <w:szCs w:val="24"/>
              </w:rPr>
              <w:t>PD-(L)1</w:t>
            </w:r>
            <w:r w:rsidR="005C7455" w:rsidRPr="005C7455">
              <w:rPr>
                <w:rFonts w:ascii="Times New Roman" w:eastAsia="宋体" w:hAnsi="Times New Roman" w:hint="eastAsia"/>
                <w:sz w:val="24"/>
                <w:szCs w:val="24"/>
              </w:rPr>
              <w:t>单抗难治性经典型霍奇金淋巴瘤（</w:t>
            </w:r>
            <w:r w:rsidR="005C7455" w:rsidRPr="005C7455">
              <w:rPr>
                <w:rFonts w:ascii="Times New Roman" w:eastAsia="宋体" w:hAnsi="Times New Roman"/>
                <w:sz w:val="24"/>
                <w:szCs w:val="24"/>
              </w:rPr>
              <w:t>cHL</w:t>
            </w:r>
            <w:r w:rsidR="005C7455" w:rsidRPr="005C7455">
              <w:rPr>
                <w:rFonts w:ascii="Times New Roman" w:eastAsia="宋体" w:hAnsi="Times New Roman"/>
                <w:sz w:val="24"/>
                <w:szCs w:val="24"/>
              </w:rPr>
              <w:t>）的</w:t>
            </w:r>
            <w:r w:rsidR="005C7455" w:rsidRPr="005C7455">
              <w:rPr>
                <w:rFonts w:ascii="Times New Roman" w:eastAsia="宋体" w:hAnsi="Times New Roman" w:hint="eastAsia"/>
                <w:sz w:val="24"/>
                <w:szCs w:val="24"/>
              </w:rPr>
              <w:t>疗效和安全性</w:t>
            </w:r>
            <w:r w:rsidR="00905A77">
              <w:rPr>
                <w:rFonts w:ascii="Times New Roman" w:eastAsia="宋体" w:hAnsi="Times New Roman" w:hint="eastAsia"/>
                <w:sz w:val="24"/>
                <w:szCs w:val="24"/>
              </w:rPr>
              <w:t>，</w:t>
            </w:r>
            <w:r w:rsidR="005C7455" w:rsidRPr="005C7455">
              <w:rPr>
                <w:rFonts w:ascii="Times New Roman" w:eastAsia="宋体" w:hAnsi="Times New Roman" w:hint="eastAsia"/>
                <w:sz w:val="24"/>
                <w:szCs w:val="24"/>
              </w:rPr>
              <w:t>是</w:t>
            </w:r>
            <w:r w:rsidR="005C7455" w:rsidRPr="005C7455">
              <w:rPr>
                <w:rFonts w:ascii="Times New Roman" w:eastAsia="宋体" w:hAnsi="Times New Roman"/>
                <w:sz w:val="24"/>
                <w:szCs w:val="24"/>
              </w:rPr>
              <w:t>BTLA</w:t>
            </w:r>
            <w:r w:rsidR="005C7455" w:rsidRPr="005C7455">
              <w:rPr>
                <w:rFonts w:ascii="Times New Roman" w:eastAsia="宋体" w:hAnsi="Times New Roman"/>
                <w:sz w:val="24"/>
                <w:szCs w:val="24"/>
              </w:rPr>
              <w:t>靶</w:t>
            </w:r>
            <w:r w:rsidR="005C7455" w:rsidRPr="005C7455">
              <w:rPr>
                <w:rFonts w:ascii="Times New Roman" w:eastAsia="宋体" w:hAnsi="Times New Roman" w:hint="eastAsia"/>
                <w:sz w:val="24"/>
                <w:szCs w:val="24"/>
              </w:rPr>
              <w:t>点药物在血液肿瘤领域的首个</w:t>
            </w:r>
            <w:r w:rsidR="005C7455" w:rsidRPr="005C7455">
              <w:rPr>
                <w:rFonts w:ascii="Times New Roman" w:eastAsia="宋体" w:hAnsi="Times New Roman"/>
                <w:sz w:val="24"/>
                <w:szCs w:val="24"/>
              </w:rPr>
              <w:t>III</w:t>
            </w:r>
            <w:r w:rsidR="005C7455" w:rsidRPr="005C7455">
              <w:rPr>
                <w:rFonts w:ascii="Times New Roman" w:eastAsia="宋体" w:hAnsi="Times New Roman"/>
                <w:sz w:val="24"/>
                <w:szCs w:val="24"/>
              </w:rPr>
              <w:t>期</w:t>
            </w:r>
            <w:r w:rsidR="005C7455" w:rsidRPr="005C7455">
              <w:rPr>
                <w:rFonts w:ascii="Times New Roman" w:eastAsia="宋体" w:hAnsi="Times New Roman" w:hint="eastAsia"/>
                <w:sz w:val="24"/>
                <w:szCs w:val="24"/>
              </w:rPr>
              <w:t>临床研究，计划在国内超过</w:t>
            </w:r>
            <w:r w:rsidR="005C7455" w:rsidRPr="005C7455">
              <w:rPr>
                <w:rFonts w:ascii="Times New Roman" w:eastAsia="宋体" w:hAnsi="Times New Roman"/>
                <w:sz w:val="24"/>
                <w:szCs w:val="24"/>
              </w:rPr>
              <w:t>50</w:t>
            </w:r>
            <w:r w:rsidR="005C7455" w:rsidRPr="005C7455">
              <w:rPr>
                <w:rFonts w:ascii="Times New Roman" w:eastAsia="宋体" w:hAnsi="Times New Roman" w:hint="eastAsia"/>
                <w:sz w:val="24"/>
                <w:szCs w:val="24"/>
              </w:rPr>
              <w:t>个研究中心开展，招募约</w:t>
            </w:r>
            <w:r w:rsidR="005C7455" w:rsidRPr="005C7455">
              <w:rPr>
                <w:rFonts w:ascii="Times New Roman" w:eastAsia="宋体" w:hAnsi="Times New Roman"/>
                <w:sz w:val="24"/>
                <w:szCs w:val="24"/>
              </w:rPr>
              <w:t>185</w:t>
            </w:r>
            <w:r w:rsidR="005C7455" w:rsidRPr="005C7455">
              <w:rPr>
                <w:rFonts w:ascii="Times New Roman" w:eastAsia="宋体" w:hAnsi="Times New Roman"/>
                <w:sz w:val="24"/>
                <w:szCs w:val="24"/>
              </w:rPr>
              <w:t>例患者，目前正在入</w:t>
            </w:r>
            <w:r w:rsidR="005C7455" w:rsidRPr="005C7455">
              <w:rPr>
                <w:rFonts w:ascii="Times New Roman" w:eastAsia="宋体" w:hAnsi="Times New Roman" w:hint="eastAsia"/>
                <w:sz w:val="24"/>
                <w:szCs w:val="24"/>
              </w:rPr>
              <w:t>组中。</w:t>
            </w:r>
          </w:p>
          <w:p w14:paraId="697E2B84" w14:textId="016E2775" w:rsidR="003856FB" w:rsidRDefault="005C7455" w:rsidP="005C7455">
            <w:pPr>
              <w:ind w:firstLineChars="200" w:firstLine="480"/>
              <w:jc w:val="both"/>
              <w:rPr>
                <w:rFonts w:ascii="Times New Roman" w:eastAsia="宋体" w:hAnsi="Times New Roman"/>
                <w:sz w:val="24"/>
                <w:szCs w:val="24"/>
              </w:rPr>
            </w:pPr>
            <w:r w:rsidRPr="005C7455">
              <w:rPr>
                <w:rFonts w:ascii="Times New Roman" w:eastAsia="宋体" w:hAnsi="Times New Roman" w:hint="eastAsia"/>
                <w:sz w:val="24"/>
                <w:szCs w:val="24"/>
              </w:rPr>
              <w:t>此外，多项</w:t>
            </w:r>
            <w:r w:rsidRPr="005C7455">
              <w:rPr>
                <w:rFonts w:ascii="Times New Roman" w:eastAsia="宋体" w:hAnsi="Times New Roman"/>
                <w:sz w:val="24"/>
                <w:szCs w:val="24"/>
              </w:rPr>
              <w:t>tifcemalimab</w:t>
            </w:r>
            <w:r w:rsidRPr="005C7455">
              <w:rPr>
                <w:rFonts w:ascii="Times New Roman" w:eastAsia="宋体" w:hAnsi="Times New Roman" w:hint="eastAsia"/>
                <w:sz w:val="24"/>
                <w:szCs w:val="24"/>
              </w:rPr>
              <w:t>联合特瑞普利单抗的</w:t>
            </w:r>
            <w:r w:rsidRPr="005C7455">
              <w:rPr>
                <w:rFonts w:ascii="Times New Roman" w:eastAsia="宋体" w:hAnsi="Times New Roman"/>
                <w:sz w:val="24"/>
                <w:szCs w:val="24"/>
              </w:rPr>
              <w:t>Ib/II</w:t>
            </w:r>
            <w:r w:rsidRPr="005C7455">
              <w:rPr>
                <w:rFonts w:ascii="Times New Roman" w:eastAsia="宋体" w:hAnsi="Times New Roman"/>
                <w:sz w:val="24"/>
                <w:szCs w:val="24"/>
              </w:rPr>
              <w:t>期</w:t>
            </w:r>
            <w:r w:rsidRPr="005C7455">
              <w:rPr>
                <w:rFonts w:ascii="Times New Roman" w:eastAsia="宋体" w:hAnsi="Times New Roman" w:hint="eastAsia"/>
                <w:sz w:val="24"/>
                <w:szCs w:val="24"/>
              </w:rPr>
              <w:t>临床研究正在中国和美国同步开展中</w:t>
            </w:r>
            <w:r w:rsidR="00260FBA" w:rsidRPr="00260FBA">
              <w:rPr>
                <w:rFonts w:ascii="Times New Roman" w:eastAsia="宋体" w:hAnsi="Times New Roman" w:hint="eastAsia"/>
                <w:sz w:val="24"/>
                <w:szCs w:val="24"/>
              </w:rPr>
              <w:t>。</w:t>
            </w:r>
          </w:p>
          <w:p w14:paraId="26992D70" w14:textId="04C1E54A" w:rsidR="00620C50" w:rsidRDefault="0029657E" w:rsidP="00620C50">
            <w:pPr>
              <w:ind w:firstLineChars="200" w:firstLine="480"/>
              <w:jc w:val="both"/>
              <w:rPr>
                <w:rFonts w:ascii="Times New Roman" w:eastAsia="宋体" w:hAnsi="Times New Roman"/>
                <w:sz w:val="24"/>
                <w:szCs w:val="24"/>
              </w:rPr>
            </w:pPr>
            <w:r>
              <w:rPr>
                <w:rFonts w:ascii="Times New Roman" w:eastAsia="宋体" w:hAnsi="Times New Roman"/>
                <w:sz w:val="24"/>
                <w:szCs w:val="24"/>
              </w:rPr>
              <w:t>4</w:t>
            </w:r>
            <w:r w:rsidR="00620C50">
              <w:rPr>
                <w:rFonts w:ascii="Times New Roman" w:eastAsia="宋体" w:hAnsi="Times New Roman" w:hint="eastAsia"/>
                <w:sz w:val="24"/>
                <w:szCs w:val="24"/>
              </w:rPr>
              <w:t>、</w:t>
            </w:r>
            <w:r w:rsidR="009D2AA9" w:rsidRPr="009D2AA9">
              <w:rPr>
                <w:rFonts w:ascii="Times New Roman" w:eastAsia="宋体" w:hAnsi="Times New Roman" w:hint="eastAsia"/>
                <w:sz w:val="24"/>
                <w:szCs w:val="24"/>
              </w:rPr>
              <w:t>重组人源化抗</w:t>
            </w:r>
            <w:r w:rsidR="009D2AA9" w:rsidRPr="009D2AA9">
              <w:rPr>
                <w:rFonts w:ascii="Times New Roman" w:eastAsia="宋体" w:hAnsi="Times New Roman"/>
                <w:sz w:val="24"/>
                <w:szCs w:val="24"/>
              </w:rPr>
              <w:t>IL-17A</w:t>
            </w:r>
            <w:r w:rsidR="009D2AA9" w:rsidRPr="009D2AA9">
              <w:rPr>
                <w:rFonts w:ascii="Times New Roman" w:eastAsia="宋体" w:hAnsi="Times New Roman" w:hint="eastAsia"/>
                <w:sz w:val="24"/>
                <w:szCs w:val="24"/>
              </w:rPr>
              <w:t>单克隆抗体（代号</w:t>
            </w:r>
            <w:r w:rsidR="009D2AA9" w:rsidRPr="009D2AA9">
              <w:rPr>
                <w:rFonts w:ascii="Times New Roman" w:eastAsia="宋体" w:hAnsi="Times New Roman"/>
                <w:sz w:val="24"/>
                <w:szCs w:val="24"/>
              </w:rPr>
              <w:t>JS005</w:t>
            </w:r>
            <w:r w:rsidR="009D2AA9" w:rsidRPr="009D2AA9">
              <w:rPr>
                <w:rFonts w:ascii="Times New Roman" w:eastAsia="宋体" w:hAnsi="Times New Roman"/>
                <w:sz w:val="24"/>
                <w:szCs w:val="24"/>
              </w:rPr>
              <w:t>）</w:t>
            </w:r>
          </w:p>
          <w:p w14:paraId="1A6322C6" w14:textId="3D7ACB97" w:rsidR="00603703" w:rsidRDefault="00E64DB2" w:rsidP="00E64DB2">
            <w:pPr>
              <w:ind w:firstLineChars="200" w:firstLine="480"/>
              <w:jc w:val="both"/>
              <w:rPr>
                <w:rFonts w:ascii="Times New Roman" w:eastAsia="宋体" w:hAnsi="Times New Roman"/>
                <w:sz w:val="24"/>
                <w:szCs w:val="24"/>
              </w:rPr>
            </w:pPr>
            <w:r w:rsidRPr="00E64DB2">
              <w:rPr>
                <w:rFonts w:ascii="Times New Roman" w:eastAsia="宋体" w:hAnsi="Times New Roman"/>
                <w:sz w:val="24"/>
                <w:szCs w:val="24"/>
              </w:rPr>
              <w:t>JS005</w:t>
            </w:r>
            <w:r w:rsidRPr="00E64DB2">
              <w:rPr>
                <w:rFonts w:ascii="Times New Roman" w:eastAsia="宋体" w:hAnsi="Times New Roman" w:hint="eastAsia"/>
                <w:sz w:val="24"/>
                <w:szCs w:val="24"/>
              </w:rPr>
              <w:t>针对中重度斑块状银屑病正在开展</w:t>
            </w:r>
            <w:r w:rsidRPr="00E64DB2">
              <w:rPr>
                <w:rFonts w:ascii="Times New Roman" w:eastAsia="宋体" w:hAnsi="Times New Roman"/>
                <w:sz w:val="24"/>
                <w:szCs w:val="24"/>
              </w:rPr>
              <w:t>III</w:t>
            </w:r>
            <w:r w:rsidRPr="00E64DB2">
              <w:rPr>
                <w:rFonts w:ascii="Times New Roman" w:eastAsia="宋体" w:hAnsi="Times New Roman"/>
                <w:sz w:val="24"/>
                <w:szCs w:val="24"/>
              </w:rPr>
              <w:t>期注</w:t>
            </w:r>
            <w:r w:rsidRPr="00E64DB2">
              <w:rPr>
                <w:rFonts w:ascii="Times New Roman" w:eastAsia="宋体" w:hAnsi="Times New Roman" w:hint="eastAsia"/>
                <w:sz w:val="24"/>
                <w:szCs w:val="24"/>
              </w:rPr>
              <w:t>册临床研究，截至</w:t>
            </w:r>
            <w:r w:rsidR="00696787">
              <w:rPr>
                <w:rFonts w:ascii="Times New Roman" w:eastAsia="宋体" w:hAnsi="Times New Roman" w:hint="eastAsia"/>
                <w:sz w:val="24"/>
                <w:szCs w:val="24"/>
              </w:rPr>
              <w:t>目前</w:t>
            </w:r>
            <w:r w:rsidRPr="00E64DB2">
              <w:rPr>
                <w:rFonts w:ascii="Times New Roman" w:eastAsia="宋体" w:hAnsi="Times New Roman" w:hint="eastAsia"/>
                <w:sz w:val="24"/>
                <w:szCs w:val="24"/>
              </w:rPr>
              <w:t>已完成所有受试者入组，正在随访中。</w:t>
            </w:r>
          </w:p>
          <w:p w14:paraId="42577186" w14:textId="43D76501" w:rsidR="00B52924" w:rsidRDefault="00620B05" w:rsidP="00620B05">
            <w:pPr>
              <w:ind w:firstLineChars="200" w:firstLine="480"/>
              <w:jc w:val="both"/>
              <w:rPr>
                <w:rFonts w:ascii="Times New Roman" w:eastAsia="宋体" w:hAnsi="Times New Roman"/>
                <w:sz w:val="24"/>
                <w:szCs w:val="24"/>
              </w:rPr>
            </w:pPr>
            <w:r w:rsidRPr="00620B05">
              <w:rPr>
                <w:rFonts w:ascii="Times New Roman" w:eastAsia="宋体" w:hAnsi="Times New Roman" w:hint="eastAsia"/>
                <w:sz w:val="24"/>
                <w:szCs w:val="24"/>
              </w:rPr>
              <w:t>早期阶段管线方面，公司将继续重点推进</w:t>
            </w:r>
            <w:r w:rsidRPr="00620B05">
              <w:rPr>
                <w:rFonts w:ascii="Times New Roman" w:eastAsia="宋体" w:hAnsi="Times New Roman"/>
                <w:sz w:val="24"/>
                <w:szCs w:val="24"/>
              </w:rPr>
              <w:t>Claudin18.2 ADC</w:t>
            </w:r>
            <w:r w:rsidRPr="00620B05">
              <w:rPr>
                <w:rFonts w:ascii="Times New Roman" w:eastAsia="宋体" w:hAnsi="Times New Roman" w:hint="eastAsia"/>
                <w:sz w:val="24"/>
                <w:szCs w:val="24"/>
              </w:rPr>
              <w:t>药物（代号：</w:t>
            </w:r>
            <w:r w:rsidRPr="00620B05">
              <w:rPr>
                <w:rFonts w:ascii="Times New Roman" w:eastAsia="宋体" w:hAnsi="Times New Roman"/>
                <w:sz w:val="24"/>
                <w:szCs w:val="24"/>
              </w:rPr>
              <w:t>JS107</w:t>
            </w:r>
            <w:r w:rsidRPr="00620B05">
              <w:rPr>
                <w:rFonts w:ascii="Times New Roman" w:eastAsia="宋体" w:hAnsi="Times New Roman"/>
                <w:sz w:val="24"/>
                <w:szCs w:val="24"/>
              </w:rPr>
              <w:t>）、</w:t>
            </w:r>
            <w:r w:rsidRPr="00620B05">
              <w:rPr>
                <w:rFonts w:ascii="Times New Roman" w:eastAsia="宋体" w:hAnsi="Times New Roman"/>
                <w:sz w:val="24"/>
                <w:szCs w:val="24"/>
              </w:rPr>
              <w:t>PI3K-α</w:t>
            </w:r>
            <w:r w:rsidRPr="00620B05">
              <w:rPr>
                <w:rFonts w:ascii="Times New Roman" w:eastAsia="宋体" w:hAnsi="Times New Roman"/>
                <w:sz w:val="24"/>
                <w:szCs w:val="24"/>
              </w:rPr>
              <w:t>口</w:t>
            </w:r>
            <w:r w:rsidRPr="00620B05">
              <w:rPr>
                <w:rFonts w:ascii="Times New Roman" w:eastAsia="宋体" w:hAnsi="Times New Roman" w:hint="eastAsia"/>
                <w:sz w:val="24"/>
                <w:szCs w:val="24"/>
              </w:rPr>
              <w:t>服小分子抑制剂（代号：</w:t>
            </w:r>
            <w:r w:rsidRPr="00620B05">
              <w:rPr>
                <w:rFonts w:ascii="Times New Roman" w:eastAsia="宋体" w:hAnsi="Times New Roman"/>
                <w:sz w:val="24"/>
                <w:szCs w:val="24"/>
              </w:rPr>
              <w:t>JS105</w:t>
            </w:r>
            <w:r w:rsidRPr="00620B05">
              <w:rPr>
                <w:rFonts w:ascii="Times New Roman" w:eastAsia="宋体" w:hAnsi="Times New Roman"/>
                <w:sz w:val="24"/>
                <w:szCs w:val="24"/>
              </w:rPr>
              <w:t>）、</w:t>
            </w:r>
            <w:r w:rsidRPr="00620B05">
              <w:rPr>
                <w:rFonts w:ascii="Times New Roman" w:eastAsia="宋体" w:hAnsi="Times New Roman"/>
                <w:sz w:val="24"/>
                <w:szCs w:val="24"/>
              </w:rPr>
              <w:t>CD20/CD3</w:t>
            </w:r>
            <w:r w:rsidRPr="00620B05">
              <w:rPr>
                <w:rFonts w:ascii="Times New Roman" w:eastAsia="宋体" w:hAnsi="Times New Roman" w:hint="eastAsia"/>
                <w:sz w:val="24"/>
                <w:szCs w:val="24"/>
              </w:rPr>
              <w:t>双特异性抗体（代号：</w:t>
            </w:r>
            <w:r w:rsidRPr="00620B05">
              <w:rPr>
                <w:rFonts w:ascii="Times New Roman" w:eastAsia="宋体" w:hAnsi="Times New Roman"/>
                <w:sz w:val="24"/>
                <w:szCs w:val="24"/>
              </w:rPr>
              <w:t>JS203</w:t>
            </w:r>
            <w:r w:rsidRPr="00620B05">
              <w:rPr>
                <w:rFonts w:ascii="Times New Roman" w:eastAsia="宋体" w:hAnsi="Times New Roman"/>
                <w:sz w:val="24"/>
                <w:szCs w:val="24"/>
              </w:rPr>
              <w:t>）、</w:t>
            </w:r>
            <w:r w:rsidRPr="00620B05">
              <w:rPr>
                <w:rFonts w:ascii="Times New Roman" w:eastAsia="宋体" w:hAnsi="Times New Roman"/>
                <w:sz w:val="24"/>
                <w:szCs w:val="24"/>
              </w:rPr>
              <w:t>PD-1/VEGF</w:t>
            </w:r>
            <w:r w:rsidRPr="00620B05">
              <w:rPr>
                <w:rFonts w:ascii="Times New Roman" w:eastAsia="宋体" w:hAnsi="Times New Roman" w:hint="eastAsia"/>
                <w:sz w:val="24"/>
                <w:szCs w:val="24"/>
              </w:rPr>
              <w:t>双特异性抗体（代号：</w:t>
            </w:r>
            <w:r w:rsidRPr="00620B05">
              <w:rPr>
                <w:rFonts w:ascii="Times New Roman" w:eastAsia="宋体" w:hAnsi="Times New Roman"/>
                <w:sz w:val="24"/>
                <w:szCs w:val="24"/>
              </w:rPr>
              <w:t>JS207</w:t>
            </w:r>
            <w:r w:rsidRPr="00620B05">
              <w:rPr>
                <w:rFonts w:ascii="Times New Roman" w:eastAsia="宋体" w:hAnsi="Times New Roman"/>
                <w:sz w:val="24"/>
                <w:szCs w:val="24"/>
              </w:rPr>
              <w:t>）、抗</w:t>
            </w:r>
            <w:r w:rsidRPr="00620B05">
              <w:rPr>
                <w:rFonts w:ascii="Times New Roman" w:eastAsia="宋体" w:hAnsi="Times New Roman"/>
                <w:sz w:val="24"/>
                <w:szCs w:val="24"/>
              </w:rPr>
              <w:t>DKK1</w:t>
            </w:r>
            <w:r w:rsidRPr="00620B05">
              <w:rPr>
                <w:rFonts w:ascii="Times New Roman" w:eastAsia="宋体" w:hAnsi="Times New Roman" w:hint="eastAsia"/>
                <w:sz w:val="24"/>
                <w:szCs w:val="24"/>
              </w:rPr>
              <w:t>单克隆抗体（代号：</w:t>
            </w:r>
            <w:r w:rsidRPr="00620B05">
              <w:rPr>
                <w:rFonts w:ascii="Times New Roman" w:eastAsia="宋体" w:hAnsi="Times New Roman"/>
                <w:sz w:val="24"/>
                <w:szCs w:val="24"/>
              </w:rPr>
              <w:t>JS015</w:t>
            </w:r>
            <w:r w:rsidRPr="00620B05">
              <w:rPr>
                <w:rFonts w:ascii="Times New Roman" w:eastAsia="宋体" w:hAnsi="Times New Roman"/>
                <w:sz w:val="24"/>
                <w:szCs w:val="24"/>
              </w:rPr>
              <w:t>）等</w:t>
            </w:r>
            <w:r w:rsidRPr="00620B05">
              <w:rPr>
                <w:rFonts w:ascii="Times New Roman" w:eastAsia="宋体" w:hAnsi="Times New Roman" w:hint="eastAsia"/>
                <w:sz w:val="24"/>
                <w:szCs w:val="24"/>
              </w:rPr>
              <w:t>产品。在探索过程中，除了密切跟踪相关适应症的临床数据外，公司亦将关注未被满足的临床需求，尽快推动更多优势产品和适应症进入注册临床试验阶段</w:t>
            </w:r>
            <w:r w:rsidR="0054170A">
              <w:rPr>
                <w:rFonts w:ascii="Times New Roman" w:eastAsia="宋体" w:hAnsi="Times New Roman" w:hint="eastAsia"/>
                <w:sz w:val="24"/>
                <w:szCs w:val="24"/>
              </w:rPr>
              <w:t>。</w:t>
            </w:r>
          </w:p>
          <w:p w14:paraId="73F8A413" w14:textId="07EAA573" w:rsidR="00B63EF3" w:rsidRDefault="00B63EF3" w:rsidP="00B63EF3">
            <w:pPr>
              <w:ind w:firstLineChars="200" w:firstLine="482"/>
              <w:rPr>
                <w:rFonts w:ascii="Times New Roman" w:eastAsia="宋体" w:hAnsi="Times New Roman"/>
                <w:b/>
                <w:sz w:val="24"/>
                <w:szCs w:val="24"/>
              </w:rPr>
            </w:pPr>
            <w:r>
              <w:rPr>
                <w:rFonts w:ascii="Times New Roman" w:eastAsia="宋体" w:hAnsi="Times New Roman" w:hint="eastAsia"/>
                <w:b/>
                <w:sz w:val="24"/>
                <w:szCs w:val="24"/>
              </w:rPr>
              <w:lastRenderedPageBreak/>
              <w:t>（三）国际化进展</w:t>
            </w:r>
          </w:p>
          <w:p w14:paraId="68D997E3" w14:textId="0CF7A0DF" w:rsidR="006C71FF" w:rsidRPr="006C71FF" w:rsidRDefault="006C71FF" w:rsidP="006C71FF">
            <w:pPr>
              <w:ind w:firstLineChars="200" w:firstLine="480"/>
              <w:jc w:val="both"/>
              <w:rPr>
                <w:rFonts w:ascii="Times New Roman" w:eastAsia="宋体" w:hAnsi="Times New Roman"/>
                <w:sz w:val="24"/>
                <w:szCs w:val="24"/>
              </w:rPr>
            </w:pPr>
            <w:r w:rsidRPr="006C71FF">
              <w:rPr>
                <w:rFonts w:ascii="Times New Roman" w:eastAsia="宋体" w:hAnsi="Times New Roman"/>
                <w:sz w:val="24"/>
                <w:szCs w:val="24"/>
              </w:rPr>
              <w:t>2024</w:t>
            </w:r>
            <w:r w:rsidRPr="006C71FF">
              <w:rPr>
                <w:rFonts w:ascii="Times New Roman" w:eastAsia="宋体" w:hAnsi="Times New Roman"/>
                <w:sz w:val="24"/>
                <w:szCs w:val="24"/>
              </w:rPr>
              <w:t>年</w:t>
            </w:r>
            <w:r w:rsidRPr="006C71FF">
              <w:rPr>
                <w:rFonts w:ascii="Times New Roman" w:eastAsia="宋体" w:hAnsi="Times New Roman"/>
                <w:sz w:val="24"/>
                <w:szCs w:val="24"/>
              </w:rPr>
              <w:t>1</w:t>
            </w:r>
            <w:r w:rsidRPr="006C71FF">
              <w:rPr>
                <w:rFonts w:ascii="Times New Roman" w:eastAsia="宋体" w:hAnsi="Times New Roman"/>
                <w:sz w:val="24"/>
                <w:szCs w:val="24"/>
              </w:rPr>
              <w:t>月，公司合作伙伴</w:t>
            </w:r>
            <w:r w:rsidRPr="006C71FF">
              <w:rPr>
                <w:rFonts w:ascii="Times New Roman" w:eastAsia="宋体" w:hAnsi="Times New Roman"/>
                <w:sz w:val="24"/>
                <w:szCs w:val="24"/>
              </w:rPr>
              <w:t>Coherus</w:t>
            </w:r>
            <w:r w:rsidRPr="006C71FF">
              <w:rPr>
                <w:rFonts w:ascii="Times New Roman" w:eastAsia="宋体" w:hAnsi="Times New Roman"/>
                <w:sz w:val="24"/>
                <w:szCs w:val="24"/>
              </w:rPr>
              <w:t>宣布特瑞普利</w:t>
            </w:r>
            <w:r w:rsidRPr="006C71FF">
              <w:rPr>
                <w:rFonts w:ascii="Times New Roman" w:eastAsia="宋体" w:hAnsi="Times New Roman" w:hint="eastAsia"/>
                <w:sz w:val="24"/>
                <w:szCs w:val="24"/>
              </w:rPr>
              <w:t>单抗已可以在美国获取及使用，目前可在全部</w:t>
            </w:r>
            <w:r w:rsidRPr="006C71FF">
              <w:rPr>
                <w:rFonts w:ascii="Times New Roman" w:eastAsia="宋体" w:hAnsi="Times New Roman"/>
                <w:sz w:val="24"/>
                <w:szCs w:val="24"/>
              </w:rPr>
              <w:t>33</w:t>
            </w:r>
            <w:r w:rsidRPr="006C71FF">
              <w:rPr>
                <w:rFonts w:ascii="Times New Roman" w:eastAsia="宋体" w:hAnsi="Times New Roman"/>
                <w:sz w:val="24"/>
                <w:szCs w:val="24"/>
              </w:rPr>
              <w:t>家</w:t>
            </w:r>
            <w:r w:rsidR="00C34D12" w:rsidRPr="00C34D12">
              <w:rPr>
                <w:rFonts w:ascii="Times New Roman" w:eastAsia="宋体" w:hAnsi="Times New Roman" w:hint="eastAsia"/>
                <w:sz w:val="24"/>
                <w:szCs w:val="24"/>
              </w:rPr>
              <w:t>美国国立综合癌症网络</w:t>
            </w:r>
            <w:r w:rsidR="00C34D12">
              <w:rPr>
                <w:rFonts w:ascii="Times New Roman" w:eastAsia="宋体" w:hAnsi="Times New Roman" w:hint="eastAsia"/>
                <w:sz w:val="24"/>
                <w:szCs w:val="24"/>
              </w:rPr>
              <w:t>（</w:t>
            </w:r>
            <w:r w:rsidRPr="006C71FF">
              <w:rPr>
                <w:rFonts w:ascii="Times New Roman" w:eastAsia="宋体" w:hAnsi="Times New Roman"/>
                <w:sz w:val="24"/>
                <w:szCs w:val="24"/>
              </w:rPr>
              <w:t>NCCN</w:t>
            </w:r>
            <w:r w:rsidR="00C34D12">
              <w:rPr>
                <w:rFonts w:ascii="Times New Roman" w:eastAsia="宋体" w:hAnsi="Times New Roman" w:hint="eastAsia"/>
                <w:sz w:val="24"/>
                <w:szCs w:val="24"/>
              </w:rPr>
              <w:t>）</w:t>
            </w:r>
            <w:r w:rsidRPr="006C71FF">
              <w:rPr>
                <w:rFonts w:ascii="Times New Roman" w:eastAsia="宋体" w:hAnsi="Times New Roman"/>
                <w:sz w:val="24"/>
                <w:szCs w:val="24"/>
              </w:rPr>
              <w:t>指定癌症中心</w:t>
            </w:r>
            <w:r w:rsidRPr="006C71FF">
              <w:rPr>
                <w:rFonts w:ascii="Times New Roman" w:eastAsia="宋体" w:hAnsi="Times New Roman" w:hint="eastAsia"/>
                <w:sz w:val="24"/>
                <w:szCs w:val="24"/>
              </w:rPr>
              <w:t>订购。特瑞普利单抗于海外其他国家和地区的上市申请进程亦在稳步进行：</w:t>
            </w:r>
          </w:p>
          <w:p w14:paraId="7EA4D386" w14:textId="0390B1A4" w:rsidR="006C71FF" w:rsidRPr="006C71FF" w:rsidRDefault="007D7F1C" w:rsidP="006C71FF">
            <w:pPr>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w:t>
            </w:r>
            <w:r w:rsidR="006C71FF" w:rsidRPr="006C71FF">
              <w:rPr>
                <w:rFonts w:ascii="Times New Roman" w:eastAsia="宋体" w:hAnsi="Times New Roman"/>
                <w:sz w:val="24"/>
                <w:szCs w:val="24"/>
              </w:rPr>
              <w:t>通</w:t>
            </w:r>
            <w:r w:rsidR="006C71FF" w:rsidRPr="006C71FF">
              <w:rPr>
                <w:rFonts w:ascii="Times New Roman" w:eastAsia="宋体" w:hAnsi="Times New Roman" w:hint="eastAsia"/>
                <w:sz w:val="24"/>
                <w:szCs w:val="24"/>
              </w:rPr>
              <w:t>过奥比斯项目（</w:t>
            </w:r>
            <w:r w:rsidR="006C71FF" w:rsidRPr="006C71FF">
              <w:rPr>
                <w:rFonts w:ascii="Times New Roman" w:eastAsia="宋体" w:hAnsi="Times New Roman"/>
                <w:sz w:val="24"/>
                <w:szCs w:val="24"/>
              </w:rPr>
              <w:t>Project Orbis</w:t>
            </w:r>
            <w:r w:rsidR="006C71FF" w:rsidRPr="006C71FF">
              <w:rPr>
                <w:rFonts w:ascii="Times New Roman" w:eastAsia="宋体" w:hAnsi="Times New Roman"/>
                <w:sz w:val="24"/>
                <w:szCs w:val="24"/>
              </w:rPr>
              <w:t>），特瑞普利</w:t>
            </w:r>
            <w:r w:rsidR="006C71FF" w:rsidRPr="006C71FF">
              <w:rPr>
                <w:rFonts w:ascii="Times New Roman" w:eastAsia="宋体" w:hAnsi="Times New Roman" w:hint="eastAsia"/>
                <w:sz w:val="24"/>
                <w:szCs w:val="24"/>
              </w:rPr>
              <w:t>单抗</w:t>
            </w:r>
            <w:r w:rsidR="00FD340E">
              <w:rPr>
                <w:rFonts w:ascii="Times New Roman" w:eastAsia="宋体" w:hAnsi="Times New Roman" w:hint="eastAsia"/>
                <w:sz w:val="24"/>
                <w:szCs w:val="24"/>
              </w:rPr>
              <w:t>用于</w:t>
            </w:r>
            <w:r w:rsidR="002A7D9D">
              <w:rPr>
                <w:rFonts w:ascii="Times New Roman" w:eastAsia="宋体" w:hAnsi="Times New Roman" w:hint="eastAsia"/>
                <w:sz w:val="24"/>
                <w:szCs w:val="24"/>
              </w:rPr>
              <w:t>治疗鼻咽癌</w:t>
            </w:r>
            <w:r w:rsidR="006C71FF" w:rsidRPr="006C71FF">
              <w:rPr>
                <w:rFonts w:ascii="Times New Roman" w:eastAsia="宋体" w:hAnsi="Times New Roman" w:hint="eastAsia"/>
                <w:sz w:val="24"/>
                <w:szCs w:val="24"/>
              </w:rPr>
              <w:t>的上市许可申请已分别获得</w:t>
            </w:r>
            <w:r w:rsidR="00872120" w:rsidRPr="00872120">
              <w:rPr>
                <w:rFonts w:ascii="Times New Roman" w:eastAsia="宋体" w:hAnsi="Times New Roman" w:hint="eastAsia"/>
                <w:sz w:val="24"/>
                <w:szCs w:val="24"/>
              </w:rPr>
              <w:t>澳大利亚药品管理局</w:t>
            </w:r>
            <w:r w:rsidR="00872120">
              <w:rPr>
                <w:rFonts w:ascii="Times New Roman" w:eastAsia="宋体" w:hAnsi="Times New Roman" w:hint="eastAsia"/>
                <w:sz w:val="24"/>
                <w:szCs w:val="24"/>
              </w:rPr>
              <w:t>（</w:t>
            </w:r>
            <w:r w:rsidR="006C71FF" w:rsidRPr="006C71FF">
              <w:rPr>
                <w:rFonts w:ascii="Times New Roman" w:eastAsia="宋体" w:hAnsi="Times New Roman"/>
                <w:sz w:val="24"/>
                <w:szCs w:val="24"/>
              </w:rPr>
              <w:t>TGA</w:t>
            </w:r>
            <w:r w:rsidR="00872120">
              <w:rPr>
                <w:rFonts w:ascii="Times New Roman" w:eastAsia="宋体" w:hAnsi="Times New Roman" w:hint="eastAsia"/>
                <w:sz w:val="24"/>
                <w:szCs w:val="24"/>
              </w:rPr>
              <w:t>）</w:t>
            </w:r>
            <w:r w:rsidR="006C71FF" w:rsidRPr="006C71FF">
              <w:rPr>
                <w:rFonts w:ascii="Times New Roman" w:eastAsia="宋体" w:hAnsi="Times New Roman"/>
                <w:sz w:val="24"/>
                <w:szCs w:val="24"/>
              </w:rPr>
              <w:t>、</w:t>
            </w:r>
            <w:r w:rsidR="009A3416" w:rsidRPr="009A3416">
              <w:rPr>
                <w:rFonts w:ascii="Times New Roman" w:eastAsia="宋体" w:hAnsi="Times New Roman" w:hint="eastAsia"/>
                <w:sz w:val="24"/>
                <w:szCs w:val="24"/>
              </w:rPr>
              <w:t>新加坡卫生科学局</w:t>
            </w:r>
            <w:r w:rsidR="00872120">
              <w:rPr>
                <w:rFonts w:ascii="Times New Roman" w:eastAsia="宋体" w:hAnsi="Times New Roman" w:hint="eastAsia"/>
                <w:sz w:val="24"/>
                <w:szCs w:val="24"/>
              </w:rPr>
              <w:t>（</w:t>
            </w:r>
            <w:r w:rsidR="006C71FF" w:rsidRPr="006C71FF">
              <w:rPr>
                <w:rFonts w:ascii="Times New Roman" w:eastAsia="宋体" w:hAnsi="Times New Roman"/>
                <w:sz w:val="24"/>
                <w:szCs w:val="24"/>
              </w:rPr>
              <w:t>HSA</w:t>
            </w:r>
            <w:r w:rsidR="00872120">
              <w:rPr>
                <w:rFonts w:ascii="Times New Roman" w:eastAsia="宋体" w:hAnsi="Times New Roman" w:hint="eastAsia"/>
                <w:sz w:val="24"/>
                <w:szCs w:val="24"/>
              </w:rPr>
              <w:t>）</w:t>
            </w:r>
            <w:r w:rsidR="006C71FF" w:rsidRPr="006C71FF">
              <w:rPr>
                <w:rFonts w:ascii="Times New Roman" w:eastAsia="宋体" w:hAnsi="Times New Roman"/>
                <w:sz w:val="24"/>
                <w:szCs w:val="24"/>
              </w:rPr>
              <w:t>的受理。此外，特瑞普利</w:t>
            </w:r>
            <w:r w:rsidR="006C71FF" w:rsidRPr="006C71FF">
              <w:rPr>
                <w:rFonts w:ascii="Times New Roman" w:eastAsia="宋体" w:hAnsi="Times New Roman" w:hint="eastAsia"/>
                <w:sz w:val="24"/>
                <w:szCs w:val="24"/>
              </w:rPr>
              <w:t>单抗用于治疗鼻咽癌还获得了</w:t>
            </w:r>
            <w:r w:rsidR="006C71FF" w:rsidRPr="006C71FF">
              <w:rPr>
                <w:rFonts w:ascii="Times New Roman" w:eastAsia="宋体" w:hAnsi="Times New Roman"/>
                <w:sz w:val="24"/>
                <w:szCs w:val="24"/>
              </w:rPr>
              <w:t>TGA</w:t>
            </w:r>
            <w:r w:rsidR="006C71FF" w:rsidRPr="006C71FF">
              <w:rPr>
                <w:rFonts w:ascii="Times New Roman" w:eastAsia="宋体" w:hAnsi="Times New Roman"/>
                <w:sz w:val="24"/>
                <w:szCs w:val="24"/>
              </w:rPr>
              <w:t>授予的孤儿</w:t>
            </w:r>
            <w:r w:rsidR="006C71FF" w:rsidRPr="006C71FF">
              <w:rPr>
                <w:rFonts w:ascii="Times New Roman" w:eastAsia="宋体" w:hAnsi="Times New Roman" w:hint="eastAsia"/>
                <w:sz w:val="24"/>
                <w:szCs w:val="24"/>
              </w:rPr>
              <w:t>药资格认定、</w:t>
            </w:r>
            <w:r w:rsidR="006C71FF" w:rsidRPr="006C71FF">
              <w:rPr>
                <w:rFonts w:ascii="Times New Roman" w:eastAsia="宋体" w:hAnsi="Times New Roman"/>
                <w:sz w:val="24"/>
                <w:szCs w:val="24"/>
              </w:rPr>
              <w:t>HSA</w:t>
            </w:r>
            <w:r w:rsidR="006C71FF" w:rsidRPr="006C71FF">
              <w:rPr>
                <w:rFonts w:ascii="Times New Roman" w:eastAsia="宋体" w:hAnsi="Times New Roman"/>
                <w:sz w:val="24"/>
                <w:szCs w:val="24"/>
              </w:rPr>
              <w:t>授予的优先</w:t>
            </w:r>
            <w:r w:rsidR="006C71FF" w:rsidRPr="006C71FF">
              <w:rPr>
                <w:rFonts w:ascii="Times New Roman" w:eastAsia="宋体" w:hAnsi="Times New Roman" w:hint="eastAsia"/>
                <w:sz w:val="24"/>
                <w:szCs w:val="24"/>
              </w:rPr>
              <w:t>审评认定。在奥比斯项目的工作框架下，国际监管机构间的合作有助于肿瘤患者更早地获得来自其他国家的新疗法。特瑞普利单抗是首个被纳入奥比斯项目的国产肿瘤药，公司将在</w:t>
            </w:r>
            <w:r w:rsidR="006C71FF" w:rsidRPr="006C71FF">
              <w:rPr>
                <w:rFonts w:ascii="Times New Roman" w:eastAsia="宋体" w:hAnsi="Times New Roman"/>
                <w:sz w:val="24"/>
                <w:szCs w:val="24"/>
              </w:rPr>
              <w:t>多</w:t>
            </w:r>
            <w:r w:rsidR="006C71FF" w:rsidRPr="006C71FF">
              <w:rPr>
                <w:rFonts w:ascii="Times New Roman" w:eastAsia="宋体" w:hAnsi="Times New Roman" w:hint="eastAsia"/>
                <w:sz w:val="24"/>
                <w:szCs w:val="24"/>
              </w:rPr>
              <w:t>个适用该路径的国家和地区探索快速上市的可能。</w:t>
            </w:r>
          </w:p>
          <w:p w14:paraId="1453C9BF" w14:textId="053D8CBC" w:rsidR="006C71FF" w:rsidRPr="00B3243C" w:rsidRDefault="007D7F1C" w:rsidP="006C71FF">
            <w:pPr>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2</w:t>
            </w:r>
            <w:r>
              <w:rPr>
                <w:rFonts w:ascii="Times New Roman" w:eastAsia="宋体" w:hAnsi="Times New Roman" w:hint="eastAsia"/>
                <w:sz w:val="24"/>
                <w:szCs w:val="24"/>
              </w:rPr>
              <w:t>）</w:t>
            </w:r>
            <w:r w:rsidR="006C71FF" w:rsidRPr="006C71FF">
              <w:rPr>
                <w:rFonts w:ascii="Times New Roman" w:eastAsia="宋体" w:hAnsi="Times New Roman"/>
                <w:sz w:val="24"/>
                <w:szCs w:val="24"/>
              </w:rPr>
              <w:t>2024</w:t>
            </w:r>
            <w:r w:rsidR="006C71FF" w:rsidRPr="006C71FF">
              <w:rPr>
                <w:rFonts w:ascii="Times New Roman" w:eastAsia="宋体" w:hAnsi="Times New Roman"/>
                <w:sz w:val="24"/>
                <w:szCs w:val="24"/>
              </w:rPr>
              <w:t>年</w:t>
            </w:r>
            <w:r w:rsidR="006C71FF" w:rsidRPr="006C71FF">
              <w:rPr>
                <w:rFonts w:ascii="Times New Roman" w:eastAsia="宋体" w:hAnsi="Times New Roman"/>
                <w:sz w:val="24"/>
                <w:szCs w:val="24"/>
              </w:rPr>
              <w:t>7</w:t>
            </w:r>
            <w:r w:rsidR="006C71FF" w:rsidRPr="006C71FF">
              <w:rPr>
                <w:rFonts w:ascii="Times New Roman" w:eastAsia="宋体" w:hAnsi="Times New Roman"/>
                <w:sz w:val="24"/>
                <w:szCs w:val="24"/>
              </w:rPr>
              <w:t>月，特瑞普利</w:t>
            </w:r>
            <w:r w:rsidR="006C71FF" w:rsidRPr="006C71FF">
              <w:rPr>
                <w:rFonts w:ascii="Times New Roman" w:eastAsia="宋体" w:hAnsi="Times New Roman" w:hint="eastAsia"/>
                <w:sz w:val="24"/>
                <w:szCs w:val="24"/>
              </w:rPr>
              <w:t>单抗的上市许可申请获得</w:t>
            </w:r>
            <w:r w:rsidR="00AD0C0E" w:rsidRPr="00AD0C0E">
              <w:rPr>
                <w:rFonts w:ascii="Times New Roman" w:eastAsia="宋体" w:hAnsi="Times New Roman" w:hint="eastAsia"/>
                <w:sz w:val="24"/>
                <w:szCs w:val="24"/>
              </w:rPr>
              <w:t>欧洲药品管理局人用药品委员会</w:t>
            </w:r>
            <w:r w:rsidR="00AD0C0E">
              <w:rPr>
                <w:rFonts w:ascii="Times New Roman" w:eastAsia="宋体" w:hAnsi="Times New Roman" w:hint="eastAsia"/>
                <w:sz w:val="24"/>
                <w:szCs w:val="24"/>
              </w:rPr>
              <w:t>（</w:t>
            </w:r>
            <w:r w:rsidR="00AD0C0E">
              <w:rPr>
                <w:rFonts w:ascii="Times New Roman" w:eastAsia="宋体" w:hAnsi="Times New Roman" w:hint="eastAsia"/>
                <w:sz w:val="24"/>
                <w:szCs w:val="24"/>
              </w:rPr>
              <w:t>C</w:t>
            </w:r>
            <w:r w:rsidR="00AD0C0E">
              <w:rPr>
                <w:rFonts w:ascii="Times New Roman" w:eastAsia="宋体" w:hAnsi="Times New Roman"/>
                <w:sz w:val="24"/>
                <w:szCs w:val="24"/>
              </w:rPr>
              <w:t>HM</w:t>
            </w:r>
            <w:r w:rsidR="006C71FF" w:rsidRPr="006C71FF">
              <w:rPr>
                <w:rFonts w:ascii="Times New Roman" w:eastAsia="宋体" w:hAnsi="Times New Roman"/>
                <w:sz w:val="24"/>
                <w:szCs w:val="24"/>
              </w:rPr>
              <w:t>P</w:t>
            </w:r>
            <w:r w:rsidR="00AD0C0E">
              <w:rPr>
                <w:rFonts w:ascii="Times New Roman" w:eastAsia="宋体" w:hAnsi="Times New Roman" w:hint="eastAsia"/>
                <w:sz w:val="24"/>
                <w:szCs w:val="24"/>
              </w:rPr>
              <w:t>）</w:t>
            </w:r>
            <w:r w:rsidR="006C71FF" w:rsidRPr="006C71FF">
              <w:rPr>
                <w:rFonts w:ascii="Times New Roman" w:eastAsia="宋体" w:hAnsi="Times New Roman"/>
                <w:sz w:val="24"/>
                <w:szCs w:val="24"/>
              </w:rPr>
              <w:t>的</w:t>
            </w:r>
            <w:r w:rsidR="006C71FF" w:rsidRPr="006C71FF">
              <w:rPr>
                <w:rFonts w:ascii="Times New Roman" w:eastAsia="宋体" w:hAnsi="Times New Roman" w:hint="eastAsia"/>
                <w:sz w:val="24"/>
                <w:szCs w:val="24"/>
              </w:rPr>
              <w:t>积极意见，建议批准其用于</w:t>
            </w:r>
            <w:r w:rsidR="00AA6066">
              <w:rPr>
                <w:rFonts w:ascii="Times New Roman" w:eastAsia="宋体" w:hAnsi="Times New Roman" w:hint="eastAsia"/>
                <w:sz w:val="24"/>
                <w:szCs w:val="24"/>
              </w:rPr>
              <w:t>鼻咽癌一线治疗及食管鳞癌一线治疗的</w:t>
            </w:r>
            <w:r w:rsidR="006C71FF" w:rsidRPr="006C71FF">
              <w:rPr>
                <w:rFonts w:ascii="Times New Roman" w:eastAsia="宋体" w:hAnsi="Times New Roman" w:hint="eastAsia"/>
                <w:sz w:val="24"/>
                <w:szCs w:val="24"/>
              </w:rPr>
              <w:t>两项适应症。</w:t>
            </w:r>
            <w:r w:rsidR="00ED49F5" w:rsidRPr="00ED49F5">
              <w:rPr>
                <w:rFonts w:ascii="Times New Roman" w:eastAsia="宋体" w:hAnsi="Times New Roman" w:hint="eastAsia"/>
                <w:sz w:val="24"/>
                <w:szCs w:val="24"/>
              </w:rPr>
              <w:t>欧盟委员会</w:t>
            </w:r>
            <w:r w:rsidR="00ED49F5">
              <w:rPr>
                <w:rFonts w:ascii="Times New Roman" w:eastAsia="宋体" w:hAnsi="Times New Roman" w:hint="eastAsia"/>
                <w:sz w:val="24"/>
                <w:szCs w:val="24"/>
              </w:rPr>
              <w:t>（</w:t>
            </w:r>
            <w:r w:rsidR="006C71FF" w:rsidRPr="006C71FF">
              <w:rPr>
                <w:rFonts w:ascii="Times New Roman" w:eastAsia="宋体" w:hAnsi="Times New Roman"/>
                <w:sz w:val="24"/>
                <w:szCs w:val="24"/>
              </w:rPr>
              <w:t>EC</w:t>
            </w:r>
            <w:r w:rsidR="00ED49F5">
              <w:rPr>
                <w:rFonts w:ascii="Times New Roman" w:eastAsia="宋体" w:hAnsi="Times New Roman" w:hint="eastAsia"/>
                <w:sz w:val="24"/>
                <w:szCs w:val="24"/>
              </w:rPr>
              <w:t>）</w:t>
            </w:r>
            <w:r w:rsidR="006C71FF" w:rsidRPr="006C71FF">
              <w:rPr>
                <w:rFonts w:ascii="Times New Roman" w:eastAsia="宋体" w:hAnsi="Times New Roman" w:hint="eastAsia"/>
                <w:sz w:val="24"/>
                <w:szCs w:val="24"/>
              </w:rPr>
              <w:t>将把</w:t>
            </w:r>
            <w:r w:rsidR="006C71FF" w:rsidRPr="006C71FF">
              <w:rPr>
                <w:rFonts w:ascii="Times New Roman" w:eastAsia="宋体" w:hAnsi="Times New Roman"/>
                <w:sz w:val="24"/>
                <w:szCs w:val="24"/>
              </w:rPr>
              <w:t>CHMP</w:t>
            </w:r>
            <w:r w:rsidR="006C71FF" w:rsidRPr="006C71FF">
              <w:rPr>
                <w:rFonts w:ascii="Times New Roman" w:eastAsia="宋体" w:hAnsi="Times New Roman"/>
                <w:sz w:val="24"/>
                <w:szCs w:val="24"/>
              </w:rPr>
              <w:t>的</w:t>
            </w:r>
            <w:r w:rsidR="006C71FF" w:rsidRPr="006C71FF">
              <w:rPr>
                <w:rFonts w:ascii="Times New Roman" w:eastAsia="宋体" w:hAnsi="Times New Roman" w:hint="eastAsia"/>
                <w:sz w:val="24"/>
                <w:szCs w:val="24"/>
              </w:rPr>
              <w:t>积极意见纳入考虑，以便对特瑞普利单抗的上市许可申请做出最终审评决议。</w:t>
            </w:r>
            <w:r w:rsidR="00B3243C" w:rsidRPr="00B3243C">
              <w:rPr>
                <w:rFonts w:ascii="Times New Roman" w:eastAsia="宋体" w:hAnsi="Times New Roman" w:hint="eastAsia"/>
                <w:sz w:val="24"/>
                <w:szCs w:val="24"/>
              </w:rPr>
              <w:t>苏州吴江生产基地</w:t>
            </w:r>
            <w:r w:rsidR="00B3243C">
              <w:rPr>
                <w:rFonts w:ascii="Times New Roman" w:eastAsia="宋体" w:hAnsi="Times New Roman" w:hint="eastAsia"/>
                <w:sz w:val="24"/>
                <w:szCs w:val="24"/>
              </w:rPr>
              <w:t>也</w:t>
            </w:r>
            <w:r w:rsidR="00B3243C" w:rsidRPr="00B3243C">
              <w:rPr>
                <w:rFonts w:ascii="Times New Roman" w:eastAsia="宋体" w:hAnsi="Times New Roman" w:hint="eastAsia"/>
                <w:sz w:val="24"/>
                <w:szCs w:val="24"/>
              </w:rPr>
              <w:t>已顺利通过</w:t>
            </w:r>
            <w:r w:rsidR="00007FD0" w:rsidRPr="00007FD0">
              <w:rPr>
                <w:rFonts w:ascii="Times New Roman" w:eastAsia="宋体" w:hAnsi="Times New Roman" w:hint="eastAsia"/>
                <w:sz w:val="24"/>
                <w:szCs w:val="24"/>
              </w:rPr>
              <w:t>欧洲药品管理局</w:t>
            </w:r>
            <w:r w:rsidR="00007FD0">
              <w:rPr>
                <w:rFonts w:ascii="Times New Roman" w:eastAsia="宋体" w:hAnsi="Times New Roman" w:hint="eastAsia"/>
                <w:sz w:val="24"/>
                <w:szCs w:val="24"/>
              </w:rPr>
              <w:t>（</w:t>
            </w:r>
            <w:r w:rsidR="00B3243C" w:rsidRPr="00B3243C">
              <w:rPr>
                <w:rFonts w:ascii="Times New Roman" w:eastAsia="宋体" w:hAnsi="Times New Roman"/>
                <w:sz w:val="24"/>
                <w:szCs w:val="24"/>
              </w:rPr>
              <w:t>EMA</w:t>
            </w:r>
            <w:r w:rsidR="00007FD0">
              <w:rPr>
                <w:rFonts w:ascii="Times New Roman" w:eastAsia="宋体" w:hAnsi="Times New Roman" w:hint="eastAsia"/>
                <w:sz w:val="24"/>
                <w:szCs w:val="24"/>
              </w:rPr>
              <w:t>）</w:t>
            </w:r>
            <w:r w:rsidR="00B3243C" w:rsidRPr="00B3243C">
              <w:rPr>
                <w:rFonts w:ascii="Times New Roman" w:eastAsia="宋体" w:hAnsi="Times New Roman" w:hint="eastAsia"/>
                <w:sz w:val="24"/>
                <w:szCs w:val="24"/>
              </w:rPr>
              <w:t>现场核查，并于</w:t>
            </w:r>
            <w:r w:rsidR="00B3243C" w:rsidRPr="00B3243C">
              <w:rPr>
                <w:rFonts w:ascii="Times New Roman" w:eastAsia="宋体" w:hAnsi="Times New Roman"/>
                <w:sz w:val="24"/>
                <w:szCs w:val="24"/>
              </w:rPr>
              <w:t>2024</w:t>
            </w:r>
            <w:r w:rsidR="00B3243C" w:rsidRPr="00B3243C">
              <w:rPr>
                <w:rFonts w:ascii="Times New Roman" w:eastAsia="宋体" w:hAnsi="Times New Roman"/>
                <w:sz w:val="24"/>
                <w:szCs w:val="24"/>
              </w:rPr>
              <w:t>年</w:t>
            </w:r>
            <w:r w:rsidR="00B3243C" w:rsidRPr="00B3243C">
              <w:rPr>
                <w:rFonts w:ascii="Times New Roman" w:eastAsia="宋体" w:hAnsi="Times New Roman"/>
                <w:sz w:val="24"/>
                <w:szCs w:val="24"/>
              </w:rPr>
              <w:t>7</w:t>
            </w:r>
            <w:r w:rsidR="00B3243C" w:rsidRPr="00B3243C">
              <w:rPr>
                <w:rFonts w:ascii="Times New Roman" w:eastAsia="宋体" w:hAnsi="Times New Roman"/>
                <w:sz w:val="24"/>
                <w:szCs w:val="24"/>
              </w:rPr>
              <w:t>月收到</w:t>
            </w:r>
            <w:r w:rsidR="00B3243C" w:rsidRPr="00B3243C">
              <w:rPr>
                <w:rFonts w:ascii="Times New Roman" w:eastAsia="宋体" w:hAnsi="Times New Roman" w:hint="eastAsia"/>
                <w:sz w:val="24"/>
                <w:szCs w:val="24"/>
              </w:rPr>
              <w:t>爱尔兰健康产品监督管理局（</w:t>
            </w:r>
            <w:r w:rsidR="00B3243C" w:rsidRPr="00B3243C">
              <w:rPr>
                <w:rFonts w:ascii="Times New Roman" w:eastAsia="宋体" w:hAnsi="Times New Roman"/>
                <w:sz w:val="24"/>
                <w:szCs w:val="24"/>
              </w:rPr>
              <w:t>The Ireland Health Products Regulatory Authority</w:t>
            </w:r>
            <w:r w:rsidR="00B3243C" w:rsidRPr="00B3243C">
              <w:rPr>
                <w:rFonts w:ascii="Times New Roman" w:eastAsia="宋体" w:hAnsi="Times New Roman"/>
                <w:sz w:val="24"/>
                <w:szCs w:val="24"/>
              </w:rPr>
              <w:t>）</w:t>
            </w:r>
            <w:r w:rsidR="00742494" w:rsidRPr="00742494">
              <w:rPr>
                <w:rFonts w:ascii="Times New Roman" w:eastAsia="宋体" w:hAnsi="Times New Roman" w:hint="eastAsia"/>
                <w:sz w:val="24"/>
                <w:szCs w:val="24"/>
              </w:rPr>
              <w:t>依据</w:t>
            </w:r>
            <w:r w:rsidR="00742494" w:rsidRPr="00742494">
              <w:rPr>
                <w:rFonts w:ascii="Times New Roman" w:eastAsia="宋体" w:hAnsi="Times New Roman"/>
                <w:sz w:val="24"/>
                <w:szCs w:val="24"/>
              </w:rPr>
              <w:t>EMA</w:t>
            </w:r>
            <w:r w:rsidR="00742494" w:rsidRPr="00742494">
              <w:rPr>
                <w:rFonts w:ascii="Times New Roman" w:eastAsia="宋体" w:hAnsi="Times New Roman"/>
                <w:sz w:val="24"/>
                <w:szCs w:val="24"/>
              </w:rPr>
              <w:t>相</w:t>
            </w:r>
            <w:r w:rsidR="00742494" w:rsidRPr="00742494">
              <w:rPr>
                <w:rFonts w:ascii="Times New Roman" w:eastAsia="宋体" w:hAnsi="Times New Roman" w:hint="eastAsia"/>
                <w:sz w:val="24"/>
                <w:szCs w:val="24"/>
              </w:rPr>
              <w:t>关法规颁发的《</w:t>
            </w:r>
            <w:r w:rsidR="00742494" w:rsidRPr="00742494">
              <w:rPr>
                <w:rFonts w:ascii="Times New Roman" w:eastAsia="宋体" w:hAnsi="Times New Roman"/>
                <w:sz w:val="24"/>
                <w:szCs w:val="24"/>
              </w:rPr>
              <w:t>CERTIFICATE OF GMP COMPLIANCE OF A MANUFACTURER</w:t>
            </w:r>
            <w:r w:rsidR="00742494" w:rsidRPr="00742494">
              <w:rPr>
                <w:rFonts w:ascii="Times New Roman" w:eastAsia="宋体" w:hAnsi="Times New Roman"/>
                <w:sz w:val="24"/>
                <w:szCs w:val="24"/>
              </w:rPr>
              <w:t>》</w:t>
            </w:r>
            <w:r w:rsidR="00B3243C" w:rsidRPr="00B3243C">
              <w:rPr>
                <w:rFonts w:ascii="Times New Roman" w:eastAsia="宋体" w:hAnsi="Times New Roman"/>
                <w:sz w:val="24"/>
                <w:szCs w:val="24"/>
              </w:rPr>
              <w:t>《</w:t>
            </w:r>
            <w:r w:rsidR="00B3243C" w:rsidRPr="00B3243C">
              <w:rPr>
                <w:rFonts w:ascii="Times New Roman" w:eastAsia="宋体" w:hAnsi="Times New Roman" w:hint="eastAsia"/>
                <w:sz w:val="24"/>
                <w:szCs w:val="24"/>
              </w:rPr>
              <w:t>药品</w:t>
            </w:r>
            <w:r w:rsidR="00B3243C" w:rsidRPr="00B3243C">
              <w:rPr>
                <w:rFonts w:ascii="Times New Roman" w:eastAsia="宋体" w:hAnsi="Times New Roman"/>
                <w:sz w:val="24"/>
                <w:szCs w:val="24"/>
              </w:rPr>
              <w:t>GMP</w:t>
            </w:r>
            <w:r w:rsidR="00B3243C" w:rsidRPr="00B3243C">
              <w:rPr>
                <w:rFonts w:ascii="Times New Roman" w:eastAsia="宋体" w:hAnsi="Times New Roman" w:hint="eastAsia"/>
                <w:sz w:val="24"/>
                <w:szCs w:val="24"/>
              </w:rPr>
              <w:t>证书》，根据欧盟成员国之间的</w:t>
            </w:r>
            <w:r w:rsidR="00FF30B4" w:rsidRPr="00FF30B4">
              <w:rPr>
                <w:rFonts w:ascii="Times New Roman" w:eastAsia="宋体" w:hAnsi="Times New Roman" w:hint="eastAsia"/>
                <w:sz w:val="24"/>
                <w:szCs w:val="24"/>
              </w:rPr>
              <w:t>药品生产质量管理规范</w:t>
            </w:r>
            <w:r w:rsidR="00FF30B4">
              <w:rPr>
                <w:rFonts w:ascii="Times New Roman" w:eastAsia="宋体" w:hAnsi="Times New Roman" w:hint="eastAsia"/>
                <w:sz w:val="24"/>
                <w:szCs w:val="24"/>
              </w:rPr>
              <w:t>（</w:t>
            </w:r>
            <w:r w:rsidR="00B3243C" w:rsidRPr="00B3243C">
              <w:rPr>
                <w:rFonts w:ascii="Times New Roman" w:eastAsia="宋体" w:hAnsi="Times New Roman"/>
                <w:sz w:val="24"/>
                <w:szCs w:val="24"/>
              </w:rPr>
              <w:t>GMP</w:t>
            </w:r>
            <w:r w:rsidR="00FF30B4">
              <w:rPr>
                <w:rFonts w:ascii="Times New Roman" w:eastAsia="宋体" w:hAnsi="Times New Roman" w:hint="eastAsia"/>
                <w:sz w:val="24"/>
                <w:szCs w:val="24"/>
              </w:rPr>
              <w:t>）</w:t>
            </w:r>
            <w:r w:rsidR="00B3243C" w:rsidRPr="00B3243C">
              <w:rPr>
                <w:rFonts w:ascii="Times New Roman" w:eastAsia="宋体" w:hAnsi="Times New Roman"/>
                <w:sz w:val="24"/>
                <w:szCs w:val="24"/>
              </w:rPr>
              <w:t>互</w:t>
            </w:r>
            <w:r w:rsidR="00B3243C" w:rsidRPr="00B3243C">
              <w:rPr>
                <w:rFonts w:ascii="Times New Roman" w:eastAsia="宋体" w:hAnsi="Times New Roman" w:hint="eastAsia"/>
                <w:sz w:val="24"/>
                <w:szCs w:val="24"/>
              </w:rPr>
              <w:t>认制度，本次通过</w:t>
            </w:r>
            <w:r w:rsidR="00B3243C" w:rsidRPr="00B3243C">
              <w:rPr>
                <w:rFonts w:ascii="Times New Roman" w:eastAsia="宋体" w:hAnsi="Times New Roman"/>
                <w:sz w:val="24"/>
                <w:szCs w:val="24"/>
              </w:rPr>
              <w:t>GMP</w:t>
            </w:r>
            <w:r w:rsidR="00B3243C" w:rsidRPr="00B3243C">
              <w:rPr>
                <w:rFonts w:ascii="Times New Roman" w:eastAsia="宋体" w:hAnsi="Times New Roman" w:hint="eastAsia"/>
                <w:sz w:val="24"/>
                <w:szCs w:val="24"/>
              </w:rPr>
              <w:t>认证表明本次接受认证的生产设施已符合欧盟</w:t>
            </w:r>
            <w:r w:rsidR="00B3243C" w:rsidRPr="00B3243C">
              <w:rPr>
                <w:rFonts w:ascii="Times New Roman" w:eastAsia="宋体" w:hAnsi="Times New Roman"/>
                <w:sz w:val="24"/>
                <w:szCs w:val="24"/>
              </w:rPr>
              <w:t>GMP</w:t>
            </w:r>
            <w:r w:rsidR="00B3243C" w:rsidRPr="00B3243C">
              <w:rPr>
                <w:rFonts w:ascii="Times New Roman" w:eastAsia="宋体" w:hAnsi="Times New Roman" w:hint="eastAsia"/>
                <w:sz w:val="24"/>
                <w:szCs w:val="24"/>
              </w:rPr>
              <w:t>标准，是特瑞普利单抗进入欧洲市场的重要准入条件。</w:t>
            </w:r>
          </w:p>
          <w:p w14:paraId="6D6F66D8" w14:textId="3B8A324C" w:rsidR="006C71FF" w:rsidRPr="006C71FF" w:rsidRDefault="006B6847" w:rsidP="006C71FF">
            <w:pPr>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3</w:t>
            </w:r>
            <w:r>
              <w:rPr>
                <w:rFonts w:ascii="Times New Roman" w:eastAsia="宋体" w:hAnsi="Times New Roman" w:hint="eastAsia"/>
                <w:sz w:val="24"/>
                <w:szCs w:val="24"/>
              </w:rPr>
              <w:t>）</w:t>
            </w:r>
            <w:r w:rsidR="006C71FF" w:rsidRPr="006C71FF">
              <w:rPr>
                <w:rFonts w:ascii="Times New Roman" w:eastAsia="宋体" w:hAnsi="Times New Roman"/>
                <w:sz w:val="24"/>
                <w:szCs w:val="24"/>
              </w:rPr>
              <w:t>特瑞普利</w:t>
            </w:r>
            <w:r w:rsidR="006C71FF" w:rsidRPr="006C71FF">
              <w:rPr>
                <w:rFonts w:ascii="Times New Roman" w:eastAsia="宋体" w:hAnsi="Times New Roman" w:hint="eastAsia"/>
                <w:sz w:val="24"/>
                <w:szCs w:val="24"/>
              </w:rPr>
              <w:t>单抗一线治疗鼻咽癌和一线治疗食管鳞癌的上市许可申请已获得</w:t>
            </w:r>
            <w:r w:rsidR="005F3557" w:rsidRPr="005F3557">
              <w:rPr>
                <w:rFonts w:ascii="Times New Roman" w:eastAsia="宋体" w:hAnsi="Times New Roman" w:hint="eastAsia"/>
                <w:sz w:val="24"/>
                <w:szCs w:val="24"/>
              </w:rPr>
              <w:t>英国药品和保健品管理局</w:t>
            </w:r>
            <w:r w:rsidR="005F3557">
              <w:rPr>
                <w:rFonts w:ascii="Times New Roman" w:eastAsia="宋体" w:hAnsi="Times New Roman" w:hint="eastAsia"/>
                <w:sz w:val="24"/>
                <w:szCs w:val="24"/>
              </w:rPr>
              <w:t>（</w:t>
            </w:r>
            <w:r w:rsidR="006C71FF" w:rsidRPr="006C71FF">
              <w:rPr>
                <w:rFonts w:ascii="Times New Roman" w:eastAsia="宋体" w:hAnsi="Times New Roman"/>
                <w:sz w:val="24"/>
                <w:szCs w:val="24"/>
              </w:rPr>
              <w:t>MHRA</w:t>
            </w:r>
            <w:r w:rsidR="006C71FF" w:rsidRPr="006C71FF">
              <w:rPr>
                <w:rFonts w:ascii="Times New Roman" w:eastAsia="宋体" w:hAnsi="Times New Roman"/>
                <w:sz w:val="24"/>
                <w:szCs w:val="24"/>
              </w:rPr>
              <w:t>受理</w:t>
            </w:r>
            <w:r w:rsidR="005F3557">
              <w:rPr>
                <w:rFonts w:ascii="Times New Roman" w:eastAsia="宋体" w:hAnsi="Times New Roman" w:hint="eastAsia"/>
                <w:sz w:val="24"/>
                <w:szCs w:val="24"/>
              </w:rPr>
              <w:t>）</w:t>
            </w:r>
            <w:r w:rsidR="006C71FF" w:rsidRPr="006C71FF">
              <w:rPr>
                <w:rFonts w:ascii="Times New Roman" w:eastAsia="宋体" w:hAnsi="Times New Roman"/>
                <w:sz w:val="24"/>
                <w:szCs w:val="24"/>
              </w:rPr>
              <w:t>，正在</w:t>
            </w:r>
            <w:r w:rsidR="006C71FF" w:rsidRPr="006C71FF">
              <w:rPr>
                <w:rFonts w:ascii="Times New Roman" w:eastAsia="宋体" w:hAnsi="Times New Roman" w:hint="eastAsia"/>
                <w:sz w:val="24"/>
                <w:szCs w:val="24"/>
              </w:rPr>
              <w:t>审评过程中。</w:t>
            </w:r>
          </w:p>
          <w:p w14:paraId="4CAB864D" w14:textId="2A24A4A5" w:rsidR="00691E21" w:rsidRDefault="003A20DF" w:rsidP="00E96D3D">
            <w:pPr>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公司</w:t>
            </w:r>
            <w:r w:rsidRPr="00B91E95">
              <w:rPr>
                <w:rFonts w:ascii="Times New Roman" w:eastAsia="宋体" w:hAnsi="Times New Roman" w:hint="eastAsia"/>
                <w:sz w:val="24"/>
                <w:szCs w:val="24"/>
              </w:rPr>
              <w:t>广泛布局</w:t>
            </w:r>
            <w:r>
              <w:rPr>
                <w:rFonts w:ascii="Times New Roman" w:eastAsia="宋体" w:hAnsi="Times New Roman" w:hint="eastAsia"/>
                <w:sz w:val="24"/>
                <w:szCs w:val="24"/>
              </w:rPr>
              <w:t>了</w:t>
            </w:r>
            <w:r w:rsidRPr="00B91E95">
              <w:rPr>
                <w:rFonts w:ascii="Times New Roman" w:eastAsia="宋体" w:hAnsi="Times New Roman" w:hint="eastAsia"/>
                <w:sz w:val="24"/>
                <w:szCs w:val="24"/>
              </w:rPr>
              <w:t>包括新兴市场在内的全球商业化网络，</w:t>
            </w:r>
            <w:r w:rsidR="006C71FF" w:rsidRPr="006C71FF">
              <w:rPr>
                <w:rFonts w:ascii="Times New Roman" w:eastAsia="宋体" w:hAnsi="Times New Roman"/>
                <w:sz w:val="24"/>
                <w:szCs w:val="24"/>
              </w:rPr>
              <w:t>已与</w:t>
            </w:r>
            <w:r w:rsidR="006C71FF" w:rsidRPr="006C71FF">
              <w:rPr>
                <w:rFonts w:ascii="Times New Roman" w:eastAsia="宋体" w:hAnsi="Times New Roman"/>
                <w:sz w:val="24"/>
                <w:szCs w:val="24"/>
              </w:rPr>
              <w:t>Hikma</w:t>
            </w:r>
            <w:r w:rsidR="006C71FF" w:rsidRPr="006C71FF">
              <w:rPr>
                <w:rFonts w:ascii="Times New Roman" w:eastAsia="宋体" w:hAnsi="Times New Roman"/>
                <w:sz w:val="24"/>
                <w:szCs w:val="24"/>
              </w:rPr>
              <w:t>、</w:t>
            </w:r>
            <w:r w:rsidR="006C71FF" w:rsidRPr="006C71FF">
              <w:rPr>
                <w:rFonts w:ascii="Times New Roman" w:eastAsia="宋体" w:hAnsi="Times New Roman"/>
                <w:sz w:val="24"/>
                <w:szCs w:val="24"/>
              </w:rPr>
              <w:t>Dr. Reddy’s</w:t>
            </w:r>
            <w:r w:rsidR="006C71FF" w:rsidRPr="006C71FF">
              <w:rPr>
                <w:rFonts w:ascii="Times New Roman" w:eastAsia="宋体" w:hAnsi="Times New Roman"/>
                <w:sz w:val="24"/>
                <w:szCs w:val="24"/>
              </w:rPr>
              <w:t>、康</w:t>
            </w:r>
            <w:r w:rsidR="006C71FF" w:rsidRPr="006C71FF">
              <w:rPr>
                <w:rFonts w:ascii="Times New Roman" w:eastAsia="宋体" w:hAnsi="Times New Roman" w:hint="eastAsia"/>
                <w:sz w:val="24"/>
                <w:szCs w:val="24"/>
              </w:rPr>
              <w:t>联达生技等合作伙伴在中东和北非、拉丁美洲、印度、南非、东南亚、澳大利亚、新西兰等超过</w:t>
            </w:r>
            <w:r w:rsidR="006C71FF" w:rsidRPr="006C71FF">
              <w:rPr>
                <w:rFonts w:ascii="Times New Roman" w:eastAsia="宋体" w:hAnsi="Times New Roman"/>
                <w:sz w:val="24"/>
                <w:szCs w:val="24"/>
              </w:rPr>
              <w:t>50</w:t>
            </w:r>
            <w:r w:rsidR="006C71FF" w:rsidRPr="006C71FF">
              <w:rPr>
                <w:rFonts w:ascii="Times New Roman" w:eastAsia="宋体" w:hAnsi="Times New Roman" w:hint="eastAsia"/>
                <w:sz w:val="24"/>
                <w:szCs w:val="24"/>
              </w:rPr>
              <w:t>个国家达成商业化合作。公司及各合作伙伴正在积极推动特瑞普利单抗在合作区域的上市申报进程，并积极探索更多适应症在部分地区上市的可能性</w:t>
            </w:r>
            <w:r w:rsidR="00C525E3">
              <w:rPr>
                <w:rFonts w:ascii="Times New Roman" w:eastAsia="宋体" w:hAnsi="Times New Roman" w:hint="eastAsia"/>
                <w:sz w:val="24"/>
                <w:szCs w:val="24"/>
              </w:rPr>
              <w:t>。</w:t>
            </w:r>
          </w:p>
          <w:p w14:paraId="61896185" w14:textId="77777777" w:rsidR="005978BE" w:rsidRPr="00EA531D" w:rsidRDefault="005978BE" w:rsidP="00921A81">
            <w:pPr>
              <w:ind w:firstLineChars="200" w:firstLine="480"/>
              <w:rPr>
                <w:rFonts w:ascii="Times New Roman" w:eastAsia="宋体" w:hAnsi="Times New Roman"/>
                <w:sz w:val="24"/>
                <w:szCs w:val="24"/>
              </w:rPr>
            </w:pPr>
          </w:p>
          <w:p w14:paraId="737B4F49" w14:textId="77777777" w:rsidR="009A251B" w:rsidRPr="00B357B9" w:rsidRDefault="009A251B" w:rsidP="009A251B">
            <w:pPr>
              <w:rPr>
                <w:rFonts w:ascii="Times New Roman" w:eastAsia="宋体" w:hAnsi="Times New Roman"/>
                <w:b/>
                <w:sz w:val="24"/>
                <w:szCs w:val="24"/>
                <w:lang w:val="en-MY"/>
              </w:rPr>
            </w:pPr>
            <w:r w:rsidRPr="00B357B9">
              <w:rPr>
                <w:rFonts w:ascii="Times New Roman" w:eastAsia="宋体" w:hAnsi="Times New Roman" w:hint="eastAsia"/>
                <w:b/>
                <w:sz w:val="24"/>
                <w:szCs w:val="24"/>
                <w:lang w:val="en-MY"/>
              </w:rPr>
              <w:t>二、投资者问答</w:t>
            </w:r>
          </w:p>
          <w:p w14:paraId="5C9D87B2" w14:textId="4B28EA2A" w:rsidR="009A251B" w:rsidRPr="00B357B9" w:rsidRDefault="009A251B" w:rsidP="009A251B">
            <w:pPr>
              <w:rPr>
                <w:rFonts w:ascii="Times New Roman" w:eastAsia="宋体" w:hAnsi="Times New Roman"/>
                <w:b/>
                <w:sz w:val="24"/>
                <w:szCs w:val="24"/>
                <w:lang w:val="en-MY"/>
              </w:rPr>
            </w:pPr>
            <w:r w:rsidRPr="00B357B9">
              <w:rPr>
                <w:rFonts w:ascii="Times New Roman" w:eastAsia="宋体" w:hAnsi="Times New Roman" w:hint="eastAsia"/>
                <w:b/>
                <w:sz w:val="24"/>
                <w:szCs w:val="24"/>
                <w:lang w:val="en-MY"/>
              </w:rPr>
              <w:t>问</w:t>
            </w:r>
            <w:r w:rsidRPr="00B357B9">
              <w:rPr>
                <w:rFonts w:ascii="Times New Roman" w:eastAsia="宋体" w:hAnsi="Times New Roman" w:hint="eastAsia"/>
                <w:b/>
                <w:sz w:val="24"/>
                <w:szCs w:val="24"/>
                <w:lang w:val="en-MY"/>
              </w:rPr>
              <w:t>1</w:t>
            </w:r>
            <w:r w:rsidRPr="00B357B9">
              <w:rPr>
                <w:rFonts w:ascii="Times New Roman" w:eastAsia="宋体" w:hAnsi="Times New Roman" w:hint="eastAsia"/>
                <w:b/>
                <w:sz w:val="24"/>
                <w:szCs w:val="24"/>
                <w:lang w:val="en-MY"/>
              </w:rPr>
              <w:t>：</w:t>
            </w:r>
            <w:r w:rsidR="00F7746F">
              <w:rPr>
                <w:rFonts w:ascii="Times New Roman" w:eastAsia="宋体" w:hAnsi="Times New Roman" w:hint="eastAsia"/>
                <w:b/>
                <w:sz w:val="24"/>
                <w:szCs w:val="24"/>
                <w:lang w:val="en-MY"/>
              </w:rPr>
              <w:t>抗</w:t>
            </w:r>
            <w:r w:rsidR="00F7746F">
              <w:rPr>
                <w:rFonts w:ascii="Times New Roman" w:eastAsia="宋体" w:hAnsi="Times New Roman"/>
                <w:b/>
                <w:sz w:val="24"/>
                <w:szCs w:val="24"/>
                <w:lang w:val="en-MY"/>
              </w:rPr>
              <w:t>BTLA</w:t>
            </w:r>
            <w:r w:rsidR="00F7746F">
              <w:rPr>
                <w:rFonts w:ascii="Times New Roman" w:eastAsia="宋体" w:hAnsi="Times New Roman" w:hint="eastAsia"/>
                <w:b/>
                <w:sz w:val="24"/>
                <w:szCs w:val="24"/>
                <w:lang w:val="en-MY"/>
              </w:rPr>
              <w:t>单抗注册临床</w:t>
            </w:r>
            <w:r w:rsidR="00AE1C62">
              <w:rPr>
                <w:rFonts w:ascii="Times New Roman" w:eastAsia="宋体" w:hAnsi="Times New Roman" w:hint="eastAsia"/>
                <w:b/>
                <w:sz w:val="24"/>
                <w:szCs w:val="24"/>
                <w:lang w:val="en-MY"/>
              </w:rPr>
              <w:t>进展，及</w:t>
            </w:r>
            <w:r w:rsidR="00F7746F">
              <w:rPr>
                <w:rFonts w:ascii="Times New Roman" w:eastAsia="宋体" w:hAnsi="Times New Roman" w:hint="eastAsia"/>
                <w:b/>
                <w:sz w:val="24"/>
                <w:szCs w:val="24"/>
                <w:lang w:val="en-MY"/>
              </w:rPr>
              <w:t>后续适应症</w:t>
            </w:r>
            <w:r w:rsidR="00F56F18">
              <w:rPr>
                <w:rFonts w:ascii="Times New Roman" w:eastAsia="宋体" w:hAnsi="Times New Roman" w:hint="eastAsia"/>
                <w:b/>
                <w:sz w:val="24"/>
                <w:szCs w:val="24"/>
                <w:lang w:val="en-MY"/>
              </w:rPr>
              <w:t>布局规划</w:t>
            </w:r>
            <w:r w:rsidRPr="00B357B9">
              <w:rPr>
                <w:rFonts w:ascii="Times New Roman" w:eastAsia="宋体" w:hAnsi="Times New Roman" w:hint="eastAsia"/>
                <w:b/>
                <w:sz w:val="24"/>
                <w:szCs w:val="24"/>
                <w:lang w:val="en-MY"/>
              </w:rPr>
              <w:t>？</w:t>
            </w:r>
          </w:p>
          <w:p w14:paraId="52B74F19" w14:textId="69647F66" w:rsidR="00A90A2E" w:rsidRDefault="00156D39" w:rsidP="00FD05EC">
            <w:pPr>
              <w:ind w:firstLineChars="200" w:firstLine="480"/>
              <w:jc w:val="both"/>
              <w:rPr>
                <w:rFonts w:ascii="Times New Roman" w:eastAsia="宋体" w:hAnsi="Times New Roman"/>
                <w:sz w:val="24"/>
                <w:szCs w:val="24"/>
              </w:rPr>
            </w:pPr>
            <w:r>
              <w:rPr>
                <w:rFonts w:ascii="Times New Roman" w:eastAsia="宋体" w:hAnsi="Times New Roman" w:hint="eastAsia"/>
                <w:sz w:val="24"/>
                <w:szCs w:val="24"/>
                <w:lang w:val="en-MY"/>
              </w:rPr>
              <w:t>答：</w:t>
            </w:r>
            <w:r w:rsidR="00AE1C62" w:rsidRPr="00AE1C62">
              <w:rPr>
                <w:rFonts w:ascii="Times New Roman" w:eastAsia="宋体" w:hAnsi="Times New Roman"/>
                <w:sz w:val="24"/>
                <w:szCs w:val="24"/>
                <w:lang w:val="en-MY"/>
              </w:rPr>
              <w:t>2024</w:t>
            </w:r>
            <w:r w:rsidR="00AE1C62" w:rsidRPr="00AE1C62">
              <w:rPr>
                <w:rFonts w:ascii="Times New Roman" w:eastAsia="宋体" w:hAnsi="Times New Roman"/>
                <w:sz w:val="24"/>
                <w:szCs w:val="24"/>
                <w:lang w:val="en-MY"/>
              </w:rPr>
              <w:t>年</w:t>
            </w:r>
            <w:r w:rsidR="00AE1C62" w:rsidRPr="00AE1C62">
              <w:rPr>
                <w:rFonts w:ascii="Times New Roman" w:eastAsia="宋体" w:hAnsi="Times New Roman"/>
                <w:sz w:val="24"/>
                <w:szCs w:val="24"/>
                <w:lang w:val="en-MY"/>
              </w:rPr>
              <w:t>4</w:t>
            </w:r>
            <w:r w:rsidR="00AE1C62" w:rsidRPr="00AE1C62">
              <w:rPr>
                <w:rFonts w:ascii="Times New Roman" w:eastAsia="宋体" w:hAnsi="Times New Roman"/>
                <w:sz w:val="24"/>
                <w:szCs w:val="24"/>
                <w:lang w:val="en-MY"/>
              </w:rPr>
              <w:t>月，日本</w:t>
            </w:r>
            <w:r w:rsidR="00AE1C62" w:rsidRPr="00AE1C62">
              <w:rPr>
                <w:rFonts w:ascii="Times New Roman" w:eastAsia="宋体" w:hAnsi="Times New Roman" w:hint="eastAsia"/>
                <w:sz w:val="24"/>
                <w:szCs w:val="24"/>
                <w:lang w:val="en-MY"/>
              </w:rPr>
              <w:t>药品和医疗器械管理局（</w:t>
            </w:r>
            <w:r w:rsidR="00AE1C62" w:rsidRPr="00AE1C62">
              <w:rPr>
                <w:rFonts w:ascii="Times New Roman" w:eastAsia="宋体" w:hAnsi="Times New Roman"/>
                <w:sz w:val="24"/>
                <w:szCs w:val="24"/>
                <w:lang w:val="en-MY"/>
              </w:rPr>
              <w:t>PMDA</w:t>
            </w:r>
            <w:r w:rsidR="00AE1C62" w:rsidRPr="00AE1C62">
              <w:rPr>
                <w:rFonts w:ascii="Times New Roman" w:eastAsia="宋体" w:hAnsi="Times New Roman"/>
                <w:sz w:val="24"/>
                <w:szCs w:val="24"/>
                <w:lang w:val="en-MY"/>
              </w:rPr>
              <w:t>）同意公司</w:t>
            </w:r>
            <w:r w:rsidR="00AE1C62" w:rsidRPr="00AE1C62">
              <w:rPr>
                <w:rFonts w:ascii="Times New Roman" w:eastAsia="宋体" w:hAnsi="Times New Roman" w:hint="eastAsia"/>
                <w:sz w:val="24"/>
                <w:szCs w:val="24"/>
                <w:lang w:val="en-MY"/>
              </w:rPr>
              <w:t>开展抗</w:t>
            </w:r>
            <w:r w:rsidR="00AE1C62" w:rsidRPr="00AE1C62">
              <w:rPr>
                <w:rFonts w:ascii="Times New Roman" w:eastAsia="宋体" w:hAnsi="Times New Roman"/>
                <w:sz w:val="24"/>
                <w:szCs w:val="24"/>
                <w:lang w:val="en-MY"/>
              </w:rPr>
              <w:t>BTLA</w:t>
            </w:r>
            <w:r w:rsidR="00AE1C62" w:rsidRPr="00AE1C62">
              <w:rPr>
                <w:rFonts w:ascii="Times New Roman" w:eastAsia="宋体" w:hAnsi="Times New Roman" w:hint="eastAsia"/>
                <w:sz w:val="24"/>
                <w:szCs w:val="24"/>
                <w:lang w:val="en-MY"/>
              </w:rPr>
              <w:t>单抗</w:t>
            </w:r>
            <w:r w:rsidR="00AE1C62" w:rsidRPr="00AE1C62">
              <w:rPr>
                <w:rFonts w:ascii="Times New Roman" w:eastAsia="宋体" w:hAnsi="Times New Roman"/>
                <w:sz w:val="24"/>
                <w:szCs w:val="24"/>
                <w:lang w:val="en-MY"/>
              </w:rPr>
              <w:t>tifcemalimab</w:t>
            </w:r>
            <w:r w:rsidR="00AE1C62" w:rsidRPr="00AE1C62">
              <w:rPr>
                <w:rFonts w:ascii="Times New Roman" w:eastAsia="宋体" w:hAnsi="Times New Roman" w:hint="eastAsia"/>
                <w:sz w:val="24"/>
                <w:szCs w:val="24"/>
                <w:lang w:val="en-MY"/>
              </w:rPr>
              <w:t>联合特瑞普利单抗作为局限期小细胞肺癌（</w:t>
            </w:r>
            <w:r w:rsidR="00AE1C62" w:rsidRPr="00AE1C62">
              <w:rPr>
                <w:rFonts w:ascii="Times New Roman" w:eastAsia="宋体" w:hAnsi="Times New Roman"/>
                <w:sz w:val="24"/>
                <w:szCs w:val="24"/>
                <w:lang w:val="en-MY"/>
              </w:rPr>
              <w:t>LS-SCLC</w:t>
            </w:r>
            <w:r w:rsidR="00AE1C62" w:rsidRPr="00AE1C62">
              <w:rPr>
                <w:rFonts w:ascii="Times New Roman" w:eastAsia="宋体" w:hAnsi="Times New Roman"/>
                <w:sz w:val="24"/>
                <w:szCs w:val="24"/>
                <w:lang w:val="en-MY"/>
              </w:rPr>
              <w:t>）放化</w:t>
            </w:r>
            <w:r w:rsidR="00AE1C62" w:rsidRPr="00AE1C62">
              <w:rPr>
                <w:rFonts w:ascii="Times New Roman" w:eastAsia="宋体" w:hAnsi="Times New Roman" w:hint="eastAsia"/>
                <w:sz w:val="24"/>
                <w:szCs w:val="24"/>
                <w:lang w:val="en-MY"/>
              </w:rPr>
              <w:t>疗后未进展患者的巩固治疗的随机、双盲、安慰剂对照、国际多中心</w:t>
            </w:r>
            <w:r w:rsidR="00F96931">
              <w:rPr>
                <w:rFonts w:ascii="Times New Roman" w:eastAsia="宋体" w:hAnsi="Times New Roman" w:hint="eastAsia"/>
                <w:sz w:val="24"/>
                <w:szCs w:val="24"/>
                <w:lang w:val="en-MY"/>
              </w:rPr>
              <w:t>I</w:t>
            </w:r>
            <w:r w:rsidR="00F96931">
              <w:rPr>
                <w:rFonts w:ascii="Times New Roman" w:eastAsia="宋体" w:hAnsi="Times New Roman"/>
                <w:sz w:val="24"/>
                <w:szCs w:val="24"/>
                <w:lang w:val="en-MY"/>
              </w:rPr>
              <w:t>II</w:t>
            </w:r>
            <w:r w:rsidR="00AE1C62" w:rsidRPr="00AE1C62">
              <w:rPr>
                <w:rFonts w:ascii="Times New Roman" w:eastAsia="宋体" w:hAnsi="Times New Roman" w:hint="eastAsia"/>
                <w:sz w:val="24"/>
                <w:szCs w:val="24"/>
                <w:lang w:val="en-MY"/>
              </w:rPr>
              <w:t>期临床研究（</w:t>
            </w:r>
            <w:r w:rsidR="00AE1C62" w:rsidRPr="00AE1C62">
              <w:rPr>
                <w:rFonts w:ascii="Times New Roman" w:eastAsia="宋体" w:hAnsi="Times New Roman"/>
                <w:sz w:val="24"/>
                <w:szCs w:val="24"/>
                <w:lang w:val="en-MY"/>
              </w:rPr>
              <w:t>JUSTAR-001</w:t>
            </w:r>
            <w:r w:rsidR="00AE1C62" w:rsidRPr="00AE1C62">
              <w:rPr>
                <w:rFonts w:ascii="Times New Roman" w:eastAsia="宋体" w:hAnsi="Times New Roman"/>
                <w:sz w:val="24"/>
                <w:szCs w:val="24"/>
                <w:lang w:val="en-MY"/>
              </w:rPr>
              <w:t>研究，</w:t>
            </w:r>
            <w:r w:rsidR="00AE1C62" w:rsidRPr="00AE1C62">
              <w:rPr>
                <w:rFonts w:ascii="Times New Roman" w:eastAsia="宋体" w:hAnsi="Times New Roman"/>
                <w:sz w:val="24"/>
                <w:szCs w:val="24"/>
                <w:lang w:val="en-MY"/>
              </w:rPr>
              <w:t>NCT06095583</w:t>
            </w:r>
            <w:r w:rsidR="00AE1C62" w:rsidRPr="00AE1C62">
              <w:rPr>
                <w:rFonts w:ascii="Times New Roman" w:eastAsia="宋体" w:hAnsi="Times New Roman"/>
                <w:sz w:val="24"/>
                <w:szCs w:val="24"/>
                <w:lang w:val="en-MY"/>
              </w:rPr>
              <w:t>）</w:t>
            </w:r>
            <w:r w:rsidR="00942258" w:rsidRPr="00AD0427">
              <w:rPr>
                <w:rFonts w:ascii="Times New Roman" w:eastAsia="宋体" w:hAnsi="Times New Roman" w:hint="eastAsia"/>
                <w:sz w:val="24"/>
                <w:szCs w:val="24"/>
              </w:rPr>
              <w:t>。</w:t>
            </w:r>
            <w:r w:rsidR="00B16EB5" w:rsidRPr="00B16EB5">
              <w:rPr>
                <w:rFonts w:ascii="Times New Roman" w:eastAsia="宋体" w:hAnsi="Times New Roman" w:hint="eastAsia"/>
                <w:sz w:val="24"/>
                <w:szCs w:val="24"/>
              </w:rPr>
              <w:t>该研究为</w:t>
            </w:r>
            <w:r w:rsidR="00B16EB5" w:rsidRPr="00B16EB5">
              <w:rPr>
                <w:rFonts w:ascii="Times New Roman" w:eastAsia="宋体" w:hAnsi="Times New Roman"/>
                <w:sz w:val="24"/>
                <w:szCs w:val="24"/>
              </w:rPr>
              <w:t>BTLA</w:t>
            </w:r>
            <w:r w:rsidR="00B16EB5" w:rsidRPr="00B16EB5">
              <w:rPr>
                <w:rFonts w:ascii="Times New Roman" w:eastAsia="宋体" w:hAnsi="Times New Roman"/>
                <w:sz w:val="24"/>
                <w:szCs w:val="24"/>
              </w:rPr>
              <w:t>靶</w:t>
            </w:r>
            <w:r w:rsidR="00B16EB5" w:rsidRPr="00B16EB5">
              <w:rPr>
                <w:rFonts w:ascii="Times New Roman" w:eastAsia="宋体" w:hAnsi="Times New Roman" w:hint="eastAsia"/>
                <w:sz w:val="24"/>
                <w:szCs w:val="24"/>
              </w:rPr>
              <w:t>点药物全球首个确证性研究，由山东第一医科大学附属肿瘤医院于金明院士担任全球主要研究者，吉林省肿瘤医院程颖教授担任中国区主要研究者，计划在中国、美国、欧洲等全球</w:t>
            </w:r>
            <w:r w:rsidR="00B16EB5" w:rsidRPr="00B16EB5">
              <w:rPr>
                <w:rFonts w:ascii="Times New Roman" w:eastAsia="宋体" w:hAnsi="Times New Roman"/>
                <w:sz w:val="24"/>
                <w:szCs w:val="24"/>
              </w:rPr>
              <w:t>17</w:t>
            </w:r>
            <w:r w:rsidR="00B16EB5" w:rsidRPr="00B16EB5">
              <w:rPr>
                <w:rFonts w:ascii="Times New Roman" w:eastAsia="宋体" w:hAnsi="Times New Roman" w:hint="eastAsia"/>
                <w:sz w:val="24"/>
                <w:szCs w:val="24"/>
              </w:rPr>
              <w:t>个国家和地区的超过</w:t>
            </w:r>
            <w:r w:rsidR="00B16EB5" w:rsidRPr="00B16EB5">
              <w:rPr>
                <w:rFonts w:ascii="Times New Roman" w:eastAsia="宋体" w:hAnsi="Times New Roman"/>
                <w:sz w:val="24"/>
                <w:szCs w:val="24"/>
              </w:rPr>
              <w:t>190</w:t>
            </w:r>
            <w:r w:rsidR="00B16EB5" w:rsidRPr="00B16EB5">
              <w:rPr>
                <w:rFonts w:ascii="Times New Roman" w:eastAsia="宋体" w:hAnsi="Times New Roman"/>
                <w:sz w:val="24"/>
                <w:szCs w:val="24"/>
              </w:rPr>
              <w:t>家研究中心</w:t>
            </w:r>
            <w:r w:rsidR="00B16EB5" w:rsidRPr="00B16EB5">
              <w:rPr>
                <w:rFonts w:ascii="Times New Roman" w:eastAsia="宋体" w:hAnsi="Times New Roman" w:hint="eastAsia"/>
                <w:sz w:val="24"/>
                <w:szCs w:val="24"/>
              </w:rPr>
              <w:t>开展，招募约</w:t>
            </w:r>
            <w:r w:rsidR="00B16EB5" w:rsidRPr="00B16EB5">
              <w:rPr>
                <w:rFonts w:ascii="Times New Roman" w:eastAsia="宋体" w:hAnsi="Times New Roman"/>
                <w:sz w:val="24"/>
                <w:szCs w:val="24"/>
              </w:rPr>
              <w:t>756</w:t>
            </w:r>
            <w:r w:rsidR="00B16EB5" w:rsidRPr="00B16EB5">
              <w:rPr>
                <w:rFonts w:ascii="Times New Roman" w:eastAsia="宋体" w:hAnsi="Times New Roman"/>
                <w:sz w:val="24"/>
                <w:szCs w:val="24"/>
              </w:rPr>
              <w:t>例受</w:t>
            </w:r>
            <w:r w:rsidR="00B16EB5" w:rsidRPr="00B16EB5">
              <w:rPr>
                <w:rFonts w:ascii="Times New Roman" w:eastAsia="宋体" w:hAnsi="Times New Roman" w:hint="eastAsia"/>
                <w:sz w:val="24"/>
                <w:szCs w:val="24"/>
              </w:rPr>
              <w:t>试者。</w:t>
            </w:r>
            <w:r w:rsidR="00B16EB5" w:rsidRPr="00B16EB5">
              <w:rPr>
                <w:rFonts w:ascii="Times New Roman" w:eastAsia="宋体" w:hAnsi="Times New Roman"/>
                <w:sz w:val="24"/>
                <w:szCs w:val="24"/>
              </w:rPr>
              <w:t>2023</w:t>
            </w:r>
            <w:r w:rsidR="00B16EB5" w:rsidRPr="00B16EB5">
              <w:rPr>
                <w:rFonts w:ascii="Times New Roman" w:eastAsia="宋体" w:hAnsi="Times New Roman"/>
                <w:sz w:val="24"/>
                <w:szCs w:val="24"/>
              </w:rPr>
              <w:t>年</w:t>
            </w:r>
            <w:r w:rsidR="00B16EB5" w:rsidRPr="00B16EB5">
              <w:rPr>
                <w:rFonts w:ascii="Times New Roman" w:eastAsia="宋体" w:hAnsi="Times New Roman"/>
                <w:sz w:val="24"/>
                <w:szCs w:val="24"/>
              </w:rPr>
              <w:t>11</w:t>
            </w:r>
            <w:r w:rsidR="00B16EB5" w:rsidRPr="00B16EB5">
              <w:rPr>
                <w:rFonts w:ascii="Times New Roman" w:eastAsia="宋体" w:hAnsi="Times New Roman"/>
                <w:sz w:val="24"/>
                <w:szCs w:val="24"/>
              </w:rPr>
              <w:t>月，</w:t>
            </w:r>
            <w:r w:rsidR="00B16EB5" w:rsidRPr="00B16EB5">
              <w:rPr>
                <w:rFonts w:ascii="Times New Roman" w:eastAsia="宋体" w:hAnsi="Times New Roman"/>
                <w:sz w:val="24"/>
                <w:szCs w:val="24"/>
              </w:rPr>
              <w:t>JUSTAR-001</w:t>
            </w:r>
            <w:r w:rsidR="00B16EB5" w:rsidRPr="00B16EB5">
              <w:rPr>
                <w:rFonts w:ascii="Times New Roman" w:eastAsia="宋体" w:hAnsi="Times New Roman"/>
                <w:sz w:val="24"/>
                <w:szCs w:val="24"/>
              </w:rPr>
              <w:t>研究成功召</w:t>
            </w:r>
            <w:r w:rsidR="00B16EB5" w:rsidRPr="00B16EB5">
              <w:rPr>
                <w:rFonts w:ascii="Times New Roman" w:eastAsia="宋体" w:hAnsi="Times New Roman" w:hint="eastAsia"/>
                <w:sz w:val="24"/>
                <w:szCs w:val="24"/>
              </w:rPr>
              <w:t>开全球启动会，正式启动该研究项目。截至</w:t>
            </w:r>
            <w:r w:rsidR="007352DE">
              <w:rPr>
                <w:rFonts w:ascii="Times New Roman" w:eastAsia="宋体" w:hAnsi="Times New Roman" w:hint="eastAsia"/>
                <w:sz w:val="24"/>
                <w:szCs w:val="24"/>
              </w:rPr>
              <w:t>目前</w:t>
            </w:r>
            <w:r w:rsidR="00B16EB5" w:rsidRPr="00B16EB5">
              <w:rPr>
                <w:rFonts w:ascii="Times New Roman" w:eastAsia="宋体" w:hAnsi="Times New Roman" w:hint="eastAsia"/>
                <w:sz w:val="24"/>
                <w:szCs w:val="24"/>
              </w:rPr>
              <w:t>，中国大陆、中国台湾、美国、日本、格鲁吉亚、土耳其监管机构均已批准该研究的开展，研究已完成中国、美国、欧洲及日本四地的首例受试者入组（</w:t>
            </w:r>
            <w:r w:rsidR="00B16EB5" w:rsidRPr="00B16EB5">
              <w:rPr>
                <w:rFonts w:ascii="Times New Roman" w:eastAsia="宋体" w:hAnsi="Times New Roman"/>
                <w:sz w:val="24"/>
                <w:szCs w:val="24"/>
              </w:rPr>
              <w:t>FPI</w:t>
            </w:r>
            <w:r w:rsidR="00B16EB5" w:rsidRPr="00B16EB5">
              <w:rPr>
                <w:rFonts w:ascii="Times New Roman" w:eastAsia="宋体" w:hAnsi="Times New Roman"/>
                <w:sz w:val="24"/>
                <w:szCs w:val="24"/>
              </w:rPr>
              <w:t>）及首次</w:t>
            </w:r>
            <w:r w:rsidR="00B16EB5" w:rsidRPr="00B16EB5">
              <w:rPr>
                <w:rFonts w:ascii="Times New Roman" w:eastAsia="宋体" w:hAnsi="Times New Roman" w:hint="eastAsia"/>
                <w:sz w:val="24"/>
                <w:szCs w:val="24"/>
              </w:rPr>
              <w:t>给药，正在持续入组。</w:t>
            </w:r>
          </w:p>
          <w:p w14:paraId="47257627" w14:textId="77777777" w:rsidR="000D5FF6" w:rsidRPr="000D5FF6" w:rsidRDefault="000D5FF6" w:rsidP="000D5FF6">
            <w:pPr>
              <w:ind w:firstLineChars="200" w:firstLine="480"/>
              <w:jc w:val="both"/>
              <w:rPr>
                <w:rFonts w:ascii="Times New Roman" w:eastAsia="宋体" w:hAnsi="Times New Roman"/>
                <w:sz w:val="24"/>
                <w:szCs w:val="24"/>
              </w:rPr>
            </w:pPr>
            <w:r w:rsidRPr="000D5FF6">
              <w:rPr>
                <w:rFonts w:ascii="Times New Roman" w:eastAsia="宋体" w:hAnsi="Times New Roman" w:hint="eastAsia"/>
                <w:sz w:val="24"/>
                <w:szCs w:val="24"/>
              </w:rPr>
              <w:t>基于在经典型霍奇金淋巴瘤（</w:t>
            </w:r>
            <w:r w:rsidRPr="000D5FF6">
              <w:rPr>
                <w:rFonts w:ascii="Times New Roman" w:eastAsia="宋体" w:hAnsi="Times New Roman"/>
                <w:sz w:val="24"/>
                <w:szCs w:val="24"/>
              </w:rPr>
              <w:t>cHL</w:t>
            </w:r>
            <w:r w:rsidRPr="000D5FF6">
              <w:rPr>
                <w:rFonts w:ascii="Times New Roman" w:eastAsia="宋体" w:hAnsi="Times New Roman"/>
                <w:sz w:val="24"/>
                <w:szCs w:val="24"/>
              </w:rPr>
              <w:t>）中优异的早期</w:t>
            </w:r>
            <w:r w:rsidRPr="000D5FF6">
              <w:rPr>
                <w:rFonts w:ascii="Times New Roman" w:eastAsia="宋体" w:hAnsi="Times New Roman" w:hint="eastAsia"/>
                <w:sz w:val="24"/>
                <w:szCs w:val="24"/>
              </w:rPr>
              <w:t>数据，公司已正式启动</w:t>
            </w:r>
            <w:r w:rsidRPr="000D5FF6">
              <w:rPr>
                <w:rFonts w:ascii="Times New Roman" w:eastAsia="宋体" w:hAnsi="Times New Roman"/>
                <w:sz w:val="24"/>
                <w:szCs w:val="24"/>
              </w:rPr>
              <w:t>tifcemalimab</w:t>
            </w:r>
            <w:r w:rsidRPr="000D5FF6">
              <w:rPr>
                <w:rFonts w:ascii="Times New Roman" w:eastAsia="宋体" w:hAnsi="Times New Roman" w:hint="eastAsia"/>
                <w:sz w:val="24"/>
                <w:szCs w:val="24"/>
              </w:rPr>
              <w:t>联合特瑞普利单抗用于治疗</w:t>
            </w:r>
            <w:r w:rsidRPr="000D5FF6">
              <w:rPr>
                <w:rFonts w:ascii="Times New Roman" w:eastAsia="宋体" w:hAnsi="Times New Roman"/>
                <w:sz w:val="24"/>
                <w:szCs w:val="24"/>
              </w:rPr>
              <w:t>cHL</w:t>
            </w:r>
            <w:r w:rsidRPr="000D5FF6">
              <w:rPr>
                <w:rFonts w:ascii="Times New Roman" w:eastAsia="宋体" w:hAnsi="Times New Roman"/>
                <w:sz w:val="24"/>
                <w:szCs w:val="24"/>
              </w:rPr>
              <w:t>的</w:t>
            </w:r>
            <w:r w:rsidRPr="000D5FF6">
              <w:rPr>
                <w:rFonts w:ascii="Times New Roman" w:eastAsia="宋体" w:hAnsi="Times New Roman" w:hint="eastAsia"/>
                <w:sz w:val="24"/>
                <w:szCs w:val="24"/>
              </w:rPr>
              <w:t>随机、开放、阳性对照、多中心</w:t>
            </w:r>
            <w:r w:rsidRPr="000D5FF6">
              <w:rPr>
                <w:rFonts w:ascii="Times New Roman" w:eastAsia="宋体" w:hAnsi="Times New Roman"/>
                <w:sz w:val="24"/>
                <w:szCs w:val="24"/>
              </w:rPr>
              <w:t>III</w:t>
            </w:r>
            <w:r w:rsidRPr="000D5FF6">
              <w:rPr>
                <w:rFonts w:ascii="Times New Roman" w:eastAsia="宋体" w:hAnsi="Times New Roman"/>
                <w:sz w:val="24"/>
                <w:szCs w:val="24"/>
              </w:rPr>
              <w:t>期</w:t>
            </w:r>
            <w:r w:rsidRPr="000D5FF6">
              <w:rPr>
                <w:rFonts w:ascii="Times New Roman" w:eastAsia="宋体" w:hAnsi="Times New Roman" w:hint="eastAsia"/>
                <w:sz w:val="24"/>
                <w:szCs w:val="24"/>
              </w:rPr>
              <w:t>临床研究（</w:t>
            </w:r>
            <w:r w:rsidRPr="000D5FF6">
              <w:rPr>
                <w:rFonts w:ascii="Times New Roman" w:eastAsia="宋体" w:hAnsi="Times New Roman"/>
                <w:sz w:val="24"/>
                <w:szCs w:val="24"/>
              </w:rPr>
              <w:t>NCT06170489</w:t>
            </w:r>
            <w:r w:rsidRPr="000D5FF6">
              <w:rPr>
                <w:rFonts w:ascii="Times New Roman" w:eastAsia="宋体" w:hAnsi="Times New Roman"/>
                <w:sz w:val="24"/>
                <w:szCs w:val="24"/>
              </w:rPr>
              <w:t>）。</w:t>
            </w:r>
            <w:r w:rsidRPr="000D5FF6">
              <w:rPr>
                <w:rFonts w:ascii="Times New Roman" w:eastAsia="宋体" w:hAnsi="Times New Roman" w:hint="eastAsia"/>
                <w:sz w:val="24"/>
                <w:szCs w:val="24"/>
              </w:rPr>
              <w:t>该研究是</w:t>
            </w:r>
            <w:r w:rsidRPr="000D5FF6">
              <w:rPr>
                <w:rFonts w:ascii="Times New Roman" w:eastAsia="宋体" w:hAnsi="Times New Roman"/>
                <w:sz w:val="24"/>
                <w:szCs w:val="24"/>
              </w:rPr>
              <w:t>tifcemalimab</w:t>
            </w:r>
            <w:r w:rsidRPr="000D5FF6">
              <w:rPr>
                <w:rFonts w:ascii="Times New Roman" w:eastAsia="宋体" w:hAnsi="Times New Roman"/>
                <w:sz w:val="24"/>
                <w:szCs w:val="24"/>
              </w:rPr>
              <w:t>的又一</w:t>
            </w:r>
            <w:r w:rsidRPr="000D5FF6">
              <w:rPr>
                <w:rFonts w:ascii="Times New Roman" w:eastAsia="宋体" w:hAnsi="Times New Roman" w:hint="eastAsia"/>
                <w:sz w:val="24"/>
                <w:szCs w:val="24"/>
              </w:rPr>
              <w:t>项关键注册研究，也是</w:t>
            </w:r>
            <w:r w:rsidRPr="000D5FF6">
              <w:rPr>
                <w:rFonts w:ascii="Times New Roman" w:eastAsia="宋体" w:hAnsi="Times New Roman"/>
                <w:sz w:val="24"/>
                <w:szCs w:val="24"/>
              </w:rPr>
              <w:t>BTLA</w:t>
            </w:r>
            <w:r w:rsidRPr="000D5FF6">
              <w:rPr>
                <w:rFonts w:ascii="Times New Roman" w:eastAsia="宋体" w:hAnsi="Times New Roman"/>
                <w:sz w:val="24"/>
                <w:szCs w:val="24"/>
              </w:rPr>
              <w:t>靶</w:t>
            </w:r>
            <w:r w:rsidRPr="000D5FF6">
              <w:rPr>
                <w:rFonts w:ascii="Times New Roman" w:eastAsia="宋体" w:hAnsi="Times New Roman" w:hint="eastAsia"/>
                <w:sz w:val="24"/>
                <w:szCs w:val="24"/>
              </w:rPr>
              <w:t>点药物在血液肿瘤领域的首个</w:t>
            </w:r>
            <w:r w:rsidRPr="000D5FF6">
              <w:rPr>
                <w:rFonts w:ascii="Times New Roman" w:eastAsia="宋体" w:hAnsi="Times New Roman"/>
                <w:sz w:val="24"/>
                <w:szCs w:val="24"/>
              </w:rPr>
              <w:t>III</w:t>
            </w:r>
            <w:r w:rsidRPr="000D5FF6">
              <w:rPr>
                <w:rFonts w:ascii="Times New Roman" w:eastAsia="宋体" w:hAnsi="Times New Roman"/>
                <w:sz w:val="24"/>
                <w:szCs w:val="24"/>
              </w:rPr>
              <w:t>期</w:t>
            </w:r>
            <w:r w:rsidRPr="000D5FF6">
              <w:rPr>
                <w:rFonts w:ascii="Times New Roman" w:eastAsia="宋体" w:hAnsi="Times New Roman" w:hint="eastAsia"/>
                <w:sz w:val="24"/>
                <w:szCs w:val="24"/>
              </w:rPr>
              <w:t>临床研究，旨在评价</w:t>
            </w:r>
            <w:r w:rsidRPr="000D5FF6">
              <w:rPr>
                <w:rFonts w:ascii="Times New Roman" w:eastAsia="宋体" w:hAnsi="Times New Roman"/>
                <w:sz w:val="24"/>
                <w:szCs w:val="24"/>
              </w:rPr>
              <w:t>tifcemalimab</w:t>
            </w:r>
            <w:r w:rsidRPr="000D5FF6">
              <w:rPr>
                <w:rFonts w:ascii="Times New Roman" w:eastAsia="宋体" w:hAnsi="Times New Roman" w:hint="eastAsia"/>
                <w:sz w:val="24"/>
                <w:szCs w:val="24"/>
              </w:rPr>
              <w:t>联合特瑞普利单抗对比研究者选择的化疗用于抗</w:t>
            </w:r>
            <w:r w:rsidRPr="000D5FF6">
              <w:rPr>
                <w:rFonts w:ascii="Times New Roman" w:eastAsia="宋体" w:hAnsi="Times New Roman"/>
                <w:sz w:val="24"/>
                <w:szCs w:val="24"/>
              </w:rPr>
              <w:t>PD-(L)1</w:t>
            </w:r>
            <w:r w:rsidRPr="000D5FF6">
              <w:rPr>
                <w:rFonts w:ascii="Times New Roman" w:eastAsia="宋体" w:hAnsi="Times New Roman" w:hint="eastAsia"/>
                <w:sz w:val="24"/>
                <w:szCs w:val="24"/>
              </w:rPr>
              <w:t>单抗难治性</w:t>
            </w:r>
            <w:r w:rsidRPr="000D5FF6">
              <w:rPr>
                <w:rFonts w:ascii="Times New Roman" w:eastAsia="宋体" w:hAnsi="Times New Roman"/>
                <w:sz w:val="24"/>
                <w:szCs w:val="24"/>
              </w:rPr>
              <w:t>cHL</w:t>
            </w:r>
            <w:r w:rsidRPr="000D5FF6">
              <w:rPr>
                <w:rFonts w:ascii="Times New Roman" w:eastAsia="宋体" w:hAnsi="Times New Roman"/>
                <w:sz w:val="24"/>
                <w:szCs w:val="24"/>
              </w:rPr>
              <w:t>的</w:t>
            </w:r>
            <w:r w:rsidRPr="000D5FF6">
              <w:rPr>
                <w:rFonts w:ascii="Times New Roman" w:eastAsia="宋体" w:hAnsi="Times New Roman" w:hint="eastAsia"/>
                <w:sz w:val="24"/>
                <w:szCs w:val="24"/>
              </w:rPr>
              <w:t>疗效和安全性，由北京大学肿瘤医院宋玉琴教授担任主要研究者，计划在国内超过</w:t>
            </w:r>
            <w:r w:rsidRPr="000D5FF6">
              <w:rPr>
                <w:rFonts w:ascii="Times New Roman" w:eastAsia="宋体" w:hAnsi="Times New Roman"/>
                <w:sz w:val="24"/>
                <w:szCs w:val="24"/>
              </w:rPr>
              <w:t>50</w:t>
            </w:r>
            <w:r w:rsidRPr="000D5FF6">
              <w:rPr>
                <w:rFonts w:ascii="Times New Roman" w:eastAsia="宋体" w:hAnsi="Times New Roman" w:hint="eastAsia"/>
                <w:sz w:val="24"/>
                <w:szCs w:val="24"/>
              </w:rPr>
              <w:t>个研究中心开展，招募约</w:t>
            </w:r>
            <w:r w:rsidRPr="000D5FF6">
              <w:rPr>
                <w:rFonts w:ascii="Times New Roman" w:eastAsia="宋体" w:hAnsi="Times New Roman"/>
                <w:sz w:val="24"/>
                <w:szCs w:val="24"/>
              </w:rPr>
              <w:t>185</w:t>
            </w:r>
            <w:r w:rsidRPr="000D5FF6">
              <w:rPr>
                <w:rFonts w:ascii="Times New Roman" w:eastAsia="宋体" w:hAnsi="Times New Roman"/>
                <w:sz w:val="24"/>
                <w:szCs w:val="24"/>
              </w:rPr>
              <w:t>例患者，目前正在入</w:t>
            </w:r>
            <w:r w:rsidRPr="000D5FF6">
              <w:rPr>
                <w:rFonts w:ascii="Times New Roman" w:eastAsia="宋体" w:hAnsi="Times New Roman" w:hint="eastAsia"/>
                <w:sz w:val="24"/>
                <w:szCs w:val="24"/>
              </w:rPr>
              <w:t>组中。</w:t>
            </w:r>
          </w:p>
          <w:p w14:paraId="02203B33" w14:textId="03328020" w:rsidR="000D5FF6" w:rsidRPr="000D5FF6" w:rsidRDefault="000D5FF6" w:rsidP="000D5FF6">
            <w:pPr>
              <w:ind w:firstLineChars="200" w:firstLine="480"/>
              <w:jc w:val="both"/>
              <w:rPr>
                <w:rFonts w:ascii="Times New Roman" w:eastAsia="宋体" w:hAnsi="Times New Roman"/>
                <w:sz w:val="24"/>
                <w:szCs w:val="24"/>
              </w:rPr>
            </w:pPr>
            <w:r w:rsidRPr="000D5FF6">
              <w:rPr>
                <w:rFonts w:ascii="Times New Roman" w:eastAsia="宋体" w:hAnsi="Times New Roman" w:hint="eastAsia"/>
                <w:sz w:val="24"/>
                <w:szCs w:val="24"/>
              </w:rPr>
              <w:t>此外，多项</w:t>
            </w:r>
            <w:r w:rsidRPr="000D5FF6">
              <w:rPr>
                <w:rFonts w:ascii="Times New Roman" w:eastAsia="宋体" w:hAnsi="Times New Roman"/>
                <w:sz w:val="24"/>
                <w:szCs w:val="24"/>
              </w:rPr>
              <w:t>tifcemalimab</w:t>
            </w:r>
            <w:r w:rsidRPr="000D5FF6">
              <w:rPr>
                <w:rFonts w:ascii="Times New Roman" w:eastAsia="宋体" w:hAnsi="Times New Roman" w:hint="eastAsia"/>
                <w:sz w:val="24"/>
                <w:szCs w:val="24"/>
              </w:rPr>
              <w:t>联合特瑞普利单抗的</w:t>
            </w:r>
            <w:r w:rsidRPr="000D5FF6">
              <w:rPr>
                <w:rFonts w:ascii="Times New Roman" w:eastAsia="宋体" w:hAnsi="Times New Roman"/>
                <w:sz w:val="24"/>
                <w:szCs w:val="24"/>
              </w:rPr>
              <w:t>Ib/II</w:t>
            </w:r>
            <w:r w:rsidRPr="000D5FF6">
              <w:rPr>
                <w:rFonts w:ascii="Times New Roman" w:eastAsia="宋体" w:hAnsi="Times New Roman"/>
                <w:sz w:val="24"/>
                <w:szCs w:val="24"/>
              </w:rPr>
              <w:t>期</w:t>
            </w:r>
            <w:r w:rsidRPr="000D5FF6">
              <w:rPr>
                <w:rFonts w:ascii="Times New Roman" w:eastAsia="宋体" w:hAnsi="Times New Roman" w:hint="eastAsia"/>
                <w:sz w:val="24"/>
                <w:szCs w:val="24"/>
              </w:rPr>
              <w:t>临床研究正在中国和美国同步开展</w:t>
            </w:r>
            <w:r w:rsidRPr="000D5FF6">
              <w:rPr>
                <w:rFonts w:ascii="Times New Roman" w:eastAsia="宋体" w:hAnsi="Times New Roman" w:hint="eastAsia"/>
                <w:sz w:val="24"/>
                <w:szCs w:val="24"/>
              </w:rPr>
              <w:lastRenderedPageBreak/>
              <w:t>中，覆盖多个瘤种。公司认为两者结合是一种极具前景的抗癌治疗策略，有望增加患者对免疫治疗的反应，扩大可能受益人群的范围。</w:t>
            </w:r>
          </w:p>
          <w:p w14:paraId="0AE804BC" w14:textId="0CE60FB9" w:rsidR="003D6C3F" w:rsidRPr="00AD0427" w:rsidRDefault="003D6C3F" w:rsidP="006E1439">
            <w:pPr>
              <w:rPr>
                <w:rFonts w:ascii="Times New Roman" w:eastAsia="宋体" w:hAnsi="Times New Roman"/>
                <w:sz w:val="24"/>
                <w:szCs w:val="24"/>
              </w:rPr>
            </w:pPr>
          </w:p>
          <w:p w14:paraId="224B5CFE" w14:textId="64B69415" w:rsidR="000945AA" w:rsidRPr="00AD0427" w:rsidRDefault="000945AA" w:rsidP="000945AA">
            <w:pPr>
              <w:rPr>
                <w:rFonts w:ascii="Times New Roman" w:eastAsia="宋体" w:hAnsi="Times New Roman"/>
                <w:b/>
                <w:sz w:val="24"/>
                <w:szCs w:val="24"/>
                <w:lang w:val="en-MY"/>
              </w:rPr>
            </w:pPr>
            <w:r w:rsidRPr="00AD0427">
              <w:rPr>
                <w:rFonts w:ascii="Times New Roman" w:eastAsia="宋体" w:hAnsi="Times New Roman" w:hint="eastAsia"/>
                <w:b/>
                <w:sz w:val="24"/>
                <w:szCs w:val="24"/>
                <w:lang w:val="en-MY"/>
              </w:rPr>
              <w:t>问</w:t>
            </w:r>
            <w:r w:rsidRPr="00AD0427">
              <w:rPr>
                <w:rFonts w:ascii="Times New Roman" w:eastAsia="宋体" w:hAnsi="Times New Roman"/>
                <w:b/>
                <w:sz w:val="24"/>
                <w:szCs w:val="24"/>
                <w:lang w:val="en-MY"/>
              </w:rPr>
              <w:t>2</w:t>
            </w:r>
            <w:r w:rsidRPr="00AD0427">
              <w:rPr>
                <w:rFonts w:ascii="Times New Roman" w:eastAsia="宋体" w:hAnsi="Times New Roman" w:hint="eastAsia"/>
                <w:b/>
                <w:sz w:val="24"/>
                <w:szCs w:val="24"/>
                <w:lang w:val="en-MY"/>
              </w:rPr>
              <w:t>：</w:t>
            </w:r>
            <w:r w:rsidR="00451D13" w:rsidRPr="00AD0427">
              <w:rPr>
                <w:rFonts w:ascii="Times New Roman" w:eastAsia="宋体" w:hAnsi="Times New Roman" w:hint="eastAsia"/>
                <w:b/>
                <w:sz w:val="24"/>
                <w:szCs w:val="24"/>
                <w:lang w:val="en-MY"/>
              </w:rPr>
              <w:t>特瑞普利单抗出海进展</w:t>
            </w:r>
            <w:r w:rsidRPr="00AD0427">
              <w:rPr>
                <w:rFonts w:ascii="Times New Roman" w:eastAsia="宋体" w:hAnsi="Times New Roman" w:hint="eastAsia"/>
                <w:b/>
                <w:sz w:val="24"/>
                <w:szCs w:val="24"/>
                <w:lang w:val="en-MY"/>
              </w:rPr>
              <w:t>？</w:t>
            </w:r>
          </w:p>
          <w:p w14:paraId="6DBFBA74" w14:textId="77777777" w:rsidR="006A238E" w:rsidRPr="006A238E" w:rsidRDefault="000945AA" w:rsidP="006A238E">
            <w:pPr>
              <w:jc w:val="both"/>
              <w:rPr>
                <w:rFonts w:ascii="Times New Roman" w:eastAsia="宋体" w:hAnsi="Times New Roman"/>
                <w:sz w:val="24"/>
                <w:szCs w:val="24"/>
                <w:lang w:val="en-MY"/>
              </w:rPr>
            </w:pPr>
            <w:r w:rsidRPr="00AD0427">
              <w:rPr>
                <w:rFonts w:ascii="Times New Roman" w:eastAsia="宋体" w:hAnsi="Times New Roman" w:hint="eastAsia"/>
                <w:sz w:val="24"/>
                <w:szCs w:val="24"/>
                <w:lang w:val="en-MY"/>
              </w:rPr>
              <w:t>答：</w:t>
            </w:r>
            <w:r w:rsidR="006A238E" w:rsidRPr="006A238E">
              <w:rPr>
                <w:rFonts w:ascii="Times New Roman" w:eastAsia="宋体" w:hAnsi="Times New Roman"/>
                <w:sz w:val="24"/>
                <w:szCs w:val="24"/>
                <w:lang w:val="en-MY"/>
              </w:rPr>
              <w:t>2024</w:t>
            </w:r>
            <w:r w:rsidR="006A238E" w:rsidRPr="006A238E">
              <w:rPr>
                <w:rFonts w:ascii="Times New Roman" w:eastAsia="宋体" w:hAnsi="Times New Roman"/>
                <w:sz w:val="24"/>
                <w:szCs w:val="24"/>
                <w:lang w:val="en-MY"/>
              </w:rPr>
              <w:t>年</w:t>
            </w:r>
            <w:r w:rsidR="006A238E" w:rsidRPr="006A238E">
              <w:rPr>
                <w:rFonts w:ascii="Times New Roman" w:eastAsia="宋体" w:hAnsi="Times New Roman"/>
                <w:sz w:val="24"/>
                <w:szCs w:val="24"/>
                <w:lang w:val="en-MY"/>
              </w:rPr>
              <w:t>1</w:t>
            </w:r>
            <w:r w:rsidR="006A238E" w:rsidRPr="006A238E">
              <w:rPr>
                <w:rFonts w:ascii="Times New Roman" w:eastAsia="宋体" w:hAnsi="Times New Roman"/>
                <w:sz w:val="24"/>
                <w:szCs w:val="24"/>
                <w:lang w:val="en-MY"/>
              </w:rPr>
              <w:t>月，特瑞普利</w:t>
            </w:r>
            <w:r w:rsidR="006A238E" w:rsidRPr="006A238E">
              <w:rPr>
                <w:rFonts w:ascii="Times New Roman" w:eastAsia="宋体" w:hAnsi="Times New Roman" w:hint="eastAsia"/>
                <w:sz w:val="24"/>
                <w:szCs w:val="24"/>
                <w:lang w:val="en-MY"/>
              </w:rPr>
              <w:t>单抗联合顺铂</w:t>
            </w:r>
            <w:r w:rsidR="006A238E" w:rsidRPr="006A238E">
              <w:rPr>
                <w:rFonts w:ascii="Times New Roman" w:eastAsia="宋体" w:hAnsi="Times New Roman"/>
                <w:sz w:val="24"/>
                <w:szCs w:val="24"/>
                <w:lang w:val="en-MY"/>
              </w:rPr>
              <w:t>/</w:t>
            </w:r>
            <w:r w:rsidR="006A238E" w:rsidRPr="006A238E">
              <w:rPr>
                <w:rFonts w:ascii="Times New Roman" w:eastAsia="宋体" w:hAnsi="Times New Roman"/>
                <w:sz w:val="24"/>
                <w:szCs w:val="24"/>
                <w:lang w:val="en-MY"/>
              </w:rPr>
              <w:t>吉西他</w:t>
            </w:r>
            <w:r w:rsidR="006A238E" w:rsidRPr="006A238E">
              <w:rPr>
                <w:rFonts w:ascii="Times New Roman" w:eastAsia="宋体" w:hAnsi="Times New Roman" w:hint="eastAsia"/>
                <w:sz w:val="24"/>
                <w:szCs w:val="24"/>
                <w:lang w:val="en-MY"/>
              </w:rPr>
              <w:t>滨作为转移性或复发性局部晚期鼻咽癌成人患者的一线治疗，以及作为单药治疗既往含铂治疗过程中或治疗后疾病进展的复发性、不可切除或转移性鼻咽癌的成人患者的上市许可申请获得</w:t>
            </w:r>
            <w:r w:rsidR="006A238E" w:rsidRPr="006A238E">
              <w:rPr>
                <w:rFonts w:ascii="Times New Roman" w:eastAsia="宋体" w:hAnsi="Times New Roman"/>
                <w:sz w:val="24"/>
                <w:szCs w:val="24"/>
                <w:lang w:val="en-MY"/>
              </w:rPr>
              <w:t>HSA</w:t>
            </w:r>
            <w:r w:rsidR="006A238E" w:rsidRPr="006A238E">
              <w:rPr>
                <w:rFonts w:ascii="Times New Roman" w:eastAsia="宋体" w:hAnsi="Times New Roman"/>
                <w:sz w:val="24"/>
                <w:szCs w:val="24"/>
                <w:lang w:val="en-MY"/>
              </w:rPr>
              <w:t>受理，并</w:t>
            </w:r>
            <w:r w:rsidR="006A238E" w:rsidRPr="006A238E">
              <w:rPr>
                <w:rFonts w:ascii="Times New Roman" w:eastAsia="宋体" w:hAnsi="Times New Roman" w:hint="eastAsia"/>
                <w:sz w:val="24"/>
                <w:szCs w:val="24"/>
                <w:lang w:val="en-MY"/>
              </w:rPr>
              <w:t>获</w:t>
            </w:r>
            <w:r w:rsidR="006A238E" w:rsidRPr="006A238E">
              <w:rPr>
                <w:rFonts w:ascii="Times New Roman" w:eastAsia="宋体" w:hAnsi="Times New Roman"/>
                <w:sz w:val="24"/>
                <w:szCs w:val="24"/>
                <w:lang w:val="en-MY"/>
              </w:rPr>
              <w:t>HSA</w:t>
            </w:r>
            <w:r w:rsidR="006A238E" w:rsidRPr="006A238E">
              <w:rPr>
                <w:rFonts w:ascii="Times New Roman" w:eastAsia="宋体" w:hAnsi="Times New Roman"/>
                <w:sz w:val="24"/>
                <w:szCs w:val="24"/>
                <w:lang w:val="en-MY"/>
              </w:rPr>
              <w:t>授予优先</w:t>
            </w:r>
            <w:r w:rsidR="006A238E" w:rsidRPr="006A238E">
              <w:rPr>
                <w:rFonts w:ascii="Times New Roman" w:eastAsia="宋体" w:hAnsi="Times New Roman" w:hint="eastAsia"/>
                <w:sz w:val="24"/>
                <w:szCs w:val="24"/>
                <w:lang w:val="en-MY"/>
              </w:rPr>
              <w:t>审评认定。</w:t>
            </w:r>
          </w:p>
          <w:p w14:paraId="70F5D723" w14:textId="5CC9A230" w:rsidR="000945AA" w:rsidRDefault="006A238E" w:rsidP="006A238E">
            <w:pPr>
              <w:ind w:firstLineChars="200" w:firstLine="480"/>
              <w:jc w:val="both"/>
              <w:rPr>
                <w:rFonts w:ascii="Times New Roman" w:eastAsia="宋体" w:hAnsi="Times New Roman"/>
                <w:sz w:val="24"/>
                <w:szCs w:val="24"/>
                <w:lang w:val="en-MY"/>
              </w:rPr>
            </w:pPr>
            <w:r w:rsidRPr="006A238E">
              <w:rPr>
                <w:rFonts w:ascii="Times New Roman" w:eastAsia="宋体" w:hAnsi="Times New Roman"/>
                <w:sz w:val="24"/>
                <w:szCs w:val="24"/>
                <w:lang w:val="en-MY"/>
              </w:rPr>
              <w:t>2024</w:t>
            </w:r>
            <w:r w:rsidRPr="006A238E">
              <w:rPr>
                <w:rFonts w:ascii="Times New Roman" w:eastAsia="宋体" w:hAnsi="Times New Roman"/>
                <w:sz w:val="24"/>
                <w:szCs w:val="24"/>
                <w:lang w:val="en-MY"/>
              </w:rPr>
              <w:t>年</w:t>
            </w:r>
            <w:r w:rsidRPr="006A238E">
              <w:rPr>
                <w:rFonts w:ascii="Times New Roman" w:eastAsia="宋体" w:hAnsi="Times New Roman"/>
                <w:sz w:val="24"/>
                <w:szCs w:val="24"/>
                <w:lang w:val="en-MY"/>
              </w:rPr>
              <w:t>7</w:t>
            </w:r>
            <w:r w:rsidRPr="006A238E">
              <w:rPr>
                <w:rFonts w:ascii="Times New Roman" w:eastAsia="宋体" w:hAnsi="Times New Roman"/>
                <w:sz w:val="24"/>
                <w:szCs w:val="24"/>
                <w:lang w:val="en-MY"/>
              </w:rPr>
              <w:t>月，特瑞普利</w:t>
            </w:r>
            <w:r w:rsidRPr="006A238E">
              <w:rPr>
                <w:rFonts w:ascii="Times New Roman" w:eastAsia="宋体" w:hAnsi="Times New Roman" w:hint="eastAsia"/>
                <w:sz w:val="24"/>
                <w:szCs w:val="24"/>
                <w:lang w:val="en-MY"/>
              </w:rPr>
              <w:t>单抗的上市许可申请获得</w:t>
            </w:r>
            <w:r w:rsidRPr="006A238E">
              <w:rPr>
                <w:rFonts w:ascii="Times New Roman" w:eastAsia="宋体" w:hAnsi="Times New Roman"/>
                <w:sz w:val="24"/>
                <w:szCs w:val="24"/>
                <w:lang w:val="en-MY"/>
              </w:rPr>
              <w:t>CHMP</w:t>
            </w:r>
            <w:r w:rsidRPr="006A238E">
              <w:rPr>
                <w:rFonts w:ascii="Times New Roman" w:eastAsia="宋体" w:hAnsi="Times New Roman"/>
                <w:sz w:val="24"/>
                <w:szCs w:val="24"/>
                <w:lang w:val="en-MY"/>
              </w:rPr>
              <w:t>的</w:t>
            </w:r>
            <w:r w:rsidRPr="006A238E">
              <w:rPr>
                <w:rFonts w:ascii="Times New Roman" w:eastAsia="宋体" w:hAnsi="Times New Roman" w:hint="eastAsia"/>
                <w:sz w:val="24"/>
                <w:szCs w:val="24"/>
                <w:lang w:val="en-MY"/>
              </w:rPr>
              <w:t>积极意见，建议批准其用于治疗两项适应症：特瑞普利单抗联合顺铂和吉西他滨用于复发、不能手术或放疗的，或转移性鼻咽癌成人患者的一线治疗，以及特瑞普利单抗联合顺铂和紫杉醇用于不可切除的晚期</w:t>
            </w:r>
            <w:r w:rsidRPr="006A238E">
              <w:rPr>
                <w:rFonts w:ascii="Times New Roman" w:eastAsia="宋体" w:hAnsi="Times New Roman"/>
                <w:sz w:val="24"/>
                <w:szCs w:val="24"/>
                <w:lang w:val="en-MY"/>
              </w:rPr>
              <w:t>/</w:t>
            </w:r>
            <w:r w:rsidRPr="006A238E">
              <w:rPr>
                <w:rFonts w:ascii="Times New Roman" w:eastAsia="宋体" w:hAnsi="Times New Roman"/>
                <w:sz w:val="24"/>
                <w:szCs w:val="24"/>
                <w:lang w:val="en-MY"/>
              </w:rPr>
              <w:t>复</w:t>
            </w:r>
            <w:r w:rsidRPr="006A238E">
              <w:rPr>
                <w:rFonts w:ascii="Times New Roman" w:eastAsia="宋体" w:hAnsi="Times New Roman" w:hint="eastAsia"/>
                <w:sz w:val="24"/>
                <w:szCs w:val="24"/>
                <w:lang w:val="en-MY"/>
              </w:rPr>
              <w:t>发或转移性食管鳞癌成人患者的一线治疗。</w:t>
            </w:r>
            <w:r w:rsidRPr="006A238E">
              <w:rPr>
                <w:rFonts w:ascii="Times New Roman" w:eastAsia="宋体" w:hAnsi="Times New Roman"/>
                <w:sz w:val="24"/>
                <w:szCs w:val="24"/>
                <w:lang w:val="en-MY"/>
              </w:rPr>
              <w:t>EC</w:t>
            </w:r>
            <w:r w:rsidRPr="006A238E">
              <w:rPr>
                <w:rFonts w:ascii="Times New Roman" w:eastAsia="宋体" w:hAnsi="Times New Roman" w:hint="eastAsia"/>
                <w:sz w:val="24"/>
                <w:szCs w:val="24"/>
                <w:lang w:val="en-MY"/>
              </w:rPr>
              <w:t>将把</w:t>
            </w:r>
            <w:r w:rsidRPr="006A238E">
              <w:rPr>
                <w:rFonts w:ascii="Times New Roman" w:eastAsia="宋体" w:hAnsi="Times New Roman"/>
                <w:sz w:val="24"/>
                <w:szCs w:val="24"/>
                <w:lang w:val="en-MY"/>
              </w:rPr>
              <w:t>CHMP</w:t>
            </w:r>
            <w:r w:rsidRPr="006A238E">
              <w:rPr>
                <w:rFonts w:ascii="Times New Roman" w:eastAsia="宋体" w:hAnsi="Times New Roman"/>
                <w:sz w:val="24"/>
                <w:szCs w:val="24"/>
                <w:lang w:val="en-MY"/>
              </w:rPr>
              <w:t>的</w:t>
            </w:r>
            <w:r w:rsidRPr="006A238E">
              <w:rPr>
                <w:rFonts w:ascii="Times New Roman" w:eastAsia="宋体" w:hAnsi="Times New Roman" w:hint="eastAsia"/>
                <w:sz w:val="24"/>
                <w:szCs w:val="24"/>
                <w:lang w:val="en-MY"/>
              </w:rPr>
              <w:t>积极意见纳入考虑，以便对特瑞普利单抗的上市许可申请做出最终审评决议</w:t>
            </w:r>
            <w:r w:rsidR="00FE0B37" w:rsidRPr="00AD0427">
              <w:rPr>
                <w:rFonts w:ascii="Times New Roman" w:eastAsia="宋体" w:hAnsi="Times New Roman"/>
                <w:sz w:val="24"/>
                <w:szCs w:val="24"/>
                <w:lang w:val="en-MY"/>
              </w:rPr>
              <w:t>。</w:t>
            </w:r>
          </w:p>
          <w:p w14:paraId="66BEA508" w14:textId="4265ED11" w:rsidR="004A39F4" w:rsidRDefault="00E92924" w:rsidP="00C10947">
            <w:pPr>
              <w:ind w:firstLineChars="200" w:firstLine="480"/>
              <w:jc w:val="both"/>
              <w:rPr>
                <w:rFonts w:ascii="Times New Roman" w:eastAsia="宋体" w:hAnsi="Times New Roman"/>
                <w:sz w:val="24"/>
                <w:szCs w:val="24"/>
                <w:lang w:val="en-MY"/>
              </w:rPr>
            </w:pPr>
            <w:r w:rsidRPr="00E92924">
              <w:rPr>
                <w:rFonts w:ascii="Times New Roman" w:eastAsia="宋体" w:hAnsi="Times New Roman" w:hint="eastAsia"/>
                <w:sz w:val="24"/>
                <w:szCs w:val="24"/>
                <w:lang w:val="en-MY"/>
              </w:rPr>
              <w:t>根据公司已披露的公告，除美国外，特瑞普利单抗</w:t>
            </w:r>
            <w:r w:rsidR="00247ABC">
              <w:rPr>
                <w:rFonts w:ascii="Times New Roman" w:eastAsia="宋体" w:hAnsi="Times New Roman" w:hint="eastAsia"/>
                <w:sz w:val="24"/>
                <w:szCs w:val="24"/>
                <w:lang w:val="en-MY"/>
              </w:rPr>
              <w:t>的上市申请</w:t>
            </w:r>
            <w:r w:rsidR="00F85160">
              <w:rPr>
                <w:rFonts w:ascii="Times New Roman" w:eastAsia="宋体" w:hAnsi="Times New Roman" w:hint="eastAsia"/>
                <w:sz w:val="24"/>
                <w:szCs w:val="24"/>
                <w:lang w:val="en-MY"/>
              </w:rPr>
              <w:t>已</w:t>
            </w:r>
            <w:r w:rsidR="006100EC">
              <w:rPr>
                <w:rFonts w:ascii="Times New Roman" w:eastAsia="宋体" w:hAnsi="Times New Roman" w:hint="eastAsia"/>
                <w:sz w:val="24"/>
                <w:szCs w:val="24"/>
                <w:lang w:val="en-MY"/>
              </w:rPr>
              <w:t>获得</w:t>
            </w:r>
            <w:r w:rsidRPr="00E92924">
              <w:rPr>
                <w:rFonts w:ascii="Times New Roman" w:eastAsia="宋体" w:hAnsi="Times New Roman" w:hint="eastAsia"/>
                <w:sz w:val="24"/>
                <w:szCs w:val="24"/>
                <w:lang w:val="en-MY"/>
              </w:rPr>
              <w:t>欧盟、英国、新加坡、澳大利亚</w:t>
            </w:r>
            <w:r w:rsidR="006100EC">
              <w:rPr>
                <w:rFonts w:ascii="Times New Roman" w:eastAsia="宋体" w:hAnsi="Times New Roman" w:hint="eastAsia"/>
                <w:sz w:val="24"/>
                <w:szCs w:val="24"/>
                <w:lang w:val="en-MY"/>
              </w:rPr>
              <w:t>等地</w:t>
            </w:r>
            <w:r w:rsidRPr="00E92924">
              <w:rPr>
                <w:rFonts w:ascii="Times New Roman" w:eastAsia="宋体" w:hAnsi="Times New Roman" w:hint="eastAsia"/>
                <w:sz w:val="24"/>
                <w:szCs w:val="24"/>
                <w:lang w:val="en-MY"/>
              </w:rPr>
              <w:t>药监部门受理</w:t>
            </w:r>
            <w:r w:rsidR="00C10947" w:rsidRPr="00C10947">
              <w:rPr>
                <w:rFonts w:ascii="Times New Roman" w:eastAsia="宋体" w:hAnsi="Times New Roman" w:hint="eastAsia"/>
                <w:sz w:val="24"/>
                <w:szCs w:val="24"/>
                <w:lang w:val="en-MY"/>
              </w:rPr>
              <w:t>。公司及各合作伙伴正在积极推动特瑞普利单抗在合作区域的上市申报进程，并积极探索更多适应症在部分地区上市的可能性。</w:t>
            </w:r>
          </w:p>
          <w:p w14:paraId="5B448010" w14:textId="77777777" w:rsidR="00C926F8" w:rsidRPr="00AD0427" w:rsidRDefault="00C926F8" w:rsidP="00C10947">
            <w:pPr>
              <w:ind w:firstLineChars="200" w:firstLine="480"/>
              <w:jc w:val="both"/>
              <w:rPr>
                <w:rFonts w:ascii="Times New Roman" w:eastAsia="宋体" w:hAnsi="Times New Roman"/>
                <w:sz w:val="24"/>
                <w:szCs w:val="24"/>
                <w:lang w:val="en-MY"/>
              </w:rPr>
            </w:pPr>
          </w:p>
          <w:p w14:paraId="70B520B5" w14:textId="40A0BD47" w:rsidR="000938C7" w:rsidRDefault="004A39F4" w:rsidP="004A39F4">
            <w:pPr>
              <w:rPr>
                <w:rFonts w:ascii="Times New Roman" w:eastAsia="宋体" w:hAnsi="Times New Roman"/>
                <w:b/>
                <w:sz w:val="24"/>
                <w:szCs w:val="24"/>
                <w:lang w:val="en-MY"/>
              </w:rPr>
            </w:pPr>
            <w:r w:rsidRPr="00AD0427">
              <w:rPr>
                <w:rFonts w:ascii="Times New Roman" w:eastAsia="宋体" w:hAnsi="Times New Roman" w:hint="eastAsia"/>
                <w:b/>
                <w:sz w:val="24"/>
                <w:szCs w:val="24"/>
                <w:lang w:val="en-MY"/>
              </w:rPr>
              <w:t>问</w:t>
            </w:r>
            <w:r w:rsidRPr="00AD0427">
              <w:rPr>
                <w:rFonts w:ascii="Times New Roman" w:eastAsia="宋体" w:hAnsi="Times New Roman"/>
                <w:b/>
                <w:sz w:val="24"/>
                <w:szCs w:val="24"/>
                <w:lang w:val="en-MY"/>
              </w:rPr>
              <w:t>3</w:t>
            </w:r>
            <w:r w:rsidRPr="00AD0427">
              <w:rPr>
                <w:rFonts w:ascii="Times New Roman" w:eastAsia="宋体" w:hAnsi="Times New Roman" w:hint="eastAsia"/>
                <w:b/>
                <w:sz w:val="24"/>
                <w:szCs w:val="24"/>
                <w:lang w:val="en-MY"/>
              </w:rPr>
              <w:t>：</w:t>
            </w:r>
            <w:r w:rsidR="000938C7">
              <w:rPr>
                <w:rFonts w:ascii="Times New Roman" w:eastAsia="宋体" w:hAnsi="Times New Roman" w:hint="eastAsia"/>
                <w:b/>
                <w:sz w:val="24"/>
                <w:szCs w:val="24"/>
                <w:lang w:val="en-MY"/>
              </w:rPr>
              <w:t>公司在肺癌领域</w:t>
            </w:r>
            <w:r w:rsidR="00E41906">
              <w:rPr>
                <w:rFonts w:ascii="Times New Roman" w:eastAsia="宋体" w:hAnsi="Times New Roman" w:hint="eastAsia"/>
                <w:b/>
                <w:sz w:val="24"/>
                <w:szCs w:val="24"/>
                <w:lang w:val="en-MY"/>
              </w:rPr>
              <w:t>的布局？</w:t>
            </w:r>
          </w:p>
          <w:p w14:paraId="5CAAD17C" w14:textId="78EDAEE9" w:rsidR="004D4B93" w:rsidRDefault="00393DB7" w:rsidP="00B1147A">
            <w:pPr>
              <w:jc w:val="both"/>
              <w:rPr>
                <w:rFonts w:ascii="Times New Roman" w:eastAsia="宋体" w:hAnsi="Times New Roman"/>
                <w:sz w:val="24"/>
                <w:szCs w:val="24"/>
                <w:lang w:val="en-MY"/>
              </w:rPr>
            </w:pPr>
            <w:r w:rsidRPr="00AD0427">
              <w:rPr>
                <w:rFonts w:ascii="Times New Roman" w:eastAsia="宋体" w:hAnsi="Times New Roman" w:hint="eastAsia"/>
                <w:sz w:val="24"/>
                <w:szCs w:val="24"/>
                <w:lang w:val="en-MY"/>
              </w:rPr>
              <w:t>答：</w:t>
            </w:r>
            <w:r w:rsidR="008857B4">
              <w:rPr>
                <w:rFonts w:ascii="Times New Roman" w:eastAsia="宋体" w:hAnsi="Times New Roman" w:hint="eastAsia"/>
                <w:sz w:val="24"/>
                <w:szCs w:val="24"/>
                <w:lang w:val="en-MY"/>
              </w:rPr>
              <w:t>公司</w:t>
            </w:r>
            <w:r w:rsidR="008857B4" w:rsidRPr="008857B4">
              <w:rPr>
                <w:rFonts w:ascii="Times New Roman" w:eastAsia="宋体" w:hAnsi="Times New Roman" w:hint="eastAsia"/>
                <w:sz w:val="24"/>
                <w:szCs w:val="24"/>
                <w:lang w:val="en-MY"/>
              </w:rPr>
              <w:t>在肺癌新药研发上持续投入，截至目前</w:t>
            </w:r>
            <w:bookmarkStart w:id="1" w:name="OLE_LINK1"/>
            <w:bookmarkStart w:id="2" w:name="OLE_LINK2"/>
            <w:r w:rsidR="008857B4" w:rsidRPr="008857B4">
              <w:rPr>
                <w:rFonts w:ascii="Times New Roman" w:eastAsia="宋体" w:hAnsi="Times New Roman" w:hint="eastAsia"/>
                <w:sz w:val="24"/>
                <w:szCs w:val="24"/>
                <w:lang w:val="en-MY"/>
              </w:rPr>
              <w:t>特瑞普利单抗</w:t>
            </w:r>
            <w:bookmarkEnd w:id="1"/>
            <w:bookmarkEnd w:id="2"/>
            <w:r w:rsidR="008857B4" w:rsidRPr="008857B4">
              <w:rPr>
                <w:rFonts w:ascii="Times New Roman" w:eastAsia="宋体" w:hAnsi="Times New Roman" w:hint="eastAsia"/>
                <w:sz w:val="24"/>
                <w:szCs w:val="24"/>
                <w:lang w:val="en-MY"/>
              </w:rPr>
              <w:t>已成功获批</w:t>
            </w:r>
            <w:r w:rsidR="008857B4" w:rsidRPr="008857B4">
              <w:rPr>
                <w:rFonts w:ascii="Times New Roman" w:eastAsia="宋体" w:hAnsi="Times New Roman"/>
                <w:sz w:val="24"/>
                <w:szCs w:val="24"/>
                <w:lang w:val="en-MY"/>
              </w:rPr>
              <w:t>3</w:t>
            </w:r>
            <w:r w:rsidR="008857B4" w:rsidRPr="008857B4">
              <w:rPr>
                <w:rFonts w:ascii="Times New Roman" w:eastAsia="宋体" w:hAnsi="Times New Roman" w:hint="eastAsia"/>
                <w:sz w:val="24"/>
                <w:szCs w:val="24"/>
                <w:lang w:val="en-MY"/>
              </w:rPr>
              <w:t>项肺癌适应症，包括</w:t>
            </w:r>
            <w:r w:rsidR="00D219E3">
              <w:rPr>
                <w:rFonts w:ascii="Times New Roman" w:eastAsia="宋体" w:hAnsi="Times New Roman" w:hint="eastAsia"/>
                <w:sz w:val="24"/>
                <w:szCs w:val="24"/>
                <w:lang w:val="en-MY"/>
              </w:rPr>
              <w:t>一线治疗</w:t>
            </w:r>
            <w:r w:rsidR="008857B4" w:rsidRPr="008857B4">
              <w:rPr>
                <w:rFonts w:ascii="Times New Roman" w:eastAsia="宋体" w:hAnsi="Times New Roman" w:hint="eastAsia"/>
                <w:sz w:val="24"/>
                <w:szCs w:val="24"/>
                <w:lang w:val="en-MY"/>
              </w:rPr>
              <w:t>非鳞</w:t>
            </w:r>
            <w:r w:rsidR="00D219E3">
              <w:rPr>
                <w:rFonts w:ascii="Times New Roman" w:eastAsia="宋体" w:hAnsi="Times New Roman" w:hint="eastAsia"/>
                <w:sz w:val="24"/>
                <w:szCs w:val="24"/>
                <w:lang w:val="en-MY"/>
              </w:rPr>
              <w:t>状</w:t>
            </w:r>
            <w:r w:rsidR="008857B4" w:rsidRPr="008857B4">
              <w:rPr>
                <w:rFonts w:ascii="Times New Roman" w:eastAsia="宋体" w:hAnsi="Times New Roman" w:hint="eastAsia"/>
                <w:sz w:val="24"/>
                <w:szCs w:val="24"/>
                <w:lang w:val="en-MY"/>
              </w:rPr>
              <w:t>非小细胞肺癌</w:t>
            </w:r>
            <w:r w:rsidR="00D219E3">
              <w:rPr>
                <w:rFonts w:ascii="Times New Roman" w:eastAsia="宋体" w:hAnsi="Times New Roman" w:hint="eastAsia"/>
                <w:sz w:val="24"/>
                <w:szCs w:val="24"/>
                <w:lang w:val="en-MY"/>
              </w:rPr>
              <w:t>、一线治疗广泛期小细胞肺癌</w:t>
            </w:r>
            <w:r w:rsidR="008857B4" w:rsidRPr="008857B4">
              <w:rPr>
                <w:rFonts w:ascii="Times New Roman" w:eastAsia="宋体" w:hAnsi="Times New Roman"/>
                <w:sz w:val="24"/>
                <w:szCs w:val="24"/>
                <w:lang w:val="en-MY"/>
              </w:rPr>
              <w:t>和</w:t>
            </w:r>
            <w:r w:rsidR="00D219E3">
              <w:rPr>
                <w:rFonts w:ascii="Times New Roman" w:eastAsia="宋体" w:hAnsi="Times New Roman" w:hint="eastAsia"/>
                <w:sz w:val="24"/>
                <w:szCs w:val="24"/>
                <w:lang w:val="en-MY"/>
              </w:rPr>
              <w:t>非小细胞肺癌围手术期治疗</w:t>
            </w:r>
            <w:r w:rsidR="008857B4" w:rsidRPr="008857B4">
              <w:rPr>
                <w:rFonts w:ascii="Times New Roman" w:eastAsia="宋体" w:hAnsi="Times New Roman"/>
                <w:sz w:val="24"/>
                <w:szCs w:val="24"/>
                <w:lang w:val="en-MY"/>
              </w:rPr>
              <w:t>，覆</w:t>
            </w:r>
            <w:r w:rsidR="008857B4" w:rsidRPr="008857B4">
              <w:rPr>
                <w:rFonts w:ascii="Times New Roman" w:eastAsia="宋体" w:hAnsi="Times New Roman" w:hint="eastAsia"/>
                <w:sz w:val="24"/>
                <w:szCs w:val="24"/>
                <w:lang w:val="en-MY"/>
              </w:rPr>
              <w:t>盖了</w:t>
            </w:r>
            <w:r w:rsidR="003D4CDB">
              <w:rPr>
                <w:rFonts w:ascii="Times New Roman" w:eastAsia="宋体" w:hAnsi="Times New Roman" w:hint="eastAsia"/>
                <w:sz w:val="24"/>
                <w:szCs w:val="24"/>
                <w:lang w:val="en-MY"/>
              </w:rPr>
              <w:t>肺癌</w:t>
            </w:r>
            <w:r w:rsidR="008857B4" w:rsidRPr="008857B4">
              <w:rPr>
                <w:rFonts w:ascii="Times New Roman" w:eastAsia="宋体" w:hAnsi="Times New Roman" w:hint="eastAsia"/>
                <w:sz w:val="24"/>
                <w:szCs w:val="24"/>
                <w:lang w:val="en-MY"/>
              </w:rPr>
              <w:t>早中期（围手术期）至晚期人群。</w:t>
            </w:r>
            <w:r w:rsidR="00E07770">
              <w:rPr>
                <w:rFonts w:ascii="Times New Roman" w:eastAsia="宋体" w:hAnsi="Times New Roman" w:hint="eastAsia"/>
                <w:sz w:val="24"/>
                <w:szCs w:val="24"/>
                <w:lang w:val="en-MY"/>
              </w:rPr>
              <w:t>其中，</w:t>
            </w:r>
            <w:r w:rsidR="00C321D8" w:rsidRPr="008857B4">
              <w:rPr>
                <w:rFonts w:ascii="Times New Roman" w:eastAsia="宋体" w:hAnsi="Times New Roman" w:hint="eastAsia"/>
                <w:sz w:val="24"/>
                <w:szCs w:val="24"/>
                <w:lang w:val="en-MY"/>
              </w:rPr>
              <w:t>特瑞普利单抗</w:t>
            </w:r>
            <w:r w:rsidR="00772437">
              <w:rPr>
                <w:rFonts w:ascii="Times New Roman" w:eastAsia="宋体" w:hAnsi="Times New Roman" w:hint="eastAsia"/>
                <w:sz w:val="24"/>
                <w:szCs w:val="24"/>
                <w:lang w:val="en-MY"/>
              </w:rPr>
              <w:t>一线治疗</w:t>
            </w:r>
            <w:r w:rsidR="00772437" w:rsidRPr="008857B4">
              <w:rPr>
                <w:rFonts w:ascii="Times New Roman" w:eastAsia="宋体" w:hAnsi="Times New Roman" w:hint="eastAsia"/>
                <w:sz w:val="24"/>
                <w:szCs w:val="24"/>
                <w:lang w:val="en-MY"/>
              </w:rPr>
              <w:t>非鳞</w:t>
            </w:r>
            <w:r w:rsidR="00772437">
              <w:rPr>
                <w:rFonts w:ascii="Times New Roman" w:eastAsia="宋体" w:hAnsi="Times New Roman" w:hint="eastAsia"/>
                <w:sz w:val="24"/>
                <w:szCs w:val="24"/>
                <w:lang w:val="en-MY"/>
              </w:rPr>
              <w:t>状</w:t>
            </w:r>
            <w:r w:rsidR="00772437" w:rsidRPr="008857B4">
              <w:rPr>
                <w:rFonts w:ascii="Times New Roman" w:eastAsia="宋体" w:hAnsi="Times New Roman" w:hint="eastAsia"/>
                <w:sz w:val="24"/>
                <w:szCs w:val="24"/>
                <w:lang w:val="en-MY"/>
              </w:rPr>
              <w:t>非小细胞肺癌</w:t>
            </w:r>
            <w:r w:rsidR="00356E41">
              <w:rPr>
                <w:rFonts w:ascii="Times New Roman" w:eastAsia="宋体" w:hAnsi="Times New Roman" w:hint="eastAsia"/>
                <w:sz w:val="24"/>
                <w:szCs w:val="24"/>
                <w:lang w:val="en-MY"/>
              </w:rPr>
              <w:t>适应症</w:t>
            </w:r>
            <w:r w:rsidR="00772437">
              <w:rPr>
                <w:rFonts w:ascii="Times New Roman" w:eastAsia="宋体" w:hAnsi="Times New Roman" w:hint="eastAsia"/>
                <w:sz w:val="24"/>
                <w:szCs w:val="24"/>
                <w:lang w:val="en-MY"/>
              </w:rPr>
              <w:t>已</w:t>
            </w:r>
            <w:r w:rsidR="00356E41">
              <w:rPr>
                <w:rFonts w:ascii="Times New Roman" w:eastAsia="宋体" w:hAnsi="Times New Roman" w:hint="eastAsia"/>
                <w:sz w:val="24"/>
                <w:szCs w:val="24"/>
                <w:lang w:val="en-MY"/>
              </w:rPr>
              <w:t>于</w:t>
            </w:r>
            <w:r w:rsidR="00356E41">
              <w:rPr>
                <w:rFonts w:ascii="Times New Roman" w:eastAsia="宋体" w:hAnsi="Times New Roman" w:hint="eastAsia"/>
                <w:sz w:val="24"/>
                <w:szCs w:val="24"/>
                <w:lang w:val="en-MY"/>
              </w:rPr>
              <w:t>2</w:t>
            </w:r>
            <w:r w:rsidR="00356E41">
              <w:rPr>
                <w:rFonts w:ascii="Times New Roman" w:eastAsia="宋体" w:hAnsi="Times New Roman"/>
                <w:sz w:val="24"/>
                <w:szCs w:val="24"/>
                <w:lang w:val="en-MY"/>
              </w:rPr>
              <w:t>024</w:t>
            </w:r>
            <w:r w:rsidR="00356E41">
              <w:rPr>
                <w:rFonts w:ascii="Times New Roman" w:eastAsia="宋体" w:hAnsi="Times New Roman" w:hint="eastAsia"/>
                <w:sz w:val="24"/>
                <w:szCs w:val="24"/>
                <w:lang w:val="en-MY"/>
              </w:rPr>
              <w:t>年起纳入新版国家</w:t>
            </w:r>
            <w:r w:rsidR="00306D63">
              <w:rPr>
                <w:rFonts w:ascii="Times New Roman" w:eastAsia="宋体" w:hAnsi="Times New Roman" w:hint="eastAsia"/>
                <w:sz w:val="24"/>
                <w:szCs w:val="24"/>
                <w:lang w:val="en-MY"/>
              </w:rPr>
              <w:t>医保</w:t>
            </w:r>
            <w:r w:rsidR="00356E41">
              <w:rPr>
                <w:rFonts w:ascii="Times New Roman" w:eastAsia="宋体" w:hAnsi="Times New Roman" w:hint="eastAsia"/>
                <w:sz w:val="24"/>
                <w:szCs w:val="24"/>
                <w:lang w:val="en-MY"/>
              </w:rPr>
              <w:t>目录</w:t>
            </w:r>
            <w:r w:rsidR="00957EDD">
              <w:rPr>
                <w:rFonts w:ascii="Times New Roman" w:eastAsia="宋体" w:hAnsi="Times New Roman" w:hint="eastAsia"/>
                <w:sz w:val="24"/>
                <w:szCs w:val="24"/>
                <w:lang w:val="en-MY"/>
              </w:rPr>
              <w:t>；</w:t>
            </w:r>
            <w:r w:rsidR="008C7D0B" w:rsidRPr="008857B4">
              <w:rPr>
                <w:rFonts w:ascii="Times New Roman" w:eastAsia="宋体" w:hAnsi="Times New Roman" w:hint="eastAsia"/>
                <w:sz w:val="24"/>
                <w:szCs w:val="24"/>
                <w:lang w:val="en-MY"/>
              </w:rPr>
              <w:t>特瑞普利单抗</w:t>
            </w:r>
            <w:r w:rsidR="008C7D0B">
              <w:rPr>
                <w:rFonts w:ascii="Times New Roman" w:eastAsia="宋体" w:hAnsi="Times New Roman" w:hint="eastAsia"/>
                <w:sz w:val="24"/>
                <w:szCs w:val="24"/>
                <w:lang w:val="en-MY"/>
              </w:rPr>
              <w:t>用于</w:t>
            </w:r>
            <w:r w:rsidR="00356E41">
              <w:rPr>
                <w:rFonts w:ascii="Times New Roman" w:eastAsia="宋体" w:hAnsi="Times New Roman" w:hint="eastAsia"/>
                <w:sz w:val="24"/>
                <w:szCs w:val="24"/>
                <w:lang w:val="en-MY"/>
              </w:rPr>
              <w:t>非小细胞肺癌围手术期治疗</w:t>
            </w:r>
            <w:r w:rsidR="009456E3" w:rsidRPr="009456E3">
              <w:rPr>
                <w:rFonts w:ascii="Times New Roman" w:eastAsia="宋体" w:hAnsi="Times New Roman" w:hint="eastAsia"/>
                <w:sz w:val="24"/>
                <w:szCs w:val="24"/>
                <w:lang w:val="en-MY"/>
              </w:rPr>
              <w:t>是我国首个、全球第二个获批的肺癌围手术期疗法</w:t>
            </w:r>
            <w:r w:rsidR="000D2FE7">
              <w:rPr>
                <w:rFonts w:ascii="Times New Roman" w:eastAsia="宋体" w:hAnsi="Times New Roman" w:hint="eastAsia"/>
                <w:sz w:val="24"/>
                <w:szCs w:val="24"/>
                <w:lang w:val="en-MY"/>
              </w:rPr>
              <w:t>，</w:t>
            </w:r>
            <w:r w:rsidR="00A30E6A">
              <w:rPr>
                <w:rFonts w:ascii="Times New Roman" w:eastAsia="宋体" w:hAnsi="Times New Roman" w:hint="eastAsia"/>
                <w:sz w:val="24"/>
                <w:szCs w:val="24"/>
                <w:lang w:val="en-MY"/>
              </w:rPr>
              <w:t>且用药周期较长，有助于公司在市场推广上取得先发优势</w:t>
            </w:r>
            <w:r w:rsidR="009456E3" w:rsidRPr="009456E3">
              <w:rPr>
                <w:rFonts w:ascii="Times New Roman" w:eastAsia="宋体" w:hAnsi="Times New Roman" w:hint="eastAsia"/>
                <w:sz w:val="24"/>
                <w:szCs w:val="24"/>
                <w:lang w:val="en-MY"/>
              </w:rPr>
              <w:t>。</w:t>
            </w:r>
          </w:p>
          <w:p w14:paraId="468A096E" w14:textId="41E85411" w:rsidR="006463EC" w:rsidRDefault="00CA6DC9" w:rsidP="00B1147A">
            <w:pPr>
              <w:ind w:firstLineChars="200" w:firstLine="480"/>
              <w:jc w:val="both"/>
              <w:rPr>
                <w:rFonts w:ascii="Times New Roman" w:eastAsia="宋体" w:hAnsi="Times New Roman"/>
                <w:sz w:val="24"/>
                <w:szCs w:val="24"/>
                <w:lang w:val="en-MY"/>
              </w:rPr>
            </w:pPr>
            <w:r>
              <w:rPr>
                <w:rFonts w:ascii="Times New Roman" w:eastAsia="宋体" w:hAnsi="Times New Roman" w:hint="eastAsia"/>
                <w:sz w:val="24"/>
                <w:szCs w:val="24"/>
                <w:lang w:val="en-MY"/>
              </w:rPr>
              <w:t>另外</w:t>
            </w:r>
            <w:r w:rsidR="00EE2172" w:rsidRPr="00EE2172">
              <w:rPr>
                <w:rFonts w:ascii="Times New Roman" w:eastAsia="宋体" w:hAnsi="Times New Roman" w:hint="eastAsia"/>
                <w:sz w:val="24"/>
                <w:szCs w:val="24"/>
                <w:lang w:val="en-MY"/>
              </w:rPr>
              <w:t>公司自主研发的全球首个进入临床开发阶段（</w:t>
            </w:r>
            <w:r w:rsidR="00EE2172" w:rsidRPr="00EE2172">
              <w:rPr>
                <w:rFonts w:ascii="Times New Roman" w:eastAsia="宋体" w:hAnsi="Times New Roman"/>
                <w:sz w:val="24"/>
                <w:szCs w:val="24"/>
                <w:lang w:val="en-MY"/>
              </w:rPr>
              <w:t>first-in-human</w:t>
            </w:r>
            <w:r w:rsidR="00EE2172" w:rsidRPr="00EE2172">
              <w:rPr>
                <w:rFonts w:ascii="Times New Roman" w:eastAsia="宋体" w:hAnsi="Times New Roman"/>
                <w:sz w:val="24"/>
                <w:szCs w:val="24"/>
                <w:lang w:val="en-MY"/>
              </w:rPr>
              <w:t>）的抗</w:t>
            </w:r>
            <w:r w:rsidR="00EE2172" w:rsidRPr="00EE2172">
              <w:rPr>
                <w:rFonts w:ascii="Times New Roman" w:eastAsia="宋体" w:hAnsi="Times New Roman" w:hint="eastAsia"/>
                <w:sz w:val="24"/>
                <w:szCs w:val="24"/>
                <w:lang w:val="en-MY"/>
              </w:rPr>
              <w:t>肿瘤抗</w:t>
            </w:r>
            <w:r w:rsidR="00EE2172" w:rsidRPr="00EE2172">
              <w:rPr>
                <w:rFonts w:ascii="Times New Roman" w:eastAsia="宋体" w:hAnsi="Times New Roman"/>
                <w:sz w:val="24"/>
                <w:szCs w:val="24"/>
                <w:lang w:val="en-MY"/>
              </w:rPr>
              <w:t>BTLA</w:t>
            </w:r>
            <w:r w:rsidR="00EE2172" w:rsidRPr="00EE2172">
              <w:rPr>
                <w:rFonts w:ascii="Times New Roman" w:eastAsia="宋体" w:hAnsi="Times New Roman" w:hint="eastAsia"/>
                <w:sz w:val="24"/>
                <w:szCs w:val="24"/>
                <w:lang w:val="en-MY"/>
              </w:rPr>
              <w:t>单抗</w:t>
            </w:r>
            <w:r w:rsidR="009F3B3A" w:rsidRPr="009F3B3A">
              <w:rPr>
                <w:rFonts w:ascii="Times New Roman" w:eastAsia="宋体" w:hAnsi="Times New Roman"/>
                <w:sz w:val="24"/>
                <w:szCs w:val="24"/>
                <w:lang w:val="en-MY"/>
              </w:rPr>
              <w:t>tifcemalimab</w:t>
            </w:r>
            <w:r w:rsidR="009F3B3A" w:rsidRPr="009F3B3A">
              <w:rPr>
                <w:rFonts w:ascii="Times New Roman" w:eastAsia="宋体" w:hAnsi="Times New Roman" w:hint="eastAsia"/>
                <w:sz w:val="24"/>
                <w:szCs w:val="24"/>
                <w:lang w:val="en-MY"/>
              </w:rPr>
              <w:t>联合特瑞普利单抗作为局限期小细胞肺癌（</w:t>
            </w:r>
            <w:r w:rsidR="009F3B3A" w:rsidRPr="009F3B3A">
              <w:rPr>
                <w:rFonts w:ascii="Times New Roman" w:eastAsia="宋体" w:hAnsi="Times New Roman"/>
                <w:sz w:val="24"/>
                <w:szCs w:val="24"/>
                <w:lang w:val="en-MY"/>
              </w:rPr>
              <w:t>LS-SCLC</w:t>
            </w:r>
            <w:r w:rsidR="009F3B3A" w:rsidRPr="009F3B3A">
              <w:rPr>
                <w:rFonts w:ascii="Times New Roman" w:eastAsia="宋体" w:hAnsi="Times New Roman"/>
                <w:sz w:val="24"/>
                <w:szCs w:val="24"/>
                <w:lang w:val="en-MY"/>
              </w:rPr>
              <w:t>）放化</w:t>
            </w:r>
            <w:r w:rsidR="009F3B3A" w:rsidRPr="009F3B3A">
              <w:rPr>
                <w:rFonts w:ascii="Times New Roman" w:eastAsia="宋体" w:hAnsi="Times New Roman" w:hint="eastAsia"/>
                <w:sz w:val="24"/>
                <w:szCs w:val="24"/>
                <w:lang w:val="en-MY"/>
              </w:rPr>
              <w:t>疗后未进展患者的巩固治疗的随机、双盲、安慰剂对照、全球多中心</w:t>
            </w:r>
            <w:r w:rsidR="009F3B3A" w:rsidRPr="009F3B3A">
              <w:rPr>
                <w:rFonts w:ascii="Times New Roman" w:eastAsia="宋体" w:hAnsi="Times New Roman"/>
                <w:sz w:val="24"/>
                <w:szCs w:val="24"/>
                <w:lang w:val="en-MY"/>
              </w:rPr>
              <w:t>III</w:t>
            </w:r>
            <w:r w:rsidR="009F3B3A" w:rsidRPr="009F3B3A">
              <w:rPr>
                <w:rFonts w:ascii="Times New Roman" w:eastAsia="宋体" w:hAnsi="Times New Roman"/>
                <w:sz w:val="24"/>
                <w:szCs w:val="24"/>
                <w:lang w:val="en-MY"/>
              </w:rPr>
              <w:t>期</w:t>
            </w:r>
            <w:r w:rsidR="009F3B3A" w:rsidRPr="009F3B3A">
              <w:rPr>
                <w:rFonts w:ascii="Times New Roman" w:eastAsia="宋体" w:hAnsi="Times New Roman" w:hint="eastAsia"/>
                <w:sz w:val="24"/>
                <w:szCs w:val="24"/>
                <w:lang w:val="en-MY"/>
              </w:rPr>
              <w:t>临床研究（</w:t>
            </w:r>
            <w:r w:rsidR="009F3B3A" w:rsidRPr="009F3B3A">
              <w:rPr>
                <w:rFonts w:ascii="Times New Roman" w:eastAsia="宋体" w:hAnsi="Times New Roman"/>
                <w:sz w:val="24"/>
                <w:szCs w:val="24"/>
                <w:lang w:val="en-MY"/>
              </w:rPr>
              <w:t>NCT06095583</w:t>
            </w:r>
            <w:r w:rsidR="009F3B3A" w:rsidRPr="009F3B3A">
              <w:rPr>
                <w:rFonts w:ascii="Times New Roman" w:eastAsia="宋体" w:hAnsi="Times New Roman"/>
                <w:sz w:val="24"/>
                <w:szCs w:val="24"/>
                <w:lang w:val="en-MY"/>
              </w:rPr>
              <w:t>，研究代</w:t>
            </w:r>
            <w:r w:rsidR="009F3B3A" w:rsidRPr="009F3B3A">
              <w:rPr>
                <w:rFonts w:ascii="Times New Roman" w:eastAsia="宋体" w:hAnsi="Times New Roman" w:hint="eastAsia"/>
                <w:sz w:val="24"/>
                <w:szCs w:val="24"/>
                <w:lang w:val="en-MY"/>
              </w:rPr>
              <w:t>号：</w:t>
            </w:r>
            <w:r w:rsidR="009F3B3A" w:rsidRPr="009F3B3A">
              <w:rPr>
                <w:rFonts w:ascii="Times New Roman" w:eastAsia="宋体" w:hAnsi="Times New Roman"/>
                <w:sz w:val="24"/>
                <w:szCs w:val="24"/>
                <w:lang w:val="en-MY"/>
              </w:rPr>
              <w:t>JUSTAR-001</w:t>
            </w:r>
            <w:r w:rsidR="009F3B3A" w:rsidRPr="009F3B3A">
              <w:rPr>
                <w:rFonts w:ascii="Times New Roman" w:eastAsia="宋体" w:hAnsi="Times New Roman"/>
                <w:sz w:val="24"/>
                <w:szCs w:val="24"/>
                <w:lang w:val="en-MY"/>
              </w:rPr>
              <w:t>）</w:t>
            </w:r>
            <w:r w:rsidR="000910C1" w:rsidRPr="00880DC4">
              <w:rPr>
                <w:rFonts w:ascii="Times New Roman" w:eastAsia="宋体" w:hAnsi="Times New Roman" w:hint="eastAsia"/>
                <w:sz w:val="24"/>
                <w:szCs w:val="24"/>
                <w:lang w:val="en-MY"/>
              </w:rPr>
              <w:t>已完成中国、美国、欧洲、日本四地的首例受试者入组（</w:t>
            </w:r>
            <w:r w:rsidR="000910C1" w:rsidRPr="00880DC4">
              <w:rPr>
                <w:rFonts w:ascii="Times New Roman" w:eastAsia="宋体" w:hAnsi="Times New Roman"/>
                <w:sz w:val="24"/>
                <w:szCs w:val="24"/>
                <w:lang w:val="en-MY"/>
              </w:rPr>
              <w:t>FPI</w:t>
            </w:r>
            <w:r w:rsidR="000910C1" w:rsidRPr="00880DC4">
              <w:rPr>
                <w:rFonts w:ascii="Times New Roman" w:eastAsia="宋体" w:hAnsi="Times New Roman"/>
                <w:sz w:val="24"/>
                <w:szCs w:val="24"/>
                <w:lang w:val="en-MY"/>
              </w:rPr>
              <w:t>）及首次</w:t>
            </w:r>
            <w:r w:rsidR="000910C1" w:rsidRPr="00880DC4">
              <w:rPr>
                <w:rFonts w:ascii="Times New Roman" w:eastAsia="宋体" w:hAnsi="Times New Roman" w:hint="eastAsia"/>
                <w:sz w:val="24"/>
                <w:szCs w:val="24"/>
                <w:lang w:val="en-MY"/>
              </w:rPr>
              <w:t>给药，正在持续入组</w:t>
            </w:r>
            <w:r w:rsidR="000910C1">
              <w:rPr>
                <w:rFonts w:ascii="Times New Roman" w:eastAsia="宋体" w:hAnsi="Times New Roman" w:hint="eastAsia"/>
                <w:sz w:val="24"/>
                <w:szCs w:val="24"/>
                <w:lang w:val="en-MY"/>
              </w:rPr>
              <w:t>。</w:t>
            </w:r>
            <w:r w:rsidR="00A0637B">
              <w:rPr>
                <w:rFonts w:ascii="Times New Roman" w:eastAsia="宋体" w:hAnsi="Times New Roman" w:hint="eastAsia"/>
                <w:sz w:val="24"/>
                <w:szCs w:val="24"/>
                <w:lang w:val="en-MY"/>
              </w:rPr>
              <w:t>多</w:t>
            </w:r>
            <w:r w:rsidR="00A0637B" w:rsidRPr="000D5FF6">
              <w:rPr>
                <w:rFonts w:ascii="Times New Roman" w:eastAsia="宋体" w:hAnsi="Times New Roman" w:hint="eastAsia"/>
                <w:sz w:val="24"/>
                <w:szCs w:val="24"/>
              </w:rPr>
              <w:t>项</w:t>
            </w:r>
            <w:r w:rsidR="00A0637B" w:rsidRPr="000D5FF6">
              <w:rPr>
                <w:rFonts w:ascii="Times New Roman" w:eastAsia="宋体" w:hAnsi="Times New Roman"/>
                <w:sz w:val="24"/>
                <w:szCs w:val="24"/>
              </w:rPr>
              <w:t>tifcemalimab</w:t>
            </w:r>
            <w:r w:rsidR="00A0637B" w:rsidRPr="000D5FF6">
              <w:rPr>
                <w:rFonts w:ascii="Times New Roman" w:eastAsia="宋体" w:hAnsi="Times New Roman" w:hint="eastAsia"/>
                <w:sz w:val="24"/>
                <w:szCs w:val="24"/>
              </w:rPr>
              <w:t>联合特瑞普利单抗</w:t>
            </w:r>
            <w:r w:rsidR="00572F4B">
              <w:rPr>
                <w:rFonts w:ascii="Times New Roman" w:eastAsia="宋体" w:hAnsi="Times New Roman" w:hint="eastAsia"/>
                <w:sz w:val="24"/>
                <w:szCs w:val="24"/>
              </w:rPr>
              <w:t>针对肺癌的</w:t>
            </w:r>
            <w:r w:rsidR="00A0637B" w:rsidRPr="000D5FF6">
              <w:rPr>
                <w:rFonts w:ascii="Times New Roman" w:eastAsia="宋体" w:hAnsi="Times New Roman" w:hint="eastAsia"/>
                <w:sz w:val="24"/>
                <w:szCs w:val="24"/>
              </w:rPr>
              <w:t>的</w:t>
            </w:r>
            <w:r w:rsidR="00A0637B" w:rsidRPr="000D5FF6">
              <w:rPr>
                <w:rFonts w:ascii="Times New Roman" w:eastAsia="宋体" w:hAnsi="Times New Roman"/>
                <w:sz w:val="24"/>
                <w:szCs w:val="24"/>
              </w:rPr>
              <w:t>Ib/II</w:t>
            </w:r>
            <w:r w:rsidR="00A0637B" w:rsidRPr="000D5FF6">
              <w:rPr>
                <w:rFonts w:ascii="Times New Roman" w:eastAsia="宋体" w:hAnsi="Times New Roman"/>
                <w:sz w:val="24"/>
                <w:szCs w:val="24"/>
              </w:rPr>
              <w:t>期</w:t>
            </w:r>
            <w:r w:rsidR="00B734F3" w:rsidRPr="000D5FF6">
              <w:rPr>
                <w:rFonts w:ascii="Times New Roman" w:eastAsia="宋体" w:hAnsi="Times New Roman" w:hint="eastAsia"/>
                <w:sz w:val="24"/>
                <w:szCs w:val="24"/>
              </w:rPr>
              <w:t>临床研究正在中国和美国同步开展</w:t>
            </w:r>
            <w:r w:rsidR="00E30B7D">
              <w:rPr>
                <w:rFonts w:ascii="Times New Roman" w:eastAsia="宋体" w:hAnsi="Times New Roman" w:hint="eastAsia"/>
                <w:sz w:val="24"/>
                <w:szCs w:val="24"/>
              </w:rPr>
              <w:t>。</w:t>
            </w:r>
          </w:p>
          <w:p w14:paraId="14C1712C" w14:textId="280E877F" w:rsidR="000938C7" w:rsidRPr="007030DF" w:rsidRDefault="00E30B7D" w:rsidP="007030DF">
            <w:pPr>
              <w:ind w:firstLineChars="200" w:firstLine="480"/>
              <w:jc w:val="both"/>
              <w:rPr>
                <w:rFonts w:ascii="Times New Roman" w:eastAsia="宋体" w:hAnsi="Times New Roman"/>
                <w:b/>
                <w:sz w:val="24"/>
                <w:szCs w:val="24"/>
              </w:rPr>
            </w:pPr>
            <w:r>
              <w:rPr>
                <w:rFonts w:ascii="Times New Roman" w:eastAsia="宋体" w:hAnsi="Times New Roman" w:hint="eastAsia"/>
                <w:sz w:val="24"/>
                <w:szCs w:val="24"/>
                <w:lang w:val="en-MY"/>
              </w:rPr>
              <w:t>公司将积极推进上述临床研究</w:t>
            </w:r>
            <w:r w:rsidR="00B1147A">
              <w:rPr>
                <w:rFonts w:ascii="Times New Roman" w:eastAsia="宋体" w:hAnsi="Times New Roman" w:hint="eastAsia"/>
                <w:sz w:val="24"/>
                <w:szCs w:val="24"/>
                <w:lang w:val="en-MY"/>
              </w:rPr>
              <w:t>的进展以及已获批适应症的商业化推广</w:t>
            </w:r>
            <w:r>
              <w:rPr>
                <w:rFonts w:ascii="Times New Roman" w:eastAsia="宋体" w:hAnsi="Times New Roman" w:hint="eastAsia"/>
                <w:sz w:val="24"/>
                <w:szCs w:val="24"/>
                <w:lang w:val="en-MY"/>
              </w:rPr>
              <w:t>，</w:t>
            </w:r>
            <w:r w:rsidR="008857B4" w:rsidRPr="008857B4">
              <w:rPr>
                <w:rFonts w:ascii="Times New Roman" w:eastAsia="宋体" w:hAnsi="Times New Roman" w:hint="eastAsia"/>
                <w:sz w:val="24"/>
                <w:szCs w:val="24"/>
                <w:lang w:val="en-MY"/>
              </w:rPr>
              <w:t>期待能够不断为肺癌患者带来更多更好的治疗选择。</w:t>
            </w:r>
          </w:p>
          <w:p w14:paraId="386EC9A1" w14:textId="77777777" w:rsidR="000938C7" w:rsidRDefault="000938C7" w:rsidP="004A39F4">
            <w:pPr>
              <w:rPr>
                <w:rFonts w:ascii="Times New Roman" w:eastAsia="宋体" w:hAnsi="Times New Roman"/>
                <w:b/>
                <w:sz w:val="24"/>
                <w:szCs w:val="24"/>
                <w:lang w:val="en-MY"/>
              </w:rPr>
            </w:pPr>
          </w:p>
          <w:p w14:paraId="0C44DB12" w14:textId="50422119" w:rsidR="004A39F4" w:rsidRPr="00AD0427" w:rsidRDefault="0070096C" w:rsidP="004A39F4">
            <w:pPr>
              <w:rPr>
                <w:rFonts w:ascii="Times New Roman" w:eastAsia="宋体" w:hAnsi="Times New Roman"/>
                <w:b/>
                <w:sz w:val="24"/>
                <w:szCs w:val="24"/>
                <w:lang w:val="en-MY"/>
              </w:rPr>
            </w:pPr>
            <w:r w:rsidRPr="00AD0427">
              <w:rPr>
                <w:rFonts w:ascii="Times New Roman" w:eastAsia="宋体" w:hAnsi="Times New Roman" w:hint="eastAsia"/>
                <w:b/>
                <w:sz w:val="24"/>
                <w:szCs w:val="24"/>
                <w:lang w:val="en-MY"/>
              </w:rPr>
              <w:t>问</w:t>
            </w:r>
            <w:r w:rsidR="007030DF">
              <w:rPr>
                <w:rFonts w:ascii="Times New Roman" w:eastAsia="宋体" w:hAnsi="Times New Roman" w:hint="eastAsia"/>
                <w:b/>
                <w:sz w:val="24"/>
                <w:szCs w:val="24"/>
                <w:lang w:val="en-MY"/>
              </w:rPr>
              <w:t>4</w:t>
            </w:r>
            <w:r>
              <w:rPr>
                <w:rFonts w:ascii="Times New Roman" w:eastAsia="宋体" w:hAnsi="Times New Roman" w:hint="eastAsia"/>
                <w:b/>
                <w:sz w:val="24"/>
                <w:szCs w:val="24"/>
                <w:lang w:val="en-MY"/>
              </w:rPr>
              <w:t>：</w:t>
            </w:r>
            <w:r w:rsidR="008A2A17" w:rsidRPr="00AD0427">
              <w:rPr>
                <w:rFonts w:ascii="Times New Roman" w:eastAsia="宋体" w:hAnsi="Times New Roman" w:hint="eastAsia"/>
                <w:b/>
                <w:sz w:val="24"/>
                <w:szCs w:val="24"/>
                <w:lang w:val="en-MY"/>
              </w:rPr>
              <w:t>特瑞普利单抗国内</w:t>
            </w:r>
            <w:r w:rsidR="001B02DC" w:rsidRPr="00AD0427">
              <w:rPr>
                <w:rFonts w:ascii="Times New Roman" w:eastAsia="宋体" w:hAnsi="Times New Roman" w:hint="eastAsia"/>
                <w:b/>
                <w:sz w:val="24"/>
                <w:szCs w:val="24"/>
                <w:lang w:val="en-MY"/>
              </w:rPr>
              <w:t>销售</w:t>
            </w:r>
            <w:r w:rsidR="00502795" w:rsidRPr="00AD0427">
              <w:rPr>
                <w:rFonts w:ascii="Times New Roman" w:eastAsia="宋体" w:hAnsi="Times New Roman" w:hint="eastAsia"/>
                <w:b/>
                <w:sz w:val="24"/>
                <w:szCs w:val="24"/>
                <w:lang w:val="en-MY"/>
              </w:rPr>
              <w:t>情况及销售预期</w:t>
            </w:r>
            <w:r w:rsidR="00DA3F45" w:rsidRPr="00AD0427">
              <w:rPr>
                <w:rFonts w:ascii="Times New Roman" w:eastAsia="宋体" w:hAnsi="Times New Roman" w:hint="eastAsia"/>
                <w:b/>
                <w:sz w:val="24"/>
                <w:szCs w:val="24"/>
                <w:lang w:val="en-MY"/>
              </w:rPr>
              <w:t>？</w:t>
            </w:r>
          </w:p>
          <w:p w14:paraId="05F5AACE" w14:textId="09E093A5" w:rsidR="006A238E" w:rsidRPr="006A238E" w:rsidRDefault="004A39F4" w:rsidP="006A238E">
            <w:pPr>
              <w:jc w:val="both"/>
              <w:rPr>
                <w:rFonts w:ascii="Times New Roman" w:eastAsia="宋体" w:hAnsi="Times New Roman"/>
                <w:sz w:val="24"/>
                <w:szCs w:val="24"/>
                <w:lang w:val="en-MY"/>
              </w:rPr>
            </w:pPr>
            <w:r w:rsidRPr="00AD0427">
              <w:rPr>
                <w:rFonts w:ascii="Times New Roman" w:eastAsia="宋体" w:hAnsi="Times New Roman" w:hint="eastAsia"/>
                <w:sz w:val="24"/>
                <w:szCs w:val="24"/>
                <w:lang w:val="en-MY"/>
              </w:rPr>
              <w:t>答：</w:t>
            </w:r>
            <w:r w:rsidR="008E6516">
              <w:rPr>
                <w:rFonts w:ascii="Times New Roman" w:eastAsia="宋体" w:hAnsi="Times New Roman" w:hint="eastAsia"/>
                <w:sz w:val="24"/>
                <w:szCs w:val="24"/>
                <w:lang w:val="en-MY"/>
              </w:rPr>
              <w:t>2</w:t>
            </w:r>
            <w:r w:rsidR="008E6516">
              <w:rPr>
                <w:rFonts w:ascii="Times New Roman" w:eastAsia="宋体" w:hAnsi="Times New Roman"/>
                <w:sz w:val="24"/>
                <w:szCs w:val="24"/>
                <w:lang w:val="en-MY"/>
              </w:rPr>
              <w:t>024</w:t>
            </w:r>
            <w:r w:rsidR="001A059A">
              <w:rPr>
                <w:rFonts w:ascii="Times New Roman" w:eastAsia="宋体" w:hAnsi="Times New Roman" w:hint="eastAsia"/>
                <w:sz w:val="24"/>
                <w:szCs w:val="24"/>
                <w:lang w:val="en-MY"/>
              </w:rPr>
              <w:t>年</w:t>
            </w:r>
            <w:r w:rsidR="008E6516">
              <w:rPr>
                <w:rFonts w:ascii="Times New Roman" w:eastAsia="宋体" w:hAnsi="Times New Roman" w:hint="eastAsia"/>
                <w:sz w:val="24"/>
                <w:szCs w:val="24"/>
                <w:lang w:val="en-MY"/>
              </w:rPr>
              <w:t>上年半</w:t>
            </w:r>
            <w:r w:rsidR="006A238E" w:rsidRPr="006A238E">
              <w:rPr>
                <w:rFonts w:ascii="Times New Roman" w:eastAsia="宋体" w:hAnsi="Times New Roman" w:hint="eastAsia"/>
                <w:sz w:val="24"/>
                <w:szCs w:val="24"/>
                <w:lang w:val="en-MY"/>
              </w:rPr>
              <w:t>，公司商业化效率持续提升</w:t>
            </w:r>
            <w:r w:rsidR="00C90875">
              <w:rPr>
                <w:rFonts w:ascii="Times New Roman" w:eastAsia="宋体" w:hAnsi="Times New Roman" w:hint="eastAsia"/>
                <w:sz w:val="24"/>
                <w:szCs w:val="24"/>
                <w:lang w:val="en-MY"/>
              </w:rPr>
              <w:t>，</w:t>
            </w:r>
            <w:r w:rsidR="006A238E" w:rsidRPr="006A238E">
              <w:rPr>
                <w:rFonts w:ascii="Times New Roman" w:eastAsia="宋体" w:hAnsi="Times New Roman"/>
                <w:sz w:val="24"/>
                <w:szCs w:val="24"/>
                <w:lang w:val="en-MY"/>
              </w:rPr>
              <w:t>拓益</w:t>
            </w:r>
            <w:r w:rsidR="006A238E" w:rsidRPr="00C90875">
              <w:rPr>
                <w:rFonts w:ascii="Times New Roman" w:eastAsia="宋体" w:hAnsi="Times New Roman"/>
                <w:sz w:val="24"/>
                <w:szCs w:val="24"/>
                <w:vertAlign w:val="superscript"/>
                <w:lang w:val="en-MY"/>
              </w:rPr>
              <w:t>®</w:t>
            </w:r>
            <w:r w:rsidR="006A238E" w:rsidRPr="006A238E">
              <w:rPr>
                <w:rFonts w:ascii="Times New Roman" w:eastAsia="宋体" w:hAnsi="Times New Roman" w:hint="eastAsia"/>
                <w:sz w:val="24"/>
                <w:szCs w:val="24"/>
                <w:lang w:val="en-MY"/>
              </w:rPr>
              <w:t>销售收入快速增长，实现国内市场销售收入人民币</w:t>
            </w:r>
            <w:r w:rsidR="006A238E" w:rsidRPr="006A238E">
              <w:rPr>
                <w:rFonts w:ascii="Times New Roman" w:eastAsia="宋体" w:hAnsi="Times New Roman"/>
                <w:sz w:val="24"/>
                <w:szCs w:val="24"/>
                <w:lang w:val="en-MY"/>
              </w:rPr>
              <w:t>6.71</w:t>
            </w:r>
            <w:r w:rsidR="006A238E" w:rsidRPr="006A238E">
              <w:rPr>
                <w:rFonts w:ascii="Times New Roman" w:eastAsia="宋体" w:hAnsi="Times New Roman" w:hint="eastAsia"/>
                <w:sz w:val="24"/>
                <w:szCs w:val="24"/>
                <w:lang w:val="en-MY"/>
              </w:rPr>
              <w:t>亿元，同比增长约</w:t>
            </w:r>
            <w:r w:rsidR="006A238E" w:rsidRPr="006A238E">
              <w:rPr>
                <w:rFonts w:ascii="Times New Roman" w:eastAsia="宋体" w:hAnsi="Times New Roman"/>
                <w:sz w:val="24"/>
                <w:szCs w:val="24"/>
                <w:lang w:val="en-MY"/>
              </w:rPr>
              <w:t>50%</w:t>
            </w:r>
            <w:r w:rsidR="006A238E" w:rsidRPr="006A238E">
              <w:rPr>
                <w:rFonts w:ascii="Times New Roman" w:eastAsia="宋体" w:hAnsi="Times New Roman"/>
                <w:sz w:val="24"/>
                <w:szCs w:val="24"/>
                <w:lang w:val="en-MY"/>
              </w:rPr>
              <w:t>。截至</w:t>
            </w:r>
            <w:r w:rsidR="006A238E" w:rsidRPr="006A238E">
              <w:rPr>
                <w:rFonts w:ascii="Times New Roman" w:eastAsia="宋体" w:hAnsi="Times New Roman" w:hint="eastAsia"/>
                <w:sz w:val="24"/>
                <w:szCs w:val="24"/>
                <w:lang w:val="en-MY"/>
              </w:rPr>
              <w:t>报告期末，拓益</w:t>
            </w:r>
            <w:r w:rsidR="006A238E" w:rsidRPr="00781FAA">
              <w:rPr>
                <w:rFonts w:ascii="Times New Roman" w:eastAsia="宋体" w:hAnsi="Times New Roman" w:hint="eastAsia"/>
                <w:sz w:val="24"/>
                <w:szCs w:val="24"/>
                <w:vertAlign w:val="superscript"/>
                <w:lang w:val="en-MY"/>
              </w:rPr>
              <w:t>®</w:t>
            </w:r>
            <w:r w:rsidR="006A238E" w:rsidRPr="006A238E">
              <w:rPr>
                <w:rFonts w:ascii="Times New Roman" w:eastAsia="宋体" w:hAnsi="Times New Roman" w:hint="eastAsia"/>
                <w:sz w:val="24"/>
                <w:szCs w:val="24"/>
                <w:lang w:val="en-MY"/>
              </w:rPr>
              <w:t>已累计在全国超过五千家医疗机构及超过两千家专业药房及社会药房销售。</w:t>
            </w:r>
          </w:p>
          <w:p w14:paraId="1CF5B78E" w14:textId="77777777" w:rsidR="00450FDD" w:rsidRDefault="006A238E" w:rsidP="006A238E">
            <w:pPr>
              <w:ind w:firstLineChars="200" w:firstLine="480"/>
              <w:jc w:val="both"/>
              <w:rPr>
                <w:rFonts w:ascii="Times New Roman" w:eastAsia="宋体" w:hAnsi="Times New Roman"/>
                <w:sz w:val="24"/>
                <w:szCs w:val="24"/>
                <w:lang w:val="en-MY"/>
              </w:rPr>
            </w:pPr>
            <w:r w:rsidRPr="006A238E">
              <w:rPr>
                <w:rFonts w:ascii="Times New Roman" w:eastAsia="宋体" w:hAnsi="Times New Roman" w:hint="eastAsia"/>
                <w:sz w:val="24"/>
                <w:szCs w:val="24"/>
                <w:lang w:val="en-MY"/>
              </w:rPr>
              <w:t>此外，公司持续对商业化团队进行组织结构和人员的管理优化，大幅提高了商业化团队的执行和销售效率，销售工作取得了积极的进展。</w:t>
            </w:r>
          </w:p>
          <w:p w14:paraId="0880EEFE" w14:textId="00795098" w:rsidR="00650485" w:rsidRDefault="00650485" w:rsidP="00650485">
            <w:pPr>
              <w:ind w:firstLineChars="200" w:firstLine="480"/>
              <w:jc w:val="both"/>
              <w:rPr>
                <w:rFonts w:ascii="Times New Roman" w:eastAsia="宋体" w:hAnsi="Times New Roman"/>
                <w:sz w:val="24"/>
                <w:szCs w:val="24"/>
                <w:lang w:val="en-MY"/>
              </w:rPr>
            </w:pPr>
            <w:r>
              <w:rPr>
                <w:rFonts w:ascii="Times New Roman" w:eastAsia="宋体" w:hAnsi="Times New Roman" w:hint="eastAsia"/>
                <w:sz w:val="24"/>
                <w:szCs w:val="24"/>
              </w:rPr>
              <w:t>2</w:t>
            </w:r>
            <w:r>
              <w:rPr>
                <w:rFonts w:ascii="Times New Roman" w:eastAsia="宋体" w:hAnsi="Times New Roman"/>
                <w:sz w:val="24"/>
                <w:szCs w:val="24"/>
              </w:rPr>
              <w:t>024</w:t>
            </w:r>
            <w:r>
              <w:rPr>
                <w:rFonts w:ascii="Times New Roman" w:eastAsia="宋体" w:hAnsi="Times New Roman" w:hint="eastAsia"/>
                <w:sz w:val="24"/>
                <w:szCs w:val="24"/>
              </w:rPr>
              <w:t>年</w:t>
            </w:r>
            <w:r>
              <w:rPr>
                <w:rFonts w:ascii="Times New Roman" w:eastAsia="宋体" w:hAnsi="Times New Roman" w:hint="eastAsia"/>
                <w:sz w:val="24"/>
                <w:szCs w:val="24"/>
              </w:rPr>
              <w:t>1</w:t>
            </w:r>
            <w:r>
              <w:rPr>
                <w:rFonts w:ascii="Times New Roman" w:eastAsia="宋体" w:hAnsi="Times New Roman" w:hint="eastAsia"/>
                <w:sz w:val="24"/>
                <w:szCs w:val="24"/>
              </w:rPr>
              <w:t>月起，</w:t>
            </w:r>
            <w:r w:rsidRPr="00FF40FC">
              <w:rPr>
                <w:rFonts w:ascii="Times New Roman" w:eastAsia="宋体" w:hAnsi="Times New Roman" w:hint="eastAsia"/>
                <w:sz w:val="24"/>
                <w:szCs w:val="24"/>
              </w:rPr>
              <w:t>拓益</w:t>
            </w:r>
            <w:r w:rsidRPr="00E56267">
              <w:rPr>
                <w:rFonts w:ascii="Times New Roman" w:eastAsia="宋体" w:hAnsi="Times New Roman" w:hint="eastAsia"/>
                <w:sz w:val="24"/>
                <w:szCs w:val="24"/>
                <w:vertAlign w:val="superscript"/>
              </w:rPr>
              <w:t>®</w:t>
            </w:r>
            <w:r w:rsidRPr="00FD155F">
              <w:rPr>
                <w:rFonts w:ascii="Times New Roman" w:eastAsia="宋体" w:hAnsi="Times New Roman" w:hint="eastAsia"/>
                <w:sz w:val="24"/>
                <w:szCs w:val="24"/>
              </w:rPr>
              <w:t>新增一线鼻咽癌、一线食管鳞癌、一线非小细胞肺癌</w:t>
            </w:r>
            <w:r w:rsidRPr="00FD155F">
              <w:rPr>
                <w:rFonts w:ascii="Times New Roman" w:eastAsia="宋体" w:hAnsi="Times New Roman"/>
                <w:sz w:val="24"/>
                <w:szCs w:val="24"/>
              </w:rPr>
              <w:t>3</w:t>
            </w:r>
            <w:r w:rsidRPr="00FD155F">
              <w:rPr>
                <w:rFonts w:ascii="Times New Roman" w:eastAsia="宋体" w:hAnsi="Times New Roman" w:hint="eastAsia"/>
                <w:sz w:val="24"/>
                <w:szCs w:val="24"/>
              </w:rPr>
              <w:t>项适应症纳入新版国家医保目录，累计已有</w:t>
            </w:r>
            <w:r w:rsidRPr="00FD155F">
              <w:rPr>
                <w:rFonts w:ascii="Times New Roman" w:eastAsia="宋体" w:hAnsi="Times New Roman"/>
                <w:sz w:val="24"/>
                <w:szCs w:val="24"/>
              </w:rPr>
              <w:t>6</w:t>
            </w:r>
            <w:r w:rsidRPr="00FD155F">
              <w:rPr>
                <w:rFonts w:ascii="Times New Roman" w:eastAsia="宋体" w:hAnsi="Times New Roman" w:hint="eastAsia"/>
                <w:sz w:val="24"/>
                <w:szCs w:val="24"/>
              </w:rPr>
              <w:t>项适应症纳入国家医保。</w:t>
            </w:r>
            <w:r w:rsidR="00CE05BD">
              <w:rPr>
                <w:rFonts w:ascii="Times New Roman" w:eastAsia="宋体" w:hAnsi="Times New Roman" w:hint="eastAsia"/>
                <w:sz w:val="24"/>
                <w:szCs w:val="24"/>
                <w:lang w:val="en-MY"/>
              </w:rPr>
              <w:t>2</w:t>
            </w:r>
            <w:r w:rsidR="00CE05BD">
              <w:rPr>
                <w:rFonts w:ascii="Times New Roman" w:eastAsia="宋体" w:hAnsi="Times New Roman"/>
                <w:sz w:val="24"/>
                <w:szCs w:val="24"/>
                <w:lang w:val="en-MY"/>
              </w:rPr>
              <w:t>024</w:t>
            </w:r>
            <w:r w:rsidR="00CE05BD">
              <w:rPr>
                <w:rFonts w:ascii="Times New Roman" w:eastAsia="宋体" w:hAnsi="Times New Roman" w:hint="eastAsia"/>
                <w:sz w:val="24"/>
                <w:szCs w:val="24"/>
                <w:lang w:val="en-MY"/>
              </w:rPr>
              <w:t>上半年</w:t>
            </w:r>
            <w:r w:rsidR="00D7778E">
              <w:rPr>
                <w:rFonts w:ascii="Times New Roman" w:eastAsia="宋体" w:hAnsi="Times New Roman" w:hint="eastAsia"/>
                <w:sz w:val="24"/>
                <w:szCs w:val="24"/>
                <w:lang w:val="en-MY"/>
              </w:rPr>
              <w:t>，</w:t>
            </w:r>
            <w:r w:rsidR="00D7778E" w:rsidRPr="00222820">
              <w:rPr>
                <w:rFonts w:ascii="Times New Roman" w:eastAsia="宋体" w:hAnsi="Times New Roman" w:hint="eastAsia"/>
                <w:sz w:val="24"/>
                <w:szCs w:val="24"/>
                <w:lang w:val="en-MY"/>
              </w:rPr>
              <w:t>拓益</w:t>
            </w:r>
            <w:r w:rsidR="00D7778E" w:rsidRPr="00E56267">
              <w:rPr>
                <w:rFonts w:ascii="Times New Roman" w:eastAsia="宋体" w:hAnsi="Times New Roman" w:hint="eastAsia"/>
                <w:sz w:val="24"/>
                <w:szCs w:val="24"/>
                <w:vertAlign w:val="superscript"/>
              </w:rPr>
              <w:t>®</w:t>
            </w:r>
            <w:r w:rsidR="00D7778E" w:rsidRPr="00666D57">
              <w:rPr>
                <w:rFonts w:ascii="Times New Roman" w:eastAsia="宋体" w:hAnsi="Times New Roman" w:hint="eastAsia"/>
                <w:sz w:val="24"/>
                <w:szCs w:val="24"/>
                <w:lang w:val="en-MY"/>
              </w:rPr>
              <w:t>研究效率持续提升，注册进程不断加速</w:t>
            </w:r>
            <w:r w:rsidR="00D7778E">
              <w:rPr>
                <w:rFonts w:ascii="Times New Roman" w:eastAsia="宋体" w:hAnsi="Times New Roman" w:hint="eastAsia"/>
                <w:sz w:val="24"/>
                <w:szCs w:val="24"/>
                <w:lang w:val="en-MY"/>
              </w:rPr>
              <w:t>，</w:t>
            </w:r>
            <w:r>
              <w:rPr>
                <w:rFonts w:ascii="Times New Roman" w:eastAsia="宋体" w:hAnsi="Times New Roman" w:hint="eastAsia"/>
                <w:sz w:val="24"/>
                <w:szCs w:val="24"/>
                <w:lang w:val="en-MY"/>
              </w:rPr>
              <w:t>用于肾细胞癌</w:t>
            </w:r>
            <w:r w:rsidRPr="00F3610E">
              <w:rPr>
                <w:rFonts w:ascii="Times New Roman" w:eastAsia="宋体" w:hAnsi="Times New Roman" w:hint="eastAsia"/>
                <w:sz w:val="24"/>
                <w:szCs w:val="24"/>
              </w:rPr>
              <w:t>一线治疗</w:t>
            </w:r>
            <w:r>
              <w:rPr>
                <w:rFonts w:ascii="Times New Roman" w:eastAsia="宋体" w:hAnsi="Times New Roman" w:hint="eastAsia"/>
                <w:sz w:val="24"/>
                <w:szCs w:val="24"/>
              </w:rPr>
              <w:t>、</w:t>
            </w:r>
            <w:r w:rsidRPr="00F3610E">
              <w:rPr>
                <w:rFonts w:ascii="Times New Roman" w:eastAsia="宋体" w:hAnsi="Times New Roman" w:hint="eastAsia"/>
                <w:sz w:val="24"/>
                <w:szCs w:val="24"/>
              </w:rPr>
              <w:t>三阴性乳腺癌一线治疗</w:t>
            </w:r>
            <w:r>
              <w:rPr>
                <w:rFonts w:ascii="Times New Roman" w:eastAsia="宋体" w:hAnsi="Times New Roman" w:hint="eastAsia"/>
                <w:sz w:val="24"/>
                <w:szCs w:val="24"/>
              </w:rPr>
              <w:t>和广泛期</w:t>
            </w:r>
            <w:r w:rsidRPr="00F3610E">
              <w:rPr>
                <w:rFonts w:ascii="Times New Roman" w:eastAsia="宋体" w:hAnsi="Times New Roman" w:hint="eastAsia"/>
                <w:sz w:val="24"/>
                <w:szCs w:val="24"/>
              </w:rPr>
              <w:t>小细胞肺癌一线治疗</w:t>
            </w:r>
            <w:r w:rsidRPr="00222820">
              <w:rPr>
                <w:rFonts w:ascii="Times New Roman" w:eastAsia="宋体" w:hAnsi="Times New Roman" w:hint="eastAsia"/>
                <w:sz w:val="24"/>
                <w:szCs w:val="24"/>
                <w:lang w:val="en-MY"/>
              </w:rPr>
              <w:t>的三项</w:t>
            </w:r>
            <w:r w:rsidR="00655001">
              <w:rPr>
                <w:rFonts w:ascii="Times New Roman" w:eastAsia="宋体" w:hAnsi="Times New Roman" w:hint="eastAsia"/>
                <w:sz w:val="24"/>
                <w:szCs w:val="24"/>
                <w:lang w:val="en-MY"/>
              </w:rPr>
              <w:t>s</w:t>
            </w:r>
            <w:r w:rsidR="00655001">
              <w:rPr>
                <w:rFonts w:ascii="Times New Roman" w:eastAsia="宋体" w:hAnsi="Times New Roman"/>
                <w:sz w:val="24"/>
                <w:szCs w:val="24"/>
                <w:lang w:val="en-MY"/>
              </w:rPr>
              <w:t>NDA</w:t>
            </w:r>
            <w:r w:rsidRPr="00222820">
              <w:rPr>
                <w:rFonts w:ascii="Times New Roman" w:eastAsia="宋体" w:hAnsi="Times New Roman" w:hint="eastAsia"/>
                <w:sz w:val="24"/>
                <w:szCs w:val="24"/>
                <w:lang w:val="en-MY"/>
              </w:rPr>
              <w:t>获得</w:t>
            </w:r>
            <w:r>
              <w:rPr>
                <w:rFonts w:ascii="Times New Roman" w:eastAsia="宋体" w:hAnsi="Times New Roman" w:hint="eastAsia"/>
                <w:sz w:val="24"/>
                <w:szCs w:val="24"/>
                <w:lang w:val="en-MY"/>
              </w:rPr>
              <w:t>N</w:t>
            </w:r>
            <w:r>
              <w:rPr>
                <w:rFonts w:ascii="Times New Roman" w:eastAsia="宋体" w:hAnsi="Times New Roman"/>
                <w:sz w:val="24"/>
                <w:szCs w:val="24"/>
                <w:lang w:val="en-MY"/>
              </w:rPr>
              <w:t>MPA</w:t>
            </w:r>
            <w:r w:rsidRPr="00222820">
              <w:rPr>
                <w:rFonts w:ascii="Times New Roman" w:eastAsia="宋体" w:hAnsi="Times New Roman"/>
                <w:sz w:val="24"/>
                <w:szCs w:val="24"/>
                <w:lang w:val="en-MY"/>
              </w:rPr>
              <w:t>批准</w:t>
            </w:r>
            <w:r>
              <w:rPr>
                <w:rFonts w:ascii="Times New Roman" w:eastAsia="宋体" w:hAnsi="Times New Roman" w:hint="eastAsia"/>
                <w:sz w:val="24"/>
                <w:szCs w:val="24"/>
                <w:lang w:val="en-MY"/>
              </w:rPr>
              <w:t>。</w:t>
            </w:r>
            <w:r w:rsidRPr="00222820">
              <w:rPr>
                <w:rFonts w:ascii="Times New Roman" w:eastAsia="宋体" w:hAnsi="Times New Roman"/>
                <w:sz w:val="24"/>
                <w:szCs w:val="24"/>
                <w:lang w:val="en-MY"/>
              </w:rPr>
              <w:t>截至</w:t>
            </w:r>
            <w:r>
              <w:rPr>
                <w:rFonts w:ascii="Times New Roman" w:eastAsia="宋体" w:hAnsi="Times New Roman" w:hint="eastAsia"/>
                <w:sz w:val="24"/>
                <w:szCs w:val="24"/>
                <w:lang w:val="en-MY"/>
              </w:rPr>
              <w:t>目前</w:t>
            </w:r>
            <w:r w:rsidRPr="00222820">
              <w:rPr>
                <w:rFonts w:ascii="Times New Roman" w:eastAsia="宋体" w:hAnsi="Times New Roman"/>
                <w:sz w:val="24"/>
                <w:szCs w:val="24"/>
                <w:lang w:val="en-MY"/>
              </w:rPr>
              <w:t>NMPA</w:t>
            </w:r>
            <w:r w:rsidRPr="00222820">
              <w:rPr>
                <w:rFonts w:ascii="Times New Roman" w:eastAsia="宋体" w:hAnsi="Times New Roman"/>
                <w:sz w:val="24"/>
                <w:szCs w:val="24"/>
                <w:lang w:val="en-MY"/>
              </w:rPr>
              <w:t>已</w:t>
            </w:r>
            <w:r w:rsidRPr="00222820">
              <w:rPr>
                <w:rFonts w:ascii="Times New Roman" w:eastAsia="宋体" w:hAnsi="Times New Roman" w:hint="eastAsia"/>
                <w:sz w:val="24"/>
                <w:szCs w:val="24"/>
                <w:lang w:val="en-MY"/>
              </w:rPr>
              <w:t>批准</w:t>
            </w:r>
            <w:r w:rsidRPr="00FF40FC">
              <w:rPr>
                <w:rFonts w:ascii="Times New Roman" w:eastAsia="宋体" w:hAnsi="Times New Roman" w:hint="eastAsia"/>
                <w:sz w:val="24"/>
                <w:szCs w:val="24"/>
              </w:rPr>
              <w:t>拓益</w:t>
            </w:r>
            <w:r w:rsidRPr="00E56267">
              <w:rPr>
                <w:rFonts w:ascii="Times New Roman" w:eastAsia="宋体" w:hAnsi="Times New Roman" w:hint="eastAsia"/>
                <w:sz w:val="24"/>
                <w:szCs w:val="24"/>
                <w:vertAlign w:val="superscript"/>
              </w:rPr>
              <w:t>®</w:t>
            </w:r>
            <w:r w:rsidRPr="00222820">
              <w:rPr>
                <w:rFonts w:ascii="Times New Roman" w:eastAsia="宋体" w:hAnsi="Times New Roman" w:hint="eastAsia"/>
                <w:sz w:val="24"/>
                <w:szCs w:val="24"/>
                <w:lang w:val="en-MY"/>
              </w:rPr>
              <w:t>的十项适应症，另有</w:t>
            </w:r>
            <w:r>
              <w:rPr>
                <w:rFonts w:ascii="Times New Roman" w:eastAsia="宋体" w:hAnsi="Times New Roman" w:hint="eastAsia"/>
                <w:sz w:val="24"/>
                <w:szCs w:val="24"/>
                <w:lang w:val="en-MY"/>
              </w:rPr>
              <w:t>一线治疗黑色素瘤、</w:t>
            </w:r>
            <w:r w:rsidRPr="00D81AB6">
              <w:rPr>
                <w:rFonts w:ascii="Times New Roman" w:eastAsia="宋体" w:hAnsi="Times New Roman" w:hint="eastAsia"/>
                <w:sz w:val="24"/>
                <w:szCs w:val="24"/>
                <w:lang w:val="en-MY"/>
              </w:rPr>
              <w:t>联合贝伐珠单抗一线治疗晚期肝细胞癌</w:t>
            </w:r>
            <w:r w:rsidRPr="00222820">
              <w:rPr>
                <w:rFonts w:ascii="Times New Roman" w:eastAsia="宋体" w:hAnsi="Times New Roman" w:hint="eastAsia"/>
                <w:sz w:val="24"/>
                <w:szCs w:val="24"/>
                <w:lang w:val="en-MY"/>
              </w:rPr>
              <w:t>两项</w:t>
            </w:r>
            <w:r w:rsidRPr="00222820">
              <w:rPr>
                <w:rFonts w:ascii="Times New Roman" w:eastAsia="宋体" w:hAnsi="Times New Roman"/>
                <w:sz w:val="24"/>
                <w:szCs w:val="24"/>
                <w:lang w:val="en-MY"/>
              </w:rPr>
              <w:t>sNDA</w:t>
            </w:r>
            <w:r w:rsidRPr="00222820">
              <w:rPr>
                <w:rFonts w:ascii="Times New Roman" w:eastAsia="宋体" w:hAnsi="Times New Roman"/>
                <w:sz w:val="24"/>
                <w:szCs w:val="24"/>
                <w:lang w:val="en-MY"/>
              </w:rPr>
              <w:t>已</w:t>
            </w:r>
            <w:r w:rsidRPr="00222820">
              <w:rPr>
                <w:rFonts w:ascii="Times New Roman" w:eastAsia="宋体" w:hAnsi="Times New Roman" w:hint="eastAsia"/>
                <w:sz w:val="24"/>
                <w:szCs w:val="24"/>
                <w:lang w:val="en-MY"/>
              </w:rPr>
              <w:t>获得</w:t>
            </w:r>
            <w:r w:rsidRPr="00222820">
              <w:rPr>
                <w:rFonts w:ascii="Times New Roman" w:eastAsia="宋体" w:hAnsi="Times New Roman"/>
                <w:sz w:val="24"/>
                <w:szCs w:val="24"/>
                <w:lang w:val="en-MY"/>
              </w:rPr>
              <w:t>NMPA</w:t>
            </w:r>
            <w:r w:rsidRPr="00222820">
              <w:rPr>
                <w:rFonts w:ascii="Times New Roman" w:eastAsia="宋体" w:hAnsi="Times New Roman"/>
                <w:sz w:val="24"/>
                <w:szCs w:val="24"/>
                <w:lang w:val="en-MY"/>
              </w:rPr>
              <w:t>受理</w:t>
            </w:r>
            <w:r>
              <w:rPr>
                <w:rFonts w:ascii="Times New Roman" w:eastAsia="宋体" w:hAnsi="Times New Roman" w:hint="eastAsia"/>
                <w:sz w:val="24"/>
                <w:szCs w:val="24"/>
                <w:lang w:val="en-MY"/>
              </w:rPr>
              <w:t>，其中一线治疗肝细胞癌</w:t>
            </w:r>
            <w:r w:rsidRPr="00A67D2B">
              <w:rPr>
                <w:rFonts w:ascii="Times New Roman" w:eastAsia="宋体" w:hAnsi="Times New Roman" w:hint="eastAsia"/>
                <w:sz w:val="24"/>
                <w:szCs w:val="24"/>
                <w:lang w:val="en-MY"/>
              </w:rPr>
              <w:t>从数据读出到上市申请获得</w:t>
            </w:r>
            <w:r w:rsidRPr="00A67D2B">
              <w:rPr>
                <w:rFonts w:ascii="Times New Roman" w:eastAsia="宋体" w:hAnsi="Times New Roman"/>
                <w:sz w:val="24"/>
                <w:szCs w:val="24"/>
                <w:lang w:val="en-MY"/>
              </w:rPr>
              <w:t>NMPA</w:t>
            </w:r>
            <w:r w:rsidRPr="00A67D2B">
              <w:rPr>
                <w:rFonts w:ascii="Times New Roman" w:eastAsia="宋体" w:hAnsi="Times New Roman"/>
                <w:sz w:val="24"/>
                <w:szCs w:val="24"/>
                <w:lang w:val="en-MY"/>
              </w:rPr>
              <w:t>受理</w:t>
            </w:r>
            <w:r w:rsidRPr="00A67D2B">
              <w:rPr>
                <w:rFonts w:ascii="Times New Roman" w:eastAsia="宋体" w:hAnsi="Times New Roman" w:hint="eastAsia"/>
                <w:sz w:val="24"/>
                <w:szCs w:val="24"/>
                <w:lang w:val="en-MY"/>
              </w:rPr>
              <w:t>仅</w:t>
            </w:r>
            <w:r w:rsidRPr="00A67D2B">
              <w:rPr>
                <w:rFonts w:ascii="Times New Roman" w:eastAsia="宋体" w:hAnsi="Times New Roman"/>
                <w:sz w:val="24"/>
                <w:szCs w:val="24"/>
                <w:lang w:val="en-MY"/>
              </w:rPr>
              <w:t>36</w:t>
            </w:r>
            <w:r w:rsidRPr="00A67D2B">
              <w:rPr>
                <w:rFonts w:ascii="Times New Roman" w:eastAsia="宋体" w:hAnsi="Times New Roman"/>
                <w:sz w:val="24"/>
                <w:szCs w:val="24"/>
                <w:lang w:val="en-MY"/>
              </w:rPr>
              <w:t>天</w:t>
            </w:r>
            <w:r w:rsidR="00D7778E">
              <w:rPr>
                <w:rFonts w:ascii="Times New Roman" w:eastAsia="宋体" w:hAnsi="Times New Roman" w:hint="eastAsia"/>
                <w:sz w:val="24"/>
                <w:szCs w:val="24"/>
                <w:lang w:val="en-MY"/>
              </w:rPr>
              <w:t>。</w:t>
            </w:r>
            <w:r>
              <w:rPr>
                <w:rFonts w:ascii="Times New Roman" w:eastAsia="宋体" w:hAnsi="Times New Roman" w:hint="eastAsia"/>
                <w:sz w:val="24"/>
                <w:szCs w:val="24"/>
                <w:lang w:val="en-MY"/>
              </w:rPr>
              <w:t>上述适应症中</w:t>
            </w:r>
            <w:r w:rsidRPr="00222820">
              <w:rPr>
                <w:rFonts w:ascii="Times New Roman" w:eastAsia="宋体" w:hAnsi="Times New Roman"/>
                <w:sz w:val="24"/>
                <w:szCs w:val="24"/>
                <w:lang w:val="en-MY"/>
              </w:rPr>
              <w:t>多</w:t>
            </w:r>
            <w:r w:rsidRPr="00222820">
              <w:rPr>
                <w:rFonts w:ascii="Times New Roman" w:eastAsia="宋体" w:hAnsi="Times New Roman" w:hint="eastAsia"/>
                <w:sz w:val="24"/>
                <w:szCs w:val="24"/>
                <w:lang w:val="en-MY"/>
              </w:rPr>
              <w:lastRenderedPageBreak/>
              <w:t>项为公司独家或领先适应症，将有望在相应适应症的市场推广上取得先发优势</w:t>
            </w:r>
            <w:r>
              <w:rPr>
                <w:rFonts w:ascii="Times New Roman" w:eastAsia="宋体" w:hAnsi="Times New Roman" w:hint="eastAsia"/>
                <w:sz w:val="24"/>
                <w:szCs w:val="24"/>
                <w:lang w:val="en-MY"/>
              </w:rPr>
              <w:t>。</w:t>
            </w:r>
          </w:p>
          <w:p w14:paraId="67E78B39" w14:textId="080CFCD7" w:rsidR="00DF6B37" w:rsidRDefault="006A238E" w:rsidP="000A72BE">
            <w:pPr>
              <w:ind w:firstLineChars="200" w:firstLine="480"/>
              <w:jc w:val="both"/>
              <w:rPr>
                <w:rFonts w:ascii="Times New Roman" w:eastAsia="宋体" w:hAnsi="Times New Roman"/>
                <w:sz w:val="24"/>
                <w:szCs w:val="24"/>
                <w:lang w:val="en-MY"/>
              </w:rPr>
            </w:pPr>
            <w:r w:rsidRPr="006A238E">
              <w:rPr>
                <w:rFonts w:ascii="Times New Roman" w:eastAsia="宋体" w:hAnsi="Times New Roman" w:hint="eastAsia"/>
                <w:sz w:val="24"/>
                <w:szCs w:val="24"/>
                <w:lang w:val="en-MY"/>
              </w:rPr>
              <w:t>随着特瑞普利单抗医保目录内适应症增加带来患者可负担性和可及性的提高，更多适应症的陆续数据读出和获批带来更广的目标人群，特瑞普利单抗的</w:t>
            </w:r>
            <w:r w:rsidR="00A600B9">
              <w:rPr>
                <w:rFonts w:ascii="Times New Roman" w:eastAsia="宋体" w:hAnsi="Times New Roman" w:hint="eastAsia"/>
                <w:sz w:val="24"/>
                <w:szCs w:val="24"/>
                <w:lang w:val="en-MY"/>
              </w:rPr>
              <w:t>国内</w:t>
            </w:r>
            <w:r w:rsidRPr="006A238E">
              <w:rPr>
                <w:rFonts w:ascii="Times New Roman" w:eastAsia="宋体" w:hAnsi="Times New Roman" w:hint="eastAsia"/>
                <w:sz w:val="24"/>
                <w:szCs w:val="24"/>
                <w:lang w:val="en-MY"/>
              </w:rPr>
              <w:t>商业化将获得持续提升。</w:t>
            </w:r>
          </w:p>
          <w:p w14:paraId="7D9B9134" w14:textId="77777777" w:rsidR="000E18B1" w:rsidRPr="00F00F5C" w:rsidRDefault="000E18B1" w:rsidP="005A36A0">
            <w:pPr>
              <w:ind w:firstLineChars="200" w:firstLine="480"/>
              <w:jc w:val="both"/>
              <w:rPr>
                <w:rFonts w:ascii="Times New Roman" w:eastAsia="宋体" w:hAnsi="Times New Roman"/>
                <w:sz w:val="24"/>
                <w:szCs w:val="24"/>
                <w:lang w:val="en-MY"/>
              </w:rPr>
            </w:pPr>
          </w:p>
          <w:p w14:paraId="34750A91" w14:textId="4367A9C9" w:rsidR="00E640D0" w:rsidRPr="00B357B9" w:rsidRDefault="00E640D0" w:rsidP="00E640D0">
            <w:pPr>
              <w:rPr>
                <w:rFonts w:ascii="Times New Roman" w:eastAsia="宋体" w:hAnsi="Times New Roman"/>
                <w:b/>
                <w:sz w:val="24"/>
                <w:szCs w:val="24"/>
                <w:lang w:val="en-MY"/>
              </w:rPr>
            </w:pPr>
            <w:r w:rsidRPr="00B357B9">
              <w:rPr>
                <w:rFonts w:ascii="Times New Roman" w:eastAsia="宋体" w:hAnsi="Times New Roman" w:hint="eastAsia"/>
                <w:b/>
                <w:sz w:val="24"/>
                <w:szCs w:val="24"/>
                <w:lang w:val="en-MY"/>
              </w:rPr>
              <w:t>问</w:t>
            </w:r>
            <w:r w:rsidR="00EC738F">
              <w:rPr>
                <w:rFonts w:ascii="Times New Roman" w:eastAsia="宋体" w:hAnsi="Times New Roman"/>
                <w:b/>
                <w:sz w:val="24"/>
                <w:szCs w:val="24"/>
                <w:lang w:val="en-MY"/>
              </w:rPr>
              <w:t>5</w:t>
            </w:r>
            <w:r w:rsidRPr="00B357B9">
              <w:rPr>
                <w:rFonts w:ascii="Times New Roman" w:eastAsia="宋体" w:hAnsi="Times New Roman" w:hint="eastAsia"/>
                <w:b/>
                <w:sz w:val="24"/>
                <w:szCs w:val="24"/>
                <w:lang w:val="en-MY"/>
              </w:rPr>
              <w:t>：</w:t>
            </w:r>
            <w:r w:rsidR="002C3812">
              <w:rPr>
                <w:rFonts w:ascii="Times New Roman" w:eastAsia="宋体" w:hAnsi="Times New Roman" w:hint="eastAsia"/>
                <w:b/>
                <w:sz w:val="24"/>
                <w:szCs w:val="24"/>
                <w:lang w:val="en-MY"/>
              </w:rPr>
              <w:t>公司产能情况</w:t>
            </w:r>
            <w:r>
              <w:rPr>
                <w:rFonts w:ascii="Times New Roman" w:eastAsia="宋体" w:hAnsi="Times New Roman" w:hint="eastAsia"/>
                <w:b/>
                <w:sz w:val="24"/>
                <w:szCs w:val="24"/>
                <w:lang w:val="en-MY"/>
              </w:rPr>
              <w:t>？</w:t>
            </w:r>
          </w:p>
          <w:p w14:paraId="6DD1E606" w14:textId="77777777" w:rsidR="00EB1F64" w:rsidRDefault="00E640D0" w:rsidP="00100E78">
            <w:pPr>
              <w:jc w:val="both"/>
              <w:rPr>
                <w:rFonts w:ascii="Times New Roman" w:eastAsia="宋体" w:hAnsi="Times New Roman"/>
                <w:sz w:val="24"/>
                <w:szCs w:val="24"/>
                <w:lang w:val="en-MY"/>
              </w:rPr>
            </w:pPr>
            <w:r>
              <w:rPr>
                <w:rFonts w:ascii="Times New Roman" w:eastAsia="宋体" w:hAnsi="Times New Roman" w:hint="eastAsia"/>
                <w:sz w:val="24"/>
                <w:szCs w:val="24"/>
                <w:lang w:val="en-MY"/>
              </w:rPr>
              <w:t>答：</w:t>
            </w:r>
            <w:r w:rsidR="00100E78" w:rsidRPr="00100E78">
              <w:rPr>
                <w:rFonts w:ascii="Times New Roman" w:eastAsia="宋体" w:hAnsi="Times New Roman" w:hint="eastAsia"/>
                <w:sz w:val="24"/>
                <w:szCs w:val="24"/>
                <w:lang w:val="en-MY"/>
              </w:rPr>
              <w:t>公司拥有</w:t>
            </w:r>
            <w:r w:rsidR="00BA630E" w:rsidRPr="00100E78">
              <w:rPr>
                <w:rFonts w:ascii="Times New Roman" w:eastAsia="宋体" w:hAnsi="Times New Roman" w:hint="eastAsia"/>
                <w:sz w:val="24"/>
                <w:szCs w:val="24"/>
                <w:lang w:val="en-MY"/>
              </w:rPr>
              <w:t>苏州吴江生产基地和上海临港生产</w:t>
            </w:r>
            <w:r w:rsidR="00100E78" w:rsidRPr="00100E78">
              <w:rPr>
                <w:rFonts w:ascii="Times New Roman" w:eastAsia="宋体" w:hAnsi="Times New Roman"/>
                <w:sz w:val="24"/>
                <w:szCs w:val="24"/>
                <w:lang w:val="en-MY"/>
              </w:rPr>
              <w:t>2</w:t>
            </w:r>
            <w:r w:rsidR="00100E78" w:rsidRPr="00100E78">
              <w:rPr>
                <w:rFonts w:ascii="Times New Roman" w:eastAsia="宋体" w:hAnsi="Times New Roman" w:hint="eastAsia"/>
                <w:sz w:val="24"/>
                <w:szCs w:val="24"/>
                <w:lang w:val="en-MY"/>
              </w:rPr>
              <w:t>个商业化生产基地，均已获得</w:t>
            </w:r>
            <w:r w:rsidR="00100E78" w:rsidRPr="00100E78">
              <w:rPr>
                <w:rFonts w:ascii="Times New Roman" w:eastAsia="宋体" w:hAnsi="Times New Roman"/>
                <w:sz w:val="24"/>
                <w:szCs w:val="24"/>
                <w:lang w:val="en-MY"/>
              </w:rPr>
              <w:t>NMPA</w:t>
            </w:r>
            <w:r w:rsidR="00100E78" w:rsidRPr="00100E78">
              <w:rPr>
                <w:rFonts w:ascii="Times New Roman" w:eastAsia="宋体" w:hAnsi="Times New Roman" w:hint="eastAsia"/>
                <w:sz w:val="24"/>
                <w:szCs w:val="24"/>
                <w:lang w:val="en-MY"/>
              </w:rPr>
              <w:t>颁发的</w:t>
            </w:r>
            <w:r w:rsidR="00100E78" w:rsidRPr="00100E78">
              <w:rPr>
                <w:rFonts w:ascii="Times New Roman" w:eastAsia="宋体" w:hAnsi="Times New Roman"/>
                <w:sz w:val="24"/>
                <w:szCs w:val="24"/>
                <w:lang w:val="en-MY"/>
              </w:rPr>
              <w:t>GMP</w:t>
            </w:r>
            <w:r w:rsidR="00100E78" w:rsidRPr="00100E78">
              <w:rPr>
                <w:rFonts w:ascii="Times New Roman" w:eastAsia="宋体" w:hAnsi="Times New Roman" w:hint="eastAsia"/>
                <w:sz w:val="24"/>
                <w:szCs w:val="24"/>
                <w:lang w:val="en-MY"/>
              </w:rPr>
              <w:t>证书，开展生物产品的商业化生产。</w:t>
            </w:r>
          </w:p>
          <w:p w14:paraId="1F23B152" w14:textId="033A4767" w:rsidR="00100E78" w:rsidRPr="00100E78" w:rsidRDefault="00100E78" w:rsidP="00FE0919">
            <w:pPr>
              <w:ind w:firstLineChars="200" w:firstLine="480"/>
              <w:jc w:val="both"/>
              <w:rPr>
                <w:rFonts w:ascii="Times New Roman" w:eastAsia="宋体" w:hAnsi="Times New Roman"/>
                <w:sz w:val="24"/>
                <w:szCs w:val="24"/>
                <w:lang w:val="en-MY"/>
              </w:rPr>
            </w:pPr>
            <w:r w:rsidRPr="00100E78">
              <w:rPr>
                <w:rFonts w:ascii="Times New Roman" w:eastAsia="宋体" w:hAnsi="Times New Roman" w:hint="eastAsia"/>
                <w:sz w:val="24"/>
                <w:szCs w:val="24"/>
                <w:lang w:val="en-MY"/>
              </w:rPr>
              <w:t>苏州吴江生产基地拥有</w:t>
            </w:r>
            <w:r w:rsidRPr="00100E78">
              <w:rPr>
                <w:rFonts w:ascii="Times New Roman" w:eastAsia="宋体" w:hAnsi="Times New Roman"/>
                <w:sz w:val="24"/>
                <w:szCs w:val="24"/>
                <w:lang w:val="en-MY"/>
              </w:rPr>
              <w:t>4,500</w:t>
            </w:r>
            <w:r w:rsidRPr="00100E78">
              <w:rPr>
                <w:rFonts w:ascii="Times New Roman" w:eastAsia="宋体" w:hAnsi="Times New Roman"/>
                <w:sz w:val="24"/>
                <w:szCs w:val="24"/>
                <w:lang w:val="en-MY"/>
              </w:rPr>
              <w:t>升（</w:t>
            </w:r>
            <w:r w:rsidRPr="00100E78">
              <w:rPr>
                <w:rFonts w:ascii="Times New Roman" w:eastAsia="宋体" w:hAnsi="Times New Roman"/>
                <w:sz w:val="24"/>
                <w:szCs w:val="24"/>
                <w:lang w:val="en-MY"/>
              </w:rPr>
              <w:t>9*500</w:t>
            </w:r>
            <w:r w:rsidRPr="00100E78">
              <w:rPr>
                <w:rFonts w:ascii="Times New Roman" w:eastAsia="宋体" w:hAnsi="Times New Roman"/>
                <w:sz w:val="24"/>
                <w:szCs w:val="24"/>
                <w:lang w:val="en-MY"/>
              </w:rPr>
              <w:t>升）</w:t>
            </w:r>
            <w:r w:rsidRPr="00100E78">
              <w:rPr>
                <w:rFonts w:ascii="Times New Roman" w:eastAsia="宋体" w:hAnsi="Times New Roman" w:hint="eastAsia"/>
                <w:sz w:val="24"/>
                <w:szCs w:val="24"/>
                <w:lang w:val="en-MY"/>
              </w:rPr>
              <w:t>发酵能力，于</w:t>
            </w:r>
            <w:r w:rsidRPr="00100E78">
              <w:rPr>
                <w:rFonts w:ascii="Times New Roman" w:eastAsia="宋体" w:hAnsi="Times New Roman"/>
                <w:sz w:val="24"/>
                <w:szCs w:val="24"/>
                <w:lang w:val="en-MY"/>
              </w:rPr>
              <w:t>2023</w:t>
            </w:r>
            <w:r w:rsidRPr="00100E78">
              <w:rPr>
                <w:rFonts w:ascii="Times New Roman" w:eastAsia="宋体" w:hAnsi="Times New Roman"/>
                <w:sz w:val="24"/>
                <w:szCs w:val="24"/>
                <w:lang w:val="en-MY"/>
              </w:rPr>
              <w:t>年</w:t>
            </w:r>
            <w:r w:rsidRPr="00100E78">
              <w:rPr>
                <w:rFonts w:ascii="Times New Roman" w:eastAsia="宋体" w:hAnsi="Times New Roman"/>
                <w:sz w:val="24"/>
                <w:szCs w:val="24"/>
                <w:lang w:val="en-MY"/>
              </w:rPr>
              <w:t>5</w:t>
            </w:r>
            <w:r w:rsidRPr="00100E78">
              <w:rPr>
                <w:rFonts w:ascii="Times New Roman" w:eastAsia="宋体" w:hAnsi="Times New Roman"/>
                <w:sz w:val="24"/>
                <w:szCs w:val="24"/>
                <w:lang w:val="en-MY"/>
              </w:rPr>
              <w:t>月</w:t>
            </w:r>
            <w:r w:rsidRPr="00100E78">
              <w:rPr>
                <w:rFonts w:ascii="Times New Roman" w:eastAsia="宋体" w:hAnsi="Times New Roman" w:hint="eastAsia"/>
                <w:sz w:val="24"/>
                <w:szCs w:val="24"/>
                <w:lang w:val="en-MY"/>
              </w:rPr>
              <w:t>顺利通过</w:t>
            </w:r>
            <w:r w:rsidRPr="00100E78">
              <w:rPr>
                <w:rFonts w:ascii="Times New Roman" w:eastAsia="宋体" w:hAnsi="Times New Roman"/>
                <w:sz w:val="24"/>
                <w:szCs w:val="24"/>
                <w:lang w:val="en-MY"/>
              </w:rPr>
              <w:t>FDA</w:t>
            </w:r>
            <w:r w:rsidRPr="00100E78">
              <w:rPr>
                <w:rFonts w:ascii="Times New Roman" w:eastAsia="宋体" w:hAnsi="Times New Roman" w:hint="eastAsia"/>
                <w:sz w:val="24"/>
                <w:szCs w:val="24"/>
                <w:lang w:val="en-MY"/>
              </w:rPr>
              <w:t>许可前检查（</w:t>
            </w:r>
            <w:r w:rsidRPr="00100E78">
              <w:rPr>
                <w:rFonts w:ascii="Times New Roman" w:eastAsia="宋体" w:hAnsi="Times New Roman"/>
                <w:sz w:val="24"/>
                <w:szCs w:val="24"/>
                <w:lang w:val="en-MY"/>
              </w:rPr>
              <w:t>Pre-License Inspection</w:t>
            </w:r>
            <w:r w:rsidRPr="00100E78">
              <w:rPr>
                <w:rFonts w:ascii="Times New Roman" w:eastAsia="宋体" w:hAnsi="Times New Roman"/>
                <w:sz w:val="24"/>
                <w:szCs w:val="24"/>
                <w:lang w:val="en-MY"/>
              </w:rPr>
              <w:t>，</w:t>
            </w:r>
            <w:r w:rsidRPr="00100E78">
              <w:rPr>
                <w:rFonts w:ascii="Times New Roman" w:eastAsia="宋体" w:hAnsi="Times New Roman"/>
                <w:sz w:val="24"/>
                <w:szCs w:val="24"/>
                <w:lang w:val="en-MY"/>
              </w:rPr>
              <w:t>PLI</w:t>
            </w:r>
            <w:r w:rsidRPr="00100E78">
              <w:rPr>
                <w:rFonts w:ascii="Times New Roman" w:eastAsia="宋体" w:hAnsi="Times New Roman"/>
                <w:sz w:val="24"/>
                <w:szCs w:val="24"/>
                <w:lang w:val="en-MY"/>
              </w:rPr>
              <w:t>），</w:t>
            </w:r>
            <w:r w:rsidRPr="00100E78">
              <w:rPr>
                <w:rFonts w:ascii="Times New Roman" w:eastAsia="宋体" w:hAnsi="Times New Roman" w:hint="eastAsia"/>
                <w:sz w:val="24"/>
                <w:szCs w:val="24"/>
                <w:lang w:val="en-MY"/>
              </w:rPr>
              <w:t>现阶段美国商业化批次特瑞普利单抗由该生产基地负责生产。此外，苏州吴江生产基地已顺利通过</w:t>
            </w:r>
            <w:r w:rsidRPr="00100E78">
              <w:rPr>
                <w:rFonts w:ascii="Times New Roman" w:eastAsia="宋体" w:hAnsi="Times New Roman"/>
                <w:sz w:val="24"/>
                <w:szCs w:val="24"/>
                <w:lang w:val="en-MY"/>
              </w:rPr>
              <w:t>EMA</w:t>
            </w:r>
            <w:r w:rsidRPr="00100E78">
              <w:rPr>
                <w:rFonts w:ascii="Times New Roman" w:eastAsia="宋体" w:hAnsi="Times New Roman" w:hint="eastAsia"/>
                <w:sz w:val="24"/>
                <w:szCs w:val="24"/>
                <w:lang w:val="en-MY"/>
              </w:rPr>
              <w:t>现场核查，并于</w:t>
            </w:r>
            <w:r w:rsidRPr="00100E78">
              <w:rPr>
                <w:rFonts w:ascii="Times New Roman" w:eastAsia="宋体" w:hAnsi="Times New Roman"/>
                <w:sz w:val="24"/>
                <w:szCs w:val="24"/>
                <w:lang w:val="en-MY"/>
              </w:rPr>
              <w:t>2024</w:t>
            </w:r>
            <w:r w:rsidRPr="00100E78">
              <w:rPr>
                <w:rFonts w:ascii="Times New Roman" w:eastAsia="宋体" w:hAnsi="Times New Roman"/>
                <w:sz w:val="24"/>
                <w:szCs w:val="24"/>
                <w:lang w:val="en-MY"/>
              </w:rPr>
              <w:t>年</w:t>
            </w:r>
            <w:r w:rsidRPr="00100E78">
              <w:rPr>
                <w:rFonts w:ascii="Times New Roman" w:eastAsia="宋体" w:hAnsi="Times New Roman"/>
                <w:sz w:val="24"/>
                <w:szCs w:val="24"/>
                <w:lang w:val="en-MY"/>
              </w:rPr>
              <w:t>7</w:t>
            </w:r>
            <w:r w:rsidRPr="00100E78">
              <w:rPr>
                <w:rFonts w:ascii="Times New Roman" w:eastAsia="宋体" w:hAnsi="Times New Roman"/>
                <w:sz w:val="24"/>
                <w:szCs w:val="24"/>
                <w:lang w:val="en-MY"/>
              </w:rPr>
              <w:t>月收到</w:t>
            </w:r>
            <w:r w:rsidRPr="00100E78">
              <w:rPr>
                <w:rFonts w:ascii="Times New Roman" w:eastAsia="宋体" w:hAnsi="Times New Roman" w:hint="eastAsia"/>
                <w:sz w:val="24"/>
                <w:szCs w:val="24"/>
                <w:lang w:val="en-MY"/>
              </w:rPr>
              <w:t>爱尔兰健康产品监督管理局（</w:t>
            </w:r>
            <w:r w:rsidRPr="00100E78">
              <w:rPr>
                <w:rFonts w:ascii="Times New Roman" w:eastAsia="宋体" w:hAnsi="Times New Roman"/>
                <w:sz w:val="24"/>
                <w:szCs w:val="24"/>
                <w:lang w:val="en-MY"/>
              </w:rPr>
              <w:t>The Ireland Health Products Regulatory Authority</w:t>
            </w:r>
            <w:r w:rsidRPr="00100E78">
              <w:rPr>
                <w:rFonts w:ascii="Times New Roman" w:eastAsia="宋体" w:hAnsi="Times New Roman"/>
                <w:sz w:val="24"/>
                <w:szCs w:val="24"/>
                <w:lang w:val="en-MY"/>
              </w:rPr>
              <w:t>）依据</w:t>
            </w:r>
            <w:r w:rsidRPr="00100E78">
              <w:rPr>
                <w:rFonts w:ascii="Times New Roman" w:eastAsia="宋体" w:hAnsi="Times New Roman"/>
                <w:sz w:val="24"/>
                <w:szCs w:val="24"/>
                <w:lang w:val="en-MY"/>
              </w:rPr>
              <w:t>EMA</w:t>
            </w:r>
            <w:r w:rsidRPr="00100E78">
              <w:rPr>
                <w:rFonts w:ascii="Times New Roman" w:eastAsia="宋体" w:hAnsi="Times New Roman"/>
                <w:sz w:val="24"/>
                <w:szCs w:val="24"/>
                <w:lang w:val="en-MY"/>
              </w:rPr>
              <w:t>相</w:t>
            </w:r>
            <w:r w:rsidRPr="00100E78">
              <w:rPr>
                <w:rFonts w:ascii="Times New Roman" w:eastAsia="宋体" w:hAnsi="Times New Roman" w:hint="eastAsia"/>
                <w:sz w:val="24"/>
                <w:szCs w:val="24"/>
                <w:lang w:val="en-MY"/>
              </w:rPr>
              <w:t>关法规颁发的《</w:t>
            </w:r>
            <w:r w:rsidRPr="00100E78">
              <w:rPr>
                <w:rFonts w:ascii="Times New Roman" w:eastAsia="宋体" w:hAnsi="Times New Roman"/>
                <w:sz w:val="24"/>
                <w:szCs w:val="24"/>
                <w:lang w:val="en-MY"/>
              </w:rPr>
              <w:t>CERTIFICATE OF GMP COMPLIANCE OF A MANUFACTURER</w:t>
            </w:r>
            <w:r w:rsidRPr="00100E78">
              <w:rPr>
                <w:rFonts w:ascii="Times New Roman" w:eastAsia="宋体" w:hAnsi="Times New Roman"/>
                <w:sz w:val="24"/>
                <w:szCs w:val="24"/>
                <w:lang w:val="en-MY"/>
              </w:rPr>
              <w:t>》（《</w:t>
            </w:r>
            <w:r w:rsidRPr="00100E78">
              <w:rPr>
                <w:rFonts w:ascii="Times New Roman" w:eastAsia="宋体" w:hAnsi="Times New Roman" w:hint="eastAsia"/>
                <w:sz w:val="24"/>
                <w:szCs w:val="24"/>
                <w:lang w:val="en-MY"/>
              </w:rPr>
              <w:t>药品</w:t>
            </w:r>
            <w:r w:rsidRPr="00100E78">
              <w:rPr>
                <w:rFonts w:ascii="Times New Roman" w:eastAsia="宋体" w:hAnsi="Times New Roman"/>
                <w:sz w:val="24"/>
                <w:szCs w:val="24"/>
                <w:lang w:val="en-MY"/>
              </w:rPr>
              <w:t>GMP</w:t>
            </w:r>
            <w:r w:rsidRPr="00100E78">
              <w:rPr>
                <w:rFonts w:ascii="Times New Roman" w:eastAsia="宋体" w:hAnsi="Times New Roman" w:hint="eastAsia"/>
                <w:sz w:val="24"/>
                <w:szCs w:val="24"/>
                <w:lang w:val="en-MY"/>
              </w:rPr>
              <w:t>证书》），根据欧盟成员国之间的</w:t>
            </w:r>
            <w:r w:rsidRPr="00100E78">
              <w:rPr>
                <w:rFonts w:ascii="Times New Roman" w:eastAsia="宋体" w:hAnsi="Times New Roman"/>
                <w:sz w:val="24"/>
                <w:szCs w:val="24"/>
                <w:lang w:val="en-MY"/>
              </w:rPr>
              <w:t>GMP</w:t>
            </w:r>
            <w:r w:rsidRPr="00100E78">
              <w:rPr>
                <w:rFonts w:ascii="Times New Roman" w:eastAsia="宋体" w:hAnsi="Times New Roman"/>
                <w:sz w:val="24"/>
                <w:szCs w:val="24"/>
                <w:lang w:val="en-MY"/>
              </w:rPr>
              <w:t>互</w:t>
            </w:r>
            <w:r w:rsidRPr="00100E78">
              <w:rPr>
                <w:rFonts w:ascii="Times New Roman" w:eastAsia="宋体" w:hAnsi="Times New Roman" w:hint="eastAsia"/>
                <w:sz w:val="24"/>
                <w:szCs w:val="24"/>
                <w:lang w:val="en-MY"/>
              </w:rPr>
              <w:t>认制度，本次通过</w:t>
            </w:r>
            <w:r w:rsidRPr="00100E78">
              <w:rPr>
                <w:rFonts w:ascii="Times New Roman" w:eastAsia="宋体" w:hAnsi="Times New Roman"/>
                <w:sz w:val="24"/>
                <w:szCs w:val="24"/>
                <w:lang w:val="en-MY"/>
              </w:rPr>
              <w:t>GMP</w:t>
            </w:r>
            <w:r w:rsidRPr="00100E78">
              <w:rPr>
                <w:rFonts w:ascii="Times New Roman" w:eastAsia="宋体" w:hAnsi="Times New Roman" w:hint="eastAsia"/>
                <w:sz w:val="24"/>
                <w:szCs w:val="24"/>
                <w:lang w:val="en-MY"/>
              </w:rPr>
              <w:t>认证表明本次接受认证的生产设施已符合欧盟</w:t>
            </w:r>
            <w:r w:rsidRPr="00100E78">
              <w:rPr>
                <w:rFonts w:ascii="Times New Roman" w:eastAsia="宋体" w:hAnsi="Times New Roman"/>
                <w:sz w:val="24"/>
                <w:szCs w:val="24"/>
                <w:lang w:val="en-MY"/>
              </w:rPr>
              <w:t>GMP</w:t>
            </w:r>
            <w:r w:rsidRPr="00100E78">
              <w:rPr>
                <w:rFonts w:ascii="Times New Roman" w:eastAsia="宋体" w:hAnsi="Times New Roman" w:hint="eastAsia"/>
                <w:sz w:val="24"/>
                <w:szCs w:val="24"/>
                <w:lang w:val="en-MY"/>
              </w:rPr>
              <w:t>标准，是特瑞普利单抗进入欧洲市场的重要准入条件。</w:t>
            </w:r>
          </w:p>
          <w:p w14:paraId="5AF665AA" w14:textId="0887771B" w:rsidR="005B547A" w:rsidRPr="00945698" w:rsidRDefault="00100E78" w:rsidP="00945698">
            <w:pPr>
              <w:ind w:firstLineChars="200" w:firstLine="480"/>
              <w:jc w:val="both"/>
              <w:rPr>
                <w:rFonts w:ascii="Times New Roman" w:eastAsia="宋体" w:hAnsi="Times New Roman"/>
                <w:sz w:val="24"/>
                <w:szCs w:val="24"/>
                <w:lang w:val="en-MY"/>
              </w:rPr>
            </w:pPr>
            <w:r w:rsidRPr="00100E78">
              <w:rPr>
                <w:rFonts w:ascii="Times New Roman" w:eastAsia="宋体" w:hAnsi="Times New Roman" w:hint="eastAsia"/>
                <w:sz w:val="24"/>
                <w:szCs w:val="24"/>
                <w:lang w:val="en-MY"/>
              </w:rPr>
              <w:t>上海临港生产基地目前产能</w:t>
            </w:r>
            <w:r w:rsidRPr="00100E78">
              <w:rPr>
                <w:rFonts w:ascii="Times New Roman" w:eastAsia="宋体" w:hAnsi="Times New Roman"/>
                <w:sz w:val="24"/>
                <w:szCs w:val="24"/>
                <w:lang w:val="en-MY"/>
              </w:rPr>
              <w:t>42,000</w:t>
            </w:r>
            <w:r w:rsidRPr="00100E78">
              <w:rPr>
                <w:rFonts w:ascii="Times New Roman" w:eastAsia="宋体" w:hAnsi="Times New Roman"/>
                <w:sz w:val="24"/>
                <w:szCs w:val="24"/>
                <w:lang w:val="en-MY"/>
              </w:rPr>
              <w:t>升（</w:t>
            </w:r>
            <w:r w:rsidRPr="00100E78">
              <w:rPr>
                <w:rFonts w:ascii="Times New Roman" w:eastAsia="宋体" w:hAnsi="Times New Roman"/>
                <w:sz w:val="24"/>
                <w:szCs w:val="24"/>
                <w:lang w:val="en-MY"/>
              </w:rPr>
              <w:t>21*2,000</w:t>
            </w:r>
            <w:r w:rsidRPr="00100E78">
              <w:rPr>
                <w:rFonts w:ascii="Times New Roman" w:eastAsia="宋体" w:hAnsi="Times New Roman"/>
                <w:sz w:val="24"/>
                <w:szCs w:val="24"/>
                <w:lang w:val="en-MY"/>
              </w:rPr>
              <w:t>升）。</w:t>
            </w:r>
            <w:r w:rsidRPr="00100E78">
              <w:rPr>
                <w:rFonts w:ascii="Times New Roman" w:eastAsia="宋体" w:hAnsi="Times New Roman"/>
                <w:sz w:val="24"/>
                <w:szCs w:val="24"/>
                <w:lang w:val="en-MY"/>
              </w:rPr>
              <w:t>NMPA</w:t>
            </w:r>
            <w:r w:rsidRPr="00100E78">
              <w:rPr>
                <w:rFonts w:ascii="Times New Roman" w:eastAsia="宋体" w:hAnsi="Times New Roman"/>
                <w:sz w:val="24"/>
                <w:szCs w:val="24"/>
                <w:lang w:val="en-MY"/>
              </w:rPr>
              <w:t>已批准上海</w:t>
            </w:r>
            <w:r w:rsidRPr="00100E78">
              <w:rPr>
                <w:rFonts w:ascii="Times New Roman" w:eastAsia="宋体" w:hAnsi="Times New Roman" w:hint="eastAsia"/>
                <w:sz w:val="24"/>
                <w:szCs w:val="24"/>
                <w:lang w:val="en-MY"/>
              </w:rPr>
              <w:t>临港生产基地可与苏州吴江生产基地同时负责生产商业化批次的特瑞普利单抗注射液。由于规模效应，上海临港生产基地产能的扩充亦将为公司带来更具竞争力的生产成本优势，并支持更多在研项目的临床试验用药以及未来的商业化批次生产。</w:t>
            </w:r>
          </w:p>
        </w:tc>
      </w:tr>
      <w:tr w:rsidR="00655039" w:rsidRPr="00B357B9" w14:paraId="22400E6D" w14:textId="77777777" w:rsidTr="007268FD">
        <w:trPr>
          <w:trHeight w:val="312"/>
        </w:trPr>
        <w:tc>
          <w:tcPr>
            <w:tcW w:w="1980" w:type="dxa"/>
            <w:vAlign w:val="center"/>
          </w:tcPr>
          <w:p w14:paraId="59BCCA05" w14:textId="77777777" w:rsidR="00C73CDA" w:rsidRPr="00B357B9" w:rsidRDefault="00B8574E">
            <w:pPr>
              <w:pStyle w:val="TableParagraph"/>
              <w:spacing w:line="292" w:lineRule="exact"/>
              <w:ind w:left="90" w:right="80"/>
              <w:jc w:val="center"/>
              <w:rPr>
                <w:rFonts w:ascii="Times New Roman" w:eastAsia="宋体" w:hAnsi="Times New Roman"/>
                <w:b/>
                <w:sz w:val="24"/>
                <w:szCs w:val="24"/>
              </w:rPr>
            </w:pPr>
            <w:r w:rsidRPr="00B357B9">
              <w:rPr>
                <w:rFonts w:ascii="Times New Roman" w:eastAsia="宋体" w:hAnsi="Times New Roman" w:hint="eastAsia"/>
                <w:b/>
                <w:sz w:val="24"/>
                <w:szCs w:val="24"/>
              </w:rPr>
              <w:lastRenderedPageBreak/>
              <w:t>附件清单</w:t>
            </w:r>
          </w:p>
          <w:p w14:paraId="56BBBB03" w14:textId="2D8B72B8" w:rsidR="00655039" w:rsidRPr="00B357B9" w:rsidRDefault="00B8574E">
            <w:pPr>
              <w:pStyle w:val="TableParagraph"/>
              <w:spacing w:line="292" w:lineRule="exact"/>
              <w:ind w:left="90" w:right="80"/>
              <w:jc w:val="center"/>
              <w:rPr>
                <w:rFonts w:ascii="Times New Roman" w:eastAsia="宋体" w:hAnsi="Times New Roman"/>
                <w:b/>
                <w:sz w:val="24"/>
                <w:szCs w:val="24"/>
              </w:rPr>
            </w:pPr>
            <w:r w:rsidRPr="00B357B9">
              <w:rPr>
                <w:rFonts w:ascii="Times New Roman" w:eastAsia="宋体" w:hAnsi="Times New Roman" w:hint="eastAsia"/>
                <w:b/>
                <w:sz w:val="24"/>
                <w:szCs w:val="24"/>
              </w:rPr>
              <w:t>（如有）</w:t>
            </w:r>
          </w:p>
        </w:tc>
        <w:tc>
          <w:tcPr>
            <w:tcW w:w="7654" w:type="dxa"/>
            <w:gridSpan w:val="2"/>
            <w:vAlign w:val="center"/>
          </w:tcPr>
          <w:p w14:paraId="7B024C8F" w14:textId="77777777" w:rsidR="00655039" w:rsidRPr="00B357B9" w:rsidRDefault="00B8574E">
            <w:pPr>
              <w:pStyle w:val="TableParagraph"/>
              <w:spacing w:line="292" w:lineRule="exact"/>
              <w:rPr>
                <w:rFonts w:ascii="Times New Roman" w:eastAsia="宋体" w:hAnsi="Times New Roman"/>
                <w:sz w:val="24"/>
                <w:szCs w:val="24"/>
              </w:rPr>
            </w:pPr>
            <w:r w:rsidRPr="00B357B9">
              <w:rPr>
                <w:rFonts w:ascii="Times New Roman" w:eastAsia="宋体" w:hAnsi="Times New Roman"/>
                <w:color w:val="000007"/>
                <w:sz w:val="24"/>
                <w:szCs w:val="24"/>
              </w:rPr>
              <w:t>无</w:t>
            </w:r>
          </w:p>
        </w:tc>
      </w:tr>
      <w:tr w:rsidR="00655039" w:rsidRPr="00B357B9" w14:paraId="777EC1EB" w14:textId="77777777" w:rsidTr="007268FD">
        <w:trPr>
          <w:trHeight w:val="436"/>
        </w:trPr>
        <w:tc>
          <w:tcPr>
            <w:tcW w:w="1980" w:type="dxa"/>
            <w:vAlign w:val="center"/>
          </w:tcPr>
          <w:p w14:paraId="0E762479" w14:textId="77777777" w:rsidR="00655039" w:rsidRPr="00B357B9" w:rsidRDefault="00B8574E">
            <w:pPr>
              <w:pStyle w:val="TableParagraph"/>
              <w:spacing w:line="292" w:lineRule="exact"/>
              <w:ind w:left="88" w:right="80"/>
              <w:jc w:val="center"/>
              <w:rPr>
                <w:rFonts w:ascii="Times New Roman" w:eastAsia="宋体" w:hAnsi="Times New Roman"/>
                <w:b/>
                <w:sz w:val="24"/>
                <w:szCs w:val="24"/>
              </w:rPr>
            </w:pPr>
            <w:r w:rsidRPr="00B357B9">
              <w:rPr>
                <w:rFonts w:ascii="Times New Roman" w:eastAsia="宋体" w:hAnsi="Times New Roman" w:hint="eastAsia"/>
                <w:b/>
                <w:sz w:val="24"/>
                <w:szCs w:val="24"/>
              </w:rPr>
              <w:t>日期</w:t>
            </w:r>
          </w:p>
        </w:tc>
        <w:tc>
          <w:tcPr>
            <w:tcW w:w="7654" w:type="dxa"/>
            <w:gridSpan w:val="2"/>
            <w:vAlign w:val="center"/>
          </w:tcPr>
          <w:p w14:paraId="6561E443" w14:textId="424358BB" w:rsidR="00655039" w:rsidRPr="00B357B9" w:rsidRDefault="00801A9C" w:rsidP="00964C76">
            <w:pPr>
              <w:pStyle w:val="TableParagraph"/>
              <w:spacing w:before="8" w:line="284"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w:t>
            </w:r>
            <w:r w:rsidR="004F3766">
              <w:rPr>
                <w:rFonts w:ascii="Times New Roman" w:eastAsia="宋体" w:hAnsi="Times New Roman" w:cs="Times New Roman"/>
                <w:sz w:val="24"/>
                <w:szCs w:val="24"/>
              </w:rPr>
              <w:t>4</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9</w:t>
            </w:r>
            <w:r w:rsidR="00764652">
              <w:rPr>
                <w:rFonts w:ascii="Times New Roman" w:eastAsia="宋体" w:hAnsi="Times New Roman" w:cs="Times New Roman" w:hint="eastAsia"/>
                <w:sz w:val="24"/>
                <w:szCs w:val="24"/>
              </w:rPr>
              <w:t>月</w:t>
            </w:r>
            <w:r w:rsidR="004F3766">
              <w:rPr>
                <w:rFonts w:ascii="Times New Roman" w:eastAsia="宋体" w:hAnsi="Times New Roman" w:cs="Times New Roman"/>
                <w:sz w:val="24"/>
                <w:szCs w:val="24"/>
              </w:rPr>
              <w:t>3</w:t>
            </w:r>
            <w:r w:rsidR="00764652">
              <w:rPr>
                <w:rFonts w:ascii="Times New Roman" w:eastAsia="宋体" w:hAnsi="Times New Roman" w:cs="Times New Roman" w:hint="eastAsia"/>
                <w:sz w:val="24"/>
                <w:szCs w:val="24"/>
              </w:rPr>
              <w:t>日</w:t>
            </w:r>
          </w:p>
        </w:tc>
      </w:tr>
    </w:tbl>
    <w:p w14:paraId="54E23D92" w14:textId="77777777" w:rsidR="00655039" w:rsidRPr="00B357B9" w:rsidRDefault="00655039">
      <w:pPr>
        <w:rPr>
          <w:rFonts w:ascii="Times New Roman" w:eastAsia="宋体" w:hAnsi="Times New Roman"/>
        </w:rPr>
      </w:pPr>
    </w:p>
    <w:sectPr w:rsidR="00655039" w:rsidRPr="00B357B9">
      <w:footerReference w:type="default" r:id="rId8"/>
      <w:pgSz w:w="11910" w:h="16840"/>
      <w:pgMar w:top="1420" w:right="1020" w:bottom="1360" w:left="1020" w:header="0" w:footer="1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7C2A0" w14:textId="77777777" w:rsidR="00F24D0D" w:rsidRDefault="00F24D0D">
      <w:r>
        <w:separator/>
      </w:r>
    </w:p>
  </w:endnote>
  <w:endnote w:type="continuationSeparator" w:id="0">
    <w:p w14:paraId="6478C4FA" w14:textId="77777777" w:rsidR="00F24D0D" w:rsidRDefault="00F2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607299"/>
      <w:docPartObj>
        <w:docPartGallery w:val="Page Numbers (Bottom of Page)"/>
        <w:docPartUnique/>
      </w:docPartObj>
    </w:sdtPr>
    <w:sdtEndPr/>
    <w:sdtContent>
      <w:p w14:paraId="71B120F7" w14:textId="64A89895" w:rsidR="00E838F9" w:rsidRDefault="00E838F9">
        <w:pPr>
          <w:pStyle w:val="a8"/>
          <w:jc w:val="center"/>
        </w:pPr>
        <w:r>
          <w:fldChar w:fldCharType="begin"/>
        </w:r>
        <w:r>
          <w:instrText>PAGE   \* MERGEFORMAT</w:instrText>
        </w:r>
        <w:r>
          <w:fldChar w:fldCharType="separate"/>
        </w:r>
        <w:r w:rsidR="006E2004" w:rsidRPr="006E2004">
          <w:rPr>
            <w:noProof/>
            <w:lang w:val="zh-CN"/>
          </w:rPr>
          <w:t>6</w:t>
        </w:r>
        <w:r>
          <w:fldChar w:fldCharType="end"/>
        </w:r>
      </w:p>
    </w:sdtContent>
  </w:sdt>
  <w:p w14:paraId="0629A142" w14:textId="079B73AB" w:rsidR="00E838F9" w:rsidRDefault="00E838F9">
    <w:pPr>
      <w:pStyle w:val="a5"/>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296D2" w14:textId="77777777" w:rsidR="00F24D0D" w:rsidRDefault="00F24D0D">
      <w:r>
        <w:separator/>
      </w:r>
    </w:p>
  </w:footnote>
  <w:footnote w:type="continuationSeparator" w:id="0">
    <w:p w14:paraId="296CDD6F" w14:textId="77777777" w:rsidR="00F24D0D" w:rsidRDefault="00F24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59"/>
    <w:rsid w:val="000004AC"/>
    <w:rsid w:val="00002D75"/>
    <w:rsid w:val="00007221"/>
    <w:rsid w:val="00007FD0"/>
    <w:rsid w:val="00011B9B"/>
    <w:rsid w:val="0001247C"/>
    <w:rsid w:val="0001320A"/>
    <w:rsid w:val="0001576F"/>
    <w:rsid w:val="00015B17"/>
    <w:rsid w:val="00015D5A"/>
    <w:rsid w:val="000202B4"/>
    <w:rsid w:val="000218BA"/>
    <w:rsid w:val="00023C12"/>
    <w:rsid w:val="00026D48"/>
    <w:rsid w:val="00027535"/>
    <w:rsid w:val="00031EF7"/>
    <w:rsid w:val="00032B4E"/>
    <w:rsid w:val="00035136"/>
    <w:rsid w:val="00036E06"/>
    <w:rsid w:val="00036F3D"/>
    <w:rsid w:val="00037E9B"/>
    <w:rsid w:val="00040075"/>
    <w:rsid w:val="000402F5"/>
    <w:rsid w:val="000405DD"/>
    <w:rsid w:val="00041005"/>
    <w:rsid w:val="00042900"/>
    <w:rsid w:val="00043BFB"/>
    <w:rsid w:val="0004402B"/>
    <w:rsid w:val="000447CF"/>
    <w:rsid w:val="000463CB"/>
    <w:rsid w:val="00047425"/>
    <w:rsid w:val="00047963"/>
    <w:rsid w:val="0005066E"/>
    <w:rsid w:val="00050D9A"/>
    <w:rsid w:val="00052909"/>
    <w:rsid w:val="0005304E"/>
    <w:rsid w:val="0005570D"/>
    <w:rsid w:val="000558C8"/>
    <w:rsid w:val="00055D3D"/>
    <w:rsid w:val="000578C8"/>
    <w:rsid w:val="00060195"/>
    <w:rsid w:val="000618FD"/>
    <w:rsid w:val="00062557"/>
    <w:rsid w:val="0006257F"/>
    <w:rsid w:val="00063D48"/>
    <w:rsid w:val="00064141"/>
    <w:rsid w:val="000641B4"/>
    <w:rsid w:val="00066457"/>
    <w:rsid w:val="0006689B"/>
    <w:rsid w:val="00067479"/>
    <w:rsid w:val="00067C1C"/>
    <w:rsid w:val="00067CE8"/>
    <w:rsid w:val="00070597"/>
    <w:rsid w:val="00070AAE"/>
    <w:rsid w:val="00071558"/>
    <w:rsid w:val="0007403A"/>
    <w:rsid w:val="0007595F"/>
    <w:rsid w:val="00082C41"/>
    <w:rsid w:val="00083755"/>
    <w:rsid w:val="00083A12"/>
    <w:rsid w:val="000847DF"/>
    <w:rsid w:val="0008649D"/>
    <w:rsid w:val="00086E37"/>
    <w:rsid w:val="0009000C"/>
    <w:rsid w:val="000910C1"/>
    <w:rsid w:val="0009114D"/>
    <w:rsid w:val="000919B2"/>
    <w:rsid w:val="00091C5E"/>
    <w:rsid w:val="00093018"/>
    <w:rsid w:val="000931FE"/>
    <w:rsid w:val="000938C7"/>
    <w:rsid w:val="000945AA"/>
    <w:rsid w:val="00097006"/>
    <w:rsid w:val="000A0234"/>
    <w:rsid w:val="000A0846"/>
    <w:rsid w:val="000A0E3B"/>
    <w:rsid w:val="000A28FF"/>
    <w:rsid w:val="000A3B57"/>
    <w:rsid w:val="000A4967"/>
    <w:rsid w:val="000A72BE"/>
    <w:rsid w:val="000A785C"/>
    <w:rsid w:val="000A7F2C"/>
    <w:rsid w:val="000B0286"/>
    <w:rsid w:val="000B1585"/>
    <w:rsid w:val="000B2289"/>
    <w:rsid w:val="000B2C0A"/>
    <w:rsid w:val="000B3833"/>
    <w:rsid w:val="000B5AC8"/>
    <w:rsid w:val="000B68EB"/>
    <w:rsid w:val="000B7312"/>
    <w:rsid w:val="000B765D"/>
    <w:rsid w:val="000C15FA"/>
    <w:rsid w:val="000C2EE0"/>
    <w:rsid w:val="000C4A01"/>
    <w:rsid w:val="000C7463"/>
    <w:rsid w:val="000D2DEF"/>
    <w:rsid w:val="000D2FE7"/>
    <w:rsid w:val="000D30BA"/>
    <w:rsid w:val="000D4CCF"/>
    <w:rsid w:val="000D5631"/>
    <w:rsid w:val="000D5B08"/>
    <w:rsid w:val="000D5CCE"/>
    <w:rsid w:val="000D5FF6"/>
    <w:rsid w:val="000D7605"/>
    <w:rsid w:val="000E18B1"/>
    <w:rsid w:val="000E23B7"/>
    <w:rsid w:val="000E3766"/>
    <w:rsid w:val="000E617C"/>
    <w:rsid w:val="000E6212"/>
    <w:rsid w:val="000E6396"/>
    <w:rsid w:val="000F2630"/>
    <w:rsid w:val="000F3E06"/>
    <w:rsid w:val="000F422D"/>
    <w:rsid w:val="000F4A3D"/>
    <w:rsid w:val="0010042D"/>
    <w:rsid w:val="00100994"/>
    <w:rsid w:val="00100E78"/>
    <w:rsid w:val="001028AD"/>
    <w:rsid w:val="00103706"/>
    <w:rsid w:val="0010424E"/>
    <w:rsid w:val="00105818"/>
    <w:rsid w:val="0010618C"/>
    <w:rsid w:val="00107E5B"/>
    <w:rsid w:val="00112C07"/>
    <w:rsid w:val="001133BB"/>
    <w:rsid w:val="00113A20"/>
    <w:rsid w:val="00114931"/>
    <w:rsid w:val="00114D3D"/>
    <w:rsid w:val="001155D3"/>
    <w:rsid w:val="0011602F"/>
    <w:rsid w:val="00116470"/>
    <w:rsid w:val="001179C4"/>
    <w:rsid w:val="00121FA6"/>
    <w:rsid w:val="0012380D"/>
    <w:rsid w:val="00125106"/>
    <w:rsid w:val="0012669D"/>
    <w:rsid w:val="001271D4"/>
    <w:rsid w:val="00127280"/>
    <w:rsid w:val="0012750A"/>
    <w:rsid w:val="0013034C"/>
    <w:rsid w:val="00130C5C"/>
    <w:rsid w:val="001312AC"/>
    <w:rsid w:val="00132A32"/>
    <w:rsid w:val="001336ED"/>
    <w:rsid w:val="00133C07"/>
    <w:rsid w:val="00134AEA"/>
    <w:rsid w:val="00134BAC"/>
    <w:rsid w:val="00136060"/>
    <w:rsid w:val="0013628F"/>
    <w:rsid w:val="001373EF"/>
    <w:rsid w:val="00137A70"/>
    <w:rsid w:val="00137F9E"/>
    <w:rsid w:val="00142BF4"/>
    <w:rsid w:val="0014468C"/>
    <w:rsid w:val="00144A3C"/>
    <w:rsid w:val="00145309"/>
    <w:rsid w:val="0014660F"/>
    <w:rsid w:val="00147E7A"/>
    <w:rsid w:val="00151C4D"/>
    <w:rsid w:val="00153639"/>
    <w:rsid w:val="001559D2"/>
    <w:rsid w:val="00155B0C"/>
    <w:rsid w:val="00156223"/>
    <w:rsid w:val="00156D39"/>
    <w:rsid w:val="001601C2"/>
    <w:rsid w:val="0016119A"/>
    <w:rsid w:val="00162822"/>
    <w:rsid w:val="001634E2"/>
    <w:rsid w:val="00164235"/>
    <w:rsid w:val="00164485"/>
    <w:rsid w:val="001645C8"/>
    <w:rsid w:val="00166B27"/>
    <w:rsid w:val="00167FFA"/>
    <w:rsid w:val="0017079A"/>
    <w:rsid w:val="00170C4E"/>
    <w:rsid w:val="001718F0"/>
    <w:rsid w:val="00172AD2"/>
    <w:rsid w:val="00172FB7"/>
    <w:rsid w:val="00172FDA"/>
    <w:rsid w:val="00173260"/>
    <w:rsid w:val="001813A2"/>
    <w:rsid w:val="001817F9"/>
    <w:rsid w:val="00181A35"/>
    <w:rsid w:val="00182419"/>
    <w:rsid w:val="00184830"/>
    <w:rsid w:val="00184A6A"/>
    <w:rsid w:val="00185CDF"/>
    <w:rsid w:val="00186D91"/>
    <w:rsid w:val="00187348"/>
    <w:rsid w:val="001877A1"/>
    <w:rsid w:val="00191552"/>
    <w:rsid w:val="00192789"/>
    <w:rsid w:val="00192F47"/>
    <w:rsid w:val="001932C8"/>
    <w:rsid w:val="001934F9"/>
    <w:rsid w:val="001A059A"/>
    <w:rsid w:val="001A0F1E"/>
    <w:rsid w:val="001A37B1"/>
    <w:rsid w:val="001A4C79"/>
    <w:rsid w:val="001A5059"/>
    <w:rsid w:val="001A65BC"/>
    <w:rsid w:val="001A6809"/>
    <w:rsid w:val="001A7AF6"/>
    <w:rsid w:val="001A7E02"/>
    <w:rsid w:val="001B02DC"/>
    <w:rsid w:val="001B0531"/>
    <w:rsid w:val="001B14E6"/>
    <w:rsid w:val="001B40AC"/>
    <w:rsid w:val="001B475E"/>
    <w:rsid w:val="001B570F"/>
    <w:rsid w:val="001B5838"/>
    <w:rsid w:val="001B58F0"/>
    <w:rsid w:val="001B6570"/>
    <w:rsid w:val="001C19EC"/>
    <w:rsid w:val="001C2A4E"/>
    <w:rsid w:val="001C30D5"/>
    <w:rsid w:val="001C5123"/>
    <w:rsid w:val="001C6961"/>
    <w:rsid w:val="001C6C95"/>
    <w:rsid w:val="001D00FB"/>
    <w:rsid w:val="001D300D"/>
    <w:rsid w:val="001D3220"/>
    <w:rsid w:val="001D339F"/>
    <w:rsid w:val="001D4D08"/>
    <w:rsid w:val="001D770B"/>
    <w:rsid w:val="001E1774"/>
    <w:rsid w:val="001E2534"/>
    <w:rsid w:val="001E28F6"/>
    <w:rsid w:val="001E2E52"/>
    <w:rsid w:val="001E2EF4"/>
    <w:rsid w:val="001E3752"/>
    <w:rsid w:val="001E4063"/>
    <w:rsid w:val="001E407D"/>
    <w:rsid w:val="001E4A12"/>
    <w:rsid w:val="001E5F90"/>
    <w:rsid w:val="001E7EBF"/>
    <w:rsid w:val="001F0A7A"/>
    <w:rsid w:val="001F0C20"/>
    <w:rsid w:val="001F4464"/>
    <w:rsid w:val="001F447D"/>
    <w:rsid w:val="001F466A"/>
    <w:rsid w:val="001F607F"/>
    <w:rsid w:val="001F67F3"/>
    <w:rsid w:val="001F6BD9"/>
    <w:rsid w:val="001F7DCB"/>
    <w:rsid w:val="00200ADF"/>
    <w:rsid w:val="00210F20"/>
    <w:rsid w:val="00212C70"/>
    <w:rsid w:val="00213020"/>
    <w:rsid w:val="00213820"/>
    <w:rsid w:val="002142D2"/>
    <w:rsid w:val="002146DA"/>
    <w:rsid w:val="00216CC1"/>
    <w:rsid w:val="00217A63"/>
    <w:rsid w:val="00217DB2"/>
    <w:rsid w:val="00220243"/>
    <w:rsid w:val="0022088D"/>
    <w:rsid w:val="00221EDA"/>
    <w:rsid w:val="00222820"/>
    <w:rsid w:val="00222F6E"/>
    <w:rsid w:val="002233FB"/>
    <w:rsid w:val="00225323"/>
    <w:rsid w:val="002269B9"/>
    <w:rsid w:val="00227221"/>
    <w:rsid w:val="00232CF4"/>
    <w:rsid w:val="002331C3"/>
    <w:rsid w:val="00233A85"/>
    <w:rsid w:val="00233C84"/>
    <w:rsid w:val="00234C9D"/>
    <w:rsid w:val="0023597F"/>
    <w:rsid w:val="00235AC3"/>
    <w:rsid w:val="00236DCF"/>
    <w:rsid w:val="0024121D"/>
    <w:rsid w:val="00241539"/>
    <w:rsid w:val="00243464"/>
    <w:rsid w:val="00243567"/>
    <w:rsid w:val="00244307"/>
    <w:rsid w:val="002465D5"/>
    <w:rsid w:val="00247ABC"/>
    <w:rsid w:val="00250827"/>
    <w:rsid w:val="00250D3C"/>
    <w:rsid w:val="00251004"/>
    <w:rsid w:val="00251318"/>
    <w:rsid w:val="00252059"/>
    <w:rsid w:val="002539EB"/>
    <w:rsid w:val="00253A50"/>
    <w:rsid w:val="00253DAD"/>
    <w:rsid w:val="00254CC8"/>
    <w:rsid w:val="002551D6"/>
    <w:rsid w:val="00255506"/>
    <w:rsid w:val="00256075"/>
    <w:rsid w:val="0025694F"/>
    <w:rsid w:val="00256C20"/>
    <w:rsid w:val="00256C92"/>
    <w:rsid w:val="00257A79"/>
    <w:rsid w:val="00257EC6"/>
    <w:rsid w:val="00257FA8"/>
    <w:rsid w:val="00260FBA"/>
    <w:rsid w:val="002625E7"/>
    <w:rsid w:val="00263597"/>
    <w:rsid w:val="0026717A"/>
    <w:rsid w:val="002704E3"/>
    <w:rsid w:val="00270C2D"/>
    <w:rsid w:val="0027140D"/>
    <w:rsid w:val="00274A7D"/>
    <w:rsid w:val="00274E70"/>
    <w:rsid w:val="0027676E"/>
    <w:rsid w:val="00276AC6"/>
    <w:rsid w:val="00276D6A"/>
    <w:rsid w:val="002779FA"/>
    <w:rsid w:val="00280D8A"/>
    <w:rsid w:val="00281746"/>
    <w:rsid w:val="00281A1E"/>
    <w:rsid w:val="00281ECF"/>
    <w:rsid w:val="002832BB"/>
    <w:rsid w:val="00283F80"/>
    <w:rsid w:val="002848BA"/>
    <w:rsid w:val="00285AAA"/>
    <w:rsid w:val="00285C94"/>
    <w:rsid w:val="00286F45"/>
    <w:rsid w:val="00290584"/>
    <w:rsid w:val="00290740"/>
    <w:rsid w:val="00291680"/>
    <w:rsid w:val="002920C9"/>
    <w:rsid w:val="00292BF3"/>
    <w:rsid w:val="00293759"/>
    <w:rsid w:val="00293D89"/>
    <w:rsid w:val="00294829"/>
    <w:rsid w:val="00294FFE"/>
    <w:rsid w:val="0029606B"/>
    <w:rsid w:val="00296278"/>
    <w:rsid w:val="0029654B"/>
    <w:rsid w:val="0029657E"/>
    <w:rsid w:val="002965D3"/>
    <w:rsid w:val="00296921"/>
    <w:rsid w:val="002974F5"/>
    <w:rsid w:val="00297EAD"/>
    <w:rsid w:val="002A01B0"/>
    <w:rsid w:val="002A16A3"/>
    <w:rsid w:val="002A19D4"/>
    <w:rsid w:val="002A1E5E"/>
    <w:rsid w:val="002A2D3B"/>
    <w:rsid w:val="002A2F02"/>
    <w:rsid w:val="002A3EAF"/>
    <w:rsid w:val="002A52B1"/>
    <w:rsid w:val="002A63D6"/>
    <w:rsid w:val="002A63F0"/>
    <w:rsid w:val="002A6ABD"/>
    <w:rsid w:val="002A7D9D"/>
    <w:rsid w:val="002B0039"/>
    <w:rsid w:val="002B555B"/>
    <w:rsid w:val="002B5C3A"/>
    <w:rsid w:val="002C314D"/>
    <w:rsid w:val="002C3812"/>
    <w:rsid w:val="002C56C9"/>
    <w:rsid w:val="002C5762"/>
    <w:rsid w:val="002C69B0"/>
    <w:rsid w:val="002D0571"/>
    <w:rsid w:val="002D12E0"/>
    <w:rsid w:val="002D2D55"/>
    <w:rsid w:val="002D50C8"/>
    <w:rsid w:val="002D689C"/>
    <w:rsid w:val="002D7B53"/>
    <w:rsid w:val="002E07E9"/>
    <w:rsid w:val="002E1467"/>
    <w:rsid w:val="002E1AD4"/>
    <w:rsid w:val="002E2745"/>
    <w:rsid w:val="002E4406"/>
    <w:rsid w:val="002E6B6F"/>
    <w:rsid w:val="002F043D"/>
    <w:rsid w:val="002F2C65"/>
    <w:rsid w:val="002F366E"/>
    <w:rsid w:val="002F3B80"/>
    <w:rsid w:val="002F4606"/>
    <w:rsid w:val="002F4991"/>
    <w:rsid w:val="002F4B61"/>
    <w:rsid w:val="002F5058"/>
    <w:rsid w:val="002F6731"/>
    <w:rsid w:val="002F6BF8"/>
    <w:rsid w:val="00301FB0"/>
    <w:rsid w:val="00302655"/>
    <w:rsid w:val="00303A85"/>
    <w:rsid w:val="003043DF"/>
    <w:rsid w:val="003046F7"/>
    <w:rsid w:val="0030531B"/>
    <w:rsid w:val="003053E5"/>
    <w:rsid w:val="00306C8C"/>
    <w:rsid w:val="00306D63"/>
    <w:rsid w:val="0030761F"/>
    <w:rsid w:val="00307CD4"/>
    <w:rsid w:val="0031255E"/>
    <w:rsid w:val="00314896"/>
    <w:rsid w:val="00316004"/>
    <w:rsid w:val="003169C8"/>
    <w:rsid w:val="003174C2"/>
    <w:rsid w:val="00317611"/>
    <w:rsid w:val="003213A9"/>
    <w:rsid w:val="003215DE"/>
    <w:rsid w:val="0032314E"/>
    <w:rsid w:val="00323395"/>
    <w:rsid w:val="00323471"/>
    <w:rsid w:val="00324EA2"/>
    <w:rsid w:val="003251BB"/>
    <w:rsid w:val="00327CA4"/>
    <w:rsid w:val="00330BA2"/>
    <w:rsid w:val="00330D2D"/>
    <w:rsid w:val="00331663"/>
    <w:rsid w:val="00332BF5"/>
    <w:rsid w:val="00332EAA"/>
    <w:rsid w:val="0033401E"/>
    <w:rsid w:val="00336BE4"/>
    <w:rsid w:val="0033751A"/>
    <w:rsid w:val="00340A8D"/>
    <w:rsid w:val="00342C24"/>
    <w:rsid w:val="00344790"/>
    <w:rsid w:val="0034489F"/>
    <w:rsid w:val="00344B42"/>
    <w:rsid w:val="00345461"/>
    <w:rsid w:val="00346642"/>
    <w:rsid w:val="003467A8"/>
    <w:rsid w:val="00347EE1"/>
    <w:rsid w:val="00350663"/>
    <w:rsid w:val="003506CA"/>
    <w:rsid w:val="00350988"/>
    <w:rsid w:val="00350C75"/>
    <w:rsid w:val="00350FBF"/>
    <w:rsid w:val="0035337D"/>
    <w:rsid w:val="00353ACF"/>
    <w:rsid w:val="00354DAF"/>
    <w:rsid w:val="0035566A"/>
    <w:rsid w:val="00356E41"/>
    <w:rsid w:val="0035742B"/>
    <w:rsid w:val="00357432"/>
    <w:rsid w:val="00357880"/>
    <w:rsid w:val="003603B4"/>
    <w:rsid w:val="0036062E"/>
    <w:rsid w:val="003606CB"/>
    <w:rsid w:val="003610CA"/>
    <w:rsid w:val="00361149"/>
    <w:rsid w:val="003629E2"/>
    <w:rsid w:val="0036429A"/>
    <w:rsid w:val="00365A3A"/>
    <w:rsid w:val="00365F1D"/>
    <w:rsid w:val="003714D1"/>
    <w:rsid w:val="003716A5"/>
    <w:rsid w:val="003719F2"/>
    <w:rsid w:val="00373D37"/>
    <w:rsid w:val="003743AA"/>
    <w:rsid w:val="00375512"/>
    <w:rsid w:val="00376CC8"/>
    <w:rsid w:val="00380252"/>
    <w:rsid w:val="003831BE"/>
    <w:rsid w:val="00383372"/>
    <w:rsid w:val="0038363B"/>
    <w:rsid w:val="00383D9A"/>
    <w:rsid w:val="00384128"/>
    <w:rsid w:val="003841C4"/>
    <w:rsid w:val="0038560D"/>
    <w:rsid w:val="003856FB"/>
    <w:rsid w:val="00386310"/>
    <w:rsid w:val="003868AF"/>
    <w:rsid w:val="00390F75"/>
    <w:rsid w:val="00391027"/>
    <w:rsid w:val="003910E1"/>
    <w:rsid w:val="003924BE"/>
    <w:rsid w:val="00392D71"/>
    <w:rsid w:val="003934FC"/>
    <w:rsid w:val="00393820"/>
    <w:rsid w:val="00393DB7"/>
    <w:rsid w:val="00394113"/>
    <w:rsid w:val="00395751"/>
    <w:rsid w:val="00396316"/>
    <w:rsid w:val="00396FFD"/>
    <w:rsid w:val="0039715D"/>
    <w:rsid w:val="003A09DB"/>
    <w:rsid w:val="003A20DF"/>
    <w:rsid w:val="003A2343"/>
    <w:rsid w:val="003A2609"/>
    <w:rsid w:val="003A3591"/>
    <w:rsid w:val="003A44F1"/>
    <w:rsid w:val="003A56EC"/>
    <w:rsid w:val="003A6063"/>
    <w:rsid w:val="003A689D"/>
    <w:rsid w:val="003A70B3"/>
    <w:rsid w:val="003B1065"/>
    <w:rsid w:val="003B36A9"/>
    <w:rsid w:val="003B4E0B"/>
    <w:rsid w:val="003B5E61"/>
    <w:rsid w:val="003B66CC"/>
    <w:rsid w:val="003B6AA6"/>
    <w:rsid w:val="003C19A9"/>
    <w:rsid w:val="003C1D5F"/>
    <w:rsid w:val="003C253A"/>
    <w:rsid w:val="003C272E"/>
    <w:rsid w:val="003C3325"/>
    <w:rsid w:val="003C4D6D"/>
    <w:rsid w:val="003C5E7A"/>
    <w:rsid w:val="003C5FC3"/>
    <w:rsid w:val="003D2ED2"/>
    <w:rsid w:val="003D3046"/>
    <w:rsid w:val="003D4CDB"/>
    <w:rsid w:val="003D5DD5"/>
    <w:rsid w:val="003D5E8B"/>
    <w:rsid w:val="003D6C3F"/>
    <w:rsid w:val="003E082E"/>
    <w:rsid w:val="003E2F89"/>
    <w:rsid w:val="003E3975"/>
    <w:rsid w:val="003E4AC1"/>
    <w:rsid w:val="003E4F02"/>
    <w:rsid w:val="003E608C"/>
    <w:rsid w:val="003E669B"/>
    <w:rsid w:val="003E7DB9"/>
    <w:rsid w:val="003F1768"/>
    <w:rsid w:val="003F1F40"/>
    <w:rsid w:val="003F483D"/>
    <w:rsid w:val="004000C2"/>
    <w:rsid w:val="0040435A"/>
    <w:rsid w:val="00404C7C"/>
    <w:rsid w:val="004056CB"/>
    <w:rsid w:val="00405EE1"/>
    <w:rsid w:val="00406540"/>
    <w:rsid w:val="00406C50"/>
    <w:rsid w:val="004105E2"/>
    <w:rsid w:val="00410977"/>
    <w:rsid w:val="00411F6A"/>
    <w:rsid w:val="00413537"/>
    <w:rsid w:val="00414169"/>
    <w:rsid w:val="0041499E"/>
    <w:rsid w:val="004150E9"/>
    <w:rsid w:val="004158A9"/>
    <w:rsid w:val="0041742C"/>
    <w:rsid w:val="00417851"/>
    <w:rsid w:val="00421516"/>
    <w:rsid w:val="004215EA"/>
    <w:rsid w:val="0042254E"/>
    <w:rsid w:val="0042475B"/>
    <w:rsid w:val="00432B78"/>
    <w:rsid w:val="0043310E"/>
    <w:rsid w:val="00433E12"/>
    <w:rsid w:val="00433EF4"/>
    <w:rsid w:val="00434F86"/>
    <w:rsid w:val="00435AFB"/>
    <w:rsid w:val="004367A2"/>
    <w:rsid w:val="004375A3"/>
    <w:rsid w:val="00437806"/>
    <w:rsid w:val="0044064B"/>
    <w:rsid w:val="004479D1"/>
    <w:rsid w:val="00450FDD"/>
    <w:rsid w:val="004516B5"/>
    <w:rsid w:val="00451CE6"/>
    <w:rsid w:val="00451D13"/>
    <w:rsid w:val="00452788"/>
    <w:rsid w:val="004532F3"/>
    <w:rsid w:val="0045438C"/>
    <w:rsid w:val="004573D2"/>
    <w:rsid w:val="00460625"/>
    <w:rsid w:val="0046074C"/>
    <w:rsid w:val="00461171"/>
    <w:rsid w:val="004618E4"/>
    <w:rsid w:val="00464CCB"/>
    <w:rsid w:val="00465177"/>
    <w:rsid w:val="004657CC"/>
    <w:rsid w:val="00467501"/>
    <w:rsid w:val="004677F2"/>
    <w:rsid w:val="00467945"/>
    <w:rsid w:val="00471E84"/>
    <w:rsid w:val="004731F8"/>
    <w:rsid w:val="00473B21"/>
    <w:rsid w:val="00474F11"/>
    <w:rsid w:val="004751F8"/>
    <w:rsid w:val="0047769C"/>
    <w:rsid w:val="00477DB1"/>
    <w:rsid w:val="00477FA2"/>
    <w:rsid w:val="00480211"/>
    <w:rsid w:val="0048049D"/>
    <w:rsid w:val="00480701"/>
    <w:rsid w:val="00483430"/>
    <w:rsid w:val="0048518E"/>
    <w:rsid w:val="004853E9"/>
    <w:rsid w:val="0048697F"/>
    <w:rsid w:val="00486D8E"/>
    <w:rsid w:val="00487A72"/>
    <w:rsid w:val="00490296"/>
    <w:rsid w:val="00491A69"/>
    <w:rsid w:val="00493317"/>
    <w:rsid w:val="00494AA6"/>
    <w:rsid w:val="004955A5"/>
    <w:rsid w:val="00496CDA"/>
    <w:rsid w:val="0049749E"/>
    <w:rsid w:val="004A1953"/>
    <w:rsid w:val="004A3458"/>
    <w:rsid w:val="004A39F4"/>
    <w:rsid w:val="004A4312"/>
    <w:rsid w:val="004A5073"/>
    <w:rsid w:val="004A59F4"/>
    <w:rsid w:val="004A6BD0"/>
    <w:rsid w:val="004A73CB"/>
    <w:rsid w:val="004A7B41"/>
    <w:rsid w:val="004A7FCD"/>
    <w:rsid w:val="004B2E56"/>
    <w:rsid w:val="004B2FA6"/>
    <w:rsid w:val="004B2FB2"/>
    <w:rsid w:val="004B3A74"/>
    <w:rsid w:val="004B67BE"/>
    <w:rsid w:val="004B6A00"/>
    <w:rsid w:val="004B6BF0"/>
    <w:rsid w:val="004B700B"/>
    <w:rsid w:val="004C281A"/>
    <w:rsid w:val="004C296E"/>
    <w:rsid w:val="004C2B40"/>
    <w:rsid w:val="004C31C4"/>
    <w:rsid w:val="004C3778"/>
    <w:rsid w:val="004C5182"/>
    <w:rsid w:val="004C5C51"/>
    <w:rsid w:val="004C6F3A"/>
    <w:rsid w:val="004C7074"/>
    <w:rsid w:val="004C7723"/>
    <w:rsid w:val="004D03FA"/>
    <w:rsid w:val="004D0BDC"/>
    <w:rsid w:val="004D4B33"/>
    <w:rsid w:val="004D4B93"/>
    <w:rsid w:val="004D4CFD"/>
    <w:rsid w:val="004D58B4"/>
    <w:rsid w:val="004D6462"/>
    <w:rsid w:val="004D79C3"/>
    <w:rsid w:val="004E0004"/>
    <w:rsid w:val="004E06FD"/>
    <w:rsid w:val="004E076E"/>
    <w:rsid w:val="004E192D"/>
    <w:rsid w:val="004E1FA8"/>
    <w:rsid w:val="004E2E9D"/>
    <w:rsid w:val="004E4AD1"/>
    <w:rsid w:val="004E731B"/>
    <w:rsid w:val="004E7574"/>
    <w:rsid w:val="004E77AA"/>
    <w:rsid w:val="004F1563"/>
    <w:rsid w:val="004F16DB"/>
    <w:rsid w:val="004F32C4"/>
    <w:rsid w:val="004F3766"/>
    <w:rsid w:val="004F47F5"/>
    <w:rsid w:val="004F7124"/>
    <w:rsid w:val="004F7C59"/>
    <w:rsid w:val="004F7D46"/>
    <w:rsid w:val="005025A0"/>
    <w:rsid w:val="00502795"/>
    <w:rsid w:val="005049A8"/>
    <w:rsid w:val="005064B3"/>
    <w:rsid w:val="00507444"/>
    <w:rsid w:val="00507C27"/>
    <w:rsid w:val="00507EF3"/>
    <w:rsid w:val="0051027F"/>
    <w:rsid w:val="00511486"/>
    <w:rsid w:val="005119E1"/>
    <w:rsid w:val="005121BC"/>
    <w:rsid w:val="005127FF"/>
    <w:rsid w:val="00513EC3"/>
    <w:rsid w:val="00514D91"/>
    <w:rsid w:val="005151F1"/>
    <w:rsid w:val="00515EFB"/>
    <w:rsid w:val="005162C9"/>
    <w:rsid w:val="0051659D"/>
    <w:rsid w:val="00517DF2"/>
    <w:rsid w:val="00521A88"/>
    <w:rsid w:val="005230BD"/>
    <w:rsid w:val="0052387B"/>
    <w:rsid w:val="0052557E"/>
    <w:rsid w:val="00526529"/>
    <w:rsid w:val="00526A4D"/>
    <w:rsid w:val="00526E88"/>
    <w:rsid w:val="005275F0"/>
    <w:rsid w:val="00530123"/>
    <w:rsid w:val="00530206"/>
    <w:rsid w:val="00532A80"/>
    <w:rsid w:val="0053439E"/>
    <w:rsid w:val="00534C64"/>
    <w:rsid w:val="00534D6A"/>
    <w:rsid w:val="00536450"/>
    <w:rsid w:val="00536C48"/>
    <w:rsid w:val="0054170A"/>
    <w:rsid w:val="00542465"/>
    <w:rsid w:val="005434F2"/>
    <w:rsid w:val="00545568"/>
    <w:rsid w:val="00546206"/>
    <w:rsid w:val="005514FE"/>
    <w:rsid w:val="00551BFD"/>
    <w:rsid w:val="005525B3"/>
    <w:rsid w:val="00555A29"/>
    <w:rsid w:val="00557E7A"/>
    <w:rsid w:val="0056036D"/>
    <w:rsid w:val="005604C3"/>
    <w:rsid w:val="00561645"/>
    <w:rsid w:val="00561C96"/>
    <w:rsid w:val="00561CF0"/>
    <w:rsid w:val="005623A8"/>
    <w:rsid w:val="00562F3E"/>
    <w:rsid w:val="005635C1"/>
    <w:rsid w:val="00566240"/>
    <w:rsid w:val="005671F3"/>
    <w:rsid w:val="00570B55"/>
    <w:rsid w:val="00572F4B"/>
    <w:rsid w:val="00573146"/>
    <w:rsid w:val="0057434E"/>
    <w:rsid w:val="005749CA"/>
    <w:rsid w:val="00574DEB"/>
    <w:rsid w:val="00575557"/>
    <w:rsid w:val="005757E1"/>
    <w:rsid w:val="00575C21"/>
    <w:rsid w:val="00576E8F"/>
    <w:rsid w:val="00583984"/>
    <w:rsid w:val="005858E2"/>
    <w:rsid w:val="0058695A"/>
    <w:rsid w:val="005906D4"/>
    <w:rsid w:val="0059187B"/>
    <w:rsid w:val="0059318A"/>
    <w:rsid w:val="005953D3"/>
    <w:rsid w:val="005954EE"/>
    <w:rsid w:val="0059579F"/>
    <w:rsid w:val="00596C9D"/>
    <w:rsid w:val="005978BE"/>
    <w:rsid w:val="005A286B"/>
    <w:rsid w:val="005A2A0E"/>
    <w:rsid w:val="005A36A0"/>
    <w:rsid w:val="005A4CC0"/>
    <w:rsid w:val="005A547D"/>
    <w:rsid w:val="005A62E9"/>
    <w:rsid w:val="005A7C7D"/>
    <w:rsid w:val="005B20C5"/>
    <w:rsid w:val="005B3EC1"/>
    <w:rsid w:val="005B547A"/>
    <w:rsid w:val="005B5493"/>
    <w:rsid w:val="005B61E0"/>
    <w:rsid w:val="005B70F2"/>
    <w:rsid w:val="005B7289"/>
    <w:rsid w:val="005B7342"/>
    <w:rsid w:val="005B7EAC"/>
    <w:rsid w:val="005C08F9"/>
    <w:rsid w:val="005C1291"/>
    <w:rsid w:val="005C135B"/>
    <w:rsid w:val="005C154E"/>
    <w:rsid w:val="005C234F"/>
    <w:rsid w:val="005C576D"/>
    <w:rsid w:val="005C666B"/>
    <w:rsid w:val="005C7455"/>
    <w:rsid w:val="005D082E"/>
    <w:rsid w:val="005D0C39"/>
    <w:rsid w:val="005D15A6"/>
    <w:rsid w:val="005D19FE"/>
    <w:rsid w:val="005D2D02"/>
    <w:rsid w:val="005D4650"/>
    <w:rsid w:val="005E0F50"/>
    <w:rsid w:val="005E18C4"/>
    <w:rsid w:val="005E1FC1"/>
    <w:rsid w:val="005E6B7C"/>
    <w:rsid w:val="005E6CE8"/>
    <w:rsid w:val="005E7D9E"/>
    <w:rsid w:val="005F1E6C"/>
    <w:rsid w:val="005F3557"/>
    <w:rsid w:val="005F37CF"/>
    <w:rsid w:val="005F3DA5"/>
    <w:rsid w:val="005F5AFF"/>
    <w:rsid w:val="006005CE"/>
    <w:rsid w:val="00600E3C"/>
    <w:rsid w:val="00600FC1"/>
    <w:rsid w:val="00601528"/>
    <w:rsid w:val="00601796"/>
    <w:rsid w:val="00601DA0"/>
    <w:rsid w:val="0060257A"/>
    <w:rsid w:val="00602E43"/>
    <w:rsid w:val="00603703"/>
    <w:rsid w:val="00604157"/>
    <w:rsid w:val="0060542B"/>
    <w:rsid w:val="006100EC"/>
    <w:rsid w:val="00610B06"/>
    <w:rsid w:val="00610BFF"/>
    <w:rsid w:val="00610F20"/>
    <w:rsid w:val="00611C3F"/>
    <w:rsid w:val="00611E01"/>
    <w:rsid w:val="0061219C"/>
    <w:rsid w:val="00613423"/>
    <w:rsid w:val="00613731"/>
    <w:rsid w:val="00616714"/>
    <w:rsid w:val="006168B1"/>
    <w:rsid w:val="00620B05"/>
    <w:rsid w:val="00620C50"/>
    <w:rsid w:val="006239CD"/>
    <w:rsid w:val="006246EF"/>
    <w:rsid w:val="00625586"/>
    <w:rsid w:val="00625987"/>
    <w:rsid w:val="006262D8"/>
    <w:rsid w:val="00626D9D"/>
    <w:rsid w:val="0062730E"/>
    <w:rsid w:val="00627789"/>
    <w:rsid w:val="006279A8"/>
    <w:rsid w:val="006302A3"/>
    <w:rsid w:val="0063093C"/>
    <w:rsid w:val="00636196"/>
    <w:rsid w:val="006421DF"/>
    <w:rsid w:val="00642DDE"/>
    <w:rsid w:val="00643D14"/>
    <w:rsid w:val="006463EC"/>
    <w:rsid w:val="00650485"/>
    <w:rsid w:val="006513DC"/>
    <w:rsid w:val="00652546"/>
    <w:rsid w:val="006528F7"/>
    <w:rsid w:val="00653203"/>
    <w:rsid w:val="0065464E"/>
    <w:rsid w:val="00654C45"/>
    <w:rsid w:val="00655001"/>
    <w:rsid w:val="00655039"/>
    <w:rsid w:val="00655911"/>
    <w:rsid w:val="00655E19"/>
    <w:rsid w:val="00656E3E"/>
    <w:rsid w:val="00657A72"/>
    <w:rsid w:val="00657AFF"/>
    <w:rsid w:val="00660698"/>
    <w:rsid w:val="00660EAB"/>
    <w:rsid w:val="006614CB"/>
    <w:rsid w:val="0066387E"/>
    <w:rsid w:val="00663E9F"/>
    <w:rsid w:val="00666D57"/>
    <w:rsid w:val="00667DA6"/>
    <w:rsid w:val="00667F1F"/>
    <w:rsid w:val="00670042"/>
    <w:rsid w:val="00670779"/>
    <w:rsid w:val="0067288D"/>
    <w:rsid w:val="00672CD6"/>
    <w:rsid w:val="00673005"/>
    <w:rsid w:val="00673DB2"/>
    <w:rsid w:val="0067506C"/>
    <w:rsid w:val="006776B8"/>
    <w:rsid w:val="00682441"/>
    <w:rsid w:val="006838D5"/>
    <w:rsid w:val="00684822"/>
    <w:rsid w:val="00684C70"/>
    <w:rsid w:val="0068511A"/>
    <w:rsid w:val="006855F2"/>
    <w:rsid w:val="00690653"/>
    <w:rsid w:val="006910AD"/>
    <w:rsid w:val="00691E21"/>
    <w:rsid w:val="00691F56"/>
    <w:rsid w:val="00692075"/>
    <w:rsid w:val="006922B2"/>
    <w:rsid w:val="00694FC5"/>
    <w:rsid w:val="00695ED6"/>
    <w:rsid w:val="00696787"/>
    <w:rsid w:val="0069684C"/>
    <w:rsid w:val="006A238E"/>
    <w:rsid w:val="006A2D24"/>
    <w:rsid w:val="006A4699"/>
    <w:rsid w:val="006A5010"/>
    <w:rsid w:val="006A7263"/>
    <w:rsid w:val="006A7615"/>
    <w:rsid w:val="006A7B1D"/>
    <w:rsid w:val="006A7EB2"/>
    <w:rsid w:val="006B02CE"/>
    <w:rsid w:val="006B133D"/>
    <w:rsid w:val="006B19E5"/>
    <w:rsid w:val="006B1B57"/>
    <w:rsid w:val="006B3825"/>
    <w:rsid w:val="006B59A5"/>
    <w:rsid w:val="006B6847"/>
    <w:rsid w:val="006B692C"/>
    <w:rsid w:val="006B7881"/>
    <w:rsid w:val="006C0E8D"/>
    <w:rsid w:val="006C396B"/>
    <w:rsid w:val="006C44B8"/>
    <w:rsid w:val="006C5D61"/>
    <w:rsid w:val="006C71FF"/>
    <w:rsid w:val="006D09BA"/>
    <w:rsid w:val="006D10B3"/>
    <w:rsid w:val="006D1FC4"/>
    <w:rsid w:val="006D2BAC"/>
    <w:rsid w:val="006D2C78"/>
    <w:rsid w:val="006D2DD1"/>
    <w:rsid w:val="006D3DEB"/>
    <w:rsid w:val="006D6EF1"/>
    <w:rsid w:val="006D6F56"/>
    <w:rsid w:val="006D7210"/>
    <w:rsid w:val="006E1439"/>
    <w:rsid w:val="006E1B98"/>
    <w:rsid w:val="006E2004"/>
    <w:rsid w:val="006E2F3C"/>
    <w:rsid w:val="006E3B3D"/>
    <w:rsid w:val="006E5B87"/>
    <w:rsid w:val="006F13C6"/>
    <w:rsid w:val="006F1969"/>
    <w:rsid w:val="006F19D4"/>
    <w:rsid w:val="006F2951"/>
    <w:rsid w:val="006F2C11"/>
    <w:rsid w:val="006F2CA5"/>
    <w:rsid w:val="006F4D15"/>
    <w:rsid w:val="006F6567"/>
    <w:rsid w:val="006F6E60"/>
    <w:rsid w:val="006F6EE0"/>
    <w:rsid w:val="006F70B4"/>
    <w:rsid w:val="0070010C"/>
    <w:rsid w:val="0070096C"/>
    <w:rsid w:val="00702303"/>
    <w:rsid w:val="00702D29"/>
    <w:rsid w:val="007030DF"/>
    <w:rsid w:val="00703D48"/>
    <w:rsid w:val="00705D48"/>
    <w:rsid w:val="007061AA"/>
    <w:rsid w:val="00707269"/>
    <w:rsid w:val="00707358"/>
    <w:rsid w:val="007108E5"/>
    <w:rsid w:val="00710E54"/>
    <w:rsid w:val="00710FCE"/>
    <w:rsid w:val="00711D85"/>
    <w:rsid w:val="007139EF"/>
    <w:rsid w:val="007140C3"/>
    <w:rsid w:val="0071465D"/>
    <w:rsid w:val="00714D17"/>
    <w:rsid w:val="00715176"/>
    <w:rsid w:val="0071664D"/>
    <w:rsid w:val="00720072"/>
    <w:rsid w:val="007205B6"/>
    <w:rsid w:val="00720902"/>
    <w:rsid w:val="00720F1D"/>
    <w:rsid w:val="00721088"/>
    <w:rsid w:val="007217A5"/>
    <w:rsid w:val="007251B9"/>
    <w:rsid w:val="007268FD"/>
    <w:rsid w:val="00727414"/>
    <w:rsid w:val="00731619"/>
    <w:rsid w:val="007335A9"/>
    <w:rsid w:val="007347F8"/>
    <w:rsid w:val="00734E83"/>
    <w:rsid w:val="007352DE"/>
    <w:rsid w:val="00735C41"/>
    <w:rsid w:val="00736FFC"/>
    <w:rsid w:val="00737589"/>
    <w:rsid w:val="007412A7"/>
    <w:rsid w:val="007412FB"/>
    <w:rsid w:val="00742159"/>
    <w:rsid w:val="00742494"/>
    <w:rsid w:val="007432D5"/>
    <w:rsid w:val="00743FDE"/>
    <w:rsid w:val="007444C2"/>
    <w:rsid w:val="0074533F"/>
    <w:rsid w:val="0074590A"/>
    <w:rsid w:val="007478A5"/>
    <w:rsid w:val="00751FF2"/>
    <w:rsid w:val="00752FE2"/>
    <w:rsid w:val="00753E18"/>
    <w:rsid w:val="00754533"/>
    <w:rsid w:val="00754B46"/>
    <w:rsid w:val="00761C69"/>
    <w:rsid w:val="00763102"/>
    <w:rsid w:val="00764652"/>
    <w:rsid w:val="00766220"/>
    <w:rsid w:val="00767242"/>
    <w:rsid w:val="00767D8A"/>
    <w:rsid w:val="00767FD1"/>
    <w:rsid w:val="0077018D"/>
    <w:rsid w:val="00770D57"/>
    <w:rsid w:val="00772437"/>
    <w:rsid w:val="00775895"/>
    <w:rsid w:val="00775A78"/>
    <w:rsid w:val="00776529"/>
    <w:rsid w:val="00777931"/>
    <w:rsid w:val="007808E1"/>
    <w:rsid w:val="007817C6"/>
    <w:rsid w:val="00781866"/>
    <w:rsid w:val="00781FAA"/>
    <w:rsid w:val="00785FA7"/>
    <w:rsid w:val="00786CB8"/>
    <w:rsid w:val="00790F6C"/>
    <w:rsid w:val="00790FF1"/>
    <w:rsid w:val="0079105B"/>
    <w:rsid w:val="0079367C"/>
    <w:rsid w:val="00794050"/>
    <w:rsid w:val="007941CD"/>
    <w:rsid w:val="00794749"/>
    <w:rsid w:val="00794FBB"/>
    <w:rsid w:val="007963CB"/>
    <w:rsid w:val="00796466"/>
    <w:rsid w:val="00796B3C"/>
    <w:rsid w:val="00796CB4"/>
    <w:rsid w:val="00796E01"/>
    <w:rsid w:val="0079700A"/>
    <w:rsid w:val="00797BE3"/>
    <w:rsid w:val="007A25A2"/>
    <w:rsid w:val="007A44ED"/>
    <w:rsid w:val="007A5A39"/>
    <w:rsid w:val="007A6FF2"/>
    <w:rsid w:val="007A7B88"/>
    <w:rsid w:val="007A7E57"/>
    <w:rsid w:val="007B037B"/>
    <w:rsid w:val="007B0CF6"/>
    <w:rsid w:val="007B10B9"/>
    <w:rsid w:val="007B1769"/>
    <w:rsid w:val="007B38FB"/>
    <w:rsid w:val="007B3B46"/>
    <w:rsid w:val="007B6519"/>
    <w:rsid w:val="007B7C3D"/>
    <w:rsid w:val="007B7E3E"/>
    <w:rsid w:val="007C0B97"/>
    <w:rsid w:val="007C175E"/>
    <w:rsid w:val="007C1C34"/>
    <w:rsid w:val="007C1CC7"/>
    <w:rsid w:val="007C267A"/>
    <w:rsid w:val="007C3467"/>
    <w:rsid w:val="007C3B6E"/>
    <w:rsid w:val="007C44BD"/>
    <w:rsid w:val="007C561D"/>
    <w:rsid w:val="007C5D47"/>
    <w:rsid w:val="007C63FC"/>
    <w:rsid w:val="007C6D25"/>
    <w:rsid w:val="007D175A"/>
    <w:rsid w:val="007D3E3D"/>
    <w:rsid w:val="007D3ED5"/>
    <w:rsid w:val="007D40C5"/>
    <w:rsid w:val="007D448B"/>
    <w:rsid w:val="007D5C93"/>
    <w:rsid w:val="007D6587"/>
    <w:rsid w:val="007D7C44"/>
    <w:rsid w:val="007D7F1C"/>
    <w:rsid w:val="007E0280"/>
    <w:rsid w:val="007E060E"/>
    <w:rsid w:val="007E2BCA"/>
    <w:rsid w:val="007E4930"/>
    <w:rsid w:val="007F425F"/>
    <w:rsid w:val="007F42E0"/>
    <w:rsid w:val="007F45A5"/>
    <w:rsid w:val="007F4A6C"/>
    <w:rsid w:val="007F6009"/>
    <w:rsid w:val="007F7462"/>
    <w:rsid w:val="008006C6"/>
    <w:rsid w:val="00801A9C"/>
    <w:rsid w:val="00801BF4"/>
    <w:rsid w:val="00801F8E"/>
    <w:rsid w:val="0080282C"/>
    <w:rsid w:val="00803854"/>
    <w:rsid w:val="008039DE"/>
    <w:rsid w:val="00804F08"/>
    <w:rsid w:val="00806F6A"/>
    <w:rsid w:val="00807DA8"/>
    <w:rsid w:val="00814D80"/>
    <w:rsid w:val="00816423"/>
    <w:rsid w:val="00816AE5"/>
    <w:rsid w:val="00816E90"/>
    <w:rsid w:val="0081713F"/>
    <w:rsid w:val="0082095A"/>
    <w:rsid w:val="008217CB"/>
    <w:rsid w:val="00822AE1"/>
    <w:rsid w:val="008245BD"/>
    <w:rsid w:val="00824FDA"/>
    <w:rsid w:val="008326A7"/>
    <w:rsid w:val="00834142"/>
    <w:rsid w:val="00835B51"/>
    <w:rsid w:val="00836070"/>
    <w:rsid w:val="008378D3"/>
    <w:rsid w:val="008457FF"/>
    <w:rsid w:val="00845C35"/>
    <w:rsid w:val="00845F13"/>
    <w:rsid w:val="008461B2"/>
    <w:rsid w:val="0084654A"/>
    <w:rsid w:val="00847720"/>
    <w:rsid w:val="00850145"/>
    <w:rsid w:val="00850396"/>
    <w:rsid w:val="00853138"/>
    <w:rsid w:val="00854006"/>
    <w:rsid w:val="00854139"/>
    <w:rsid w:val="0085522A"/>
    <w:rsid w:val="008558CE"/>
    <w:rsid w:val="00855EFF"/>
    <w:rsid w:val="008568CE"/>
    <w:rsid w:val="008574F2"/>
    <w:rsid w:val="00857D5A"/>
    <w:rsid w:val="00866051"/>
    <w:rsid w:val="008662D3"/>
    <w:rsid w:val="008663CC"/>
    <w:rsid w:val="00867598"/>
    <w:rsid w:val="0087109D"/>
    <w:rsid w:val="00872120"/>
    <w:rsid w:val="008743DA"/>
    <w:rsid w:val="008745EB"/>
    <w:rsid w:val="0087565F"/>
    <w:rsid w:val="00880DC4"/>
    <w:rsid w:val="008822F7"/>
    <w:rsid w:val="0088251D"/>
    <w:rsid w:val="008829AB"/>
    <w:rsid w:val="00882E3B"/>
    <w:rsid w:val="008831C8"/>
    <w:rsid w:val="0088428D"/>
    <w:rsid w:val="008857B4"/>
    <w:rsid w:val="00885E86"/>
    <w:rsid w:val="00886102"/>
    <w:rsid w:val="00886593"/>
    <w:rsid w:val="00886619"/>
    <w:rsid w:val="00892D62"/>
    <w:rsid w:val="00893D3F"/>
    <w:rsid w:val="008949FF"/>
    <w:rsid w:val="00894F26"/>
    <w:rsid w:val="00897310"/>
    <w:rsid w:val="00897892"/>
    <w:rsid w:val="00897D0B"/>
    <w:rsid w:val="008A05D9"/>
    <w:rsid w:val="008A0714"/>
    <w:rsid w:val="008A0CD1"/>
    <w:rsid w:val="008A130F"/>
    <w:rsid w:val="008A1AA3"/>
    <w:rsid w:val="008A2A17"/>
    <w:rsid w:val="008A39B0"/>
    <w:rsid w:val="008A4DB1"/>
    <w:rsid w:val="008A5317"/>
    <w:rsid w:val="008A5C1D"/>
    <w:rsid w:val="008B1048"/>
    <w:rsid w:val="008B1207"/>
    <w:rsid w:val="008B3466"/>
    <w:rsid w:val="008B4892"/>
    <w:rsid w:val="008B5246"/>
    <w:rsid w:val="008B6927"/>
    <w:rsid w:val="008B7DA8"/>
    <w:rsid w:val="008C21A1"/>
    <w:rsid w:val="008C2D94"/>
    <w:rsid w:val="008C3A61"/>
    <w:rsid w:val="008C4213"/>
    <w:rsid w:val="008C6FA3"/>
    <w:rsid w:val="008C7894"/>
    <w:rsid w:val="008C78EF"/>
    <w:rsid w:val="008C7D0B"/>
    <w:rsid w:val="008C7E65"/>
    <w:rsid w:val="008D207F"/>
    <w:rsid w:val="008D2D72"/>
    <w:rsid w:val="008D480E"/>
    <w:rsid w:val="008D4EDE"/>
    <w:rsid w:val="008D616E"/>
    <w:rsid w:val="008E05C3"/>
    <w:rsid w:val="008E1014"/>
    <w:rsid w:val="008E6516"/>
    <w:rsid w:val="008E65FD"/>
    <w:rsid w:val="008E67EB"/>
    <w:rsid w:val="008E726C"/>
    <w:rsid w:val="008F0F77"/>
    <w:rsid w:val="008F129C"/>
    <w:rsid w:val="008F1856"/>
    <w:rsid w:val="008F29B6"/>
    <w:rsid w:val="008F3E74"/>
    <w:rsid w:val="008F427F"/>
    <w:rsid w:val="008F44F6"/>
    <w:rsid w:val="008F5334"/>
    <w:rsid w:val="008F5584"/>
    <w:rsid w:val="00902A5D"/>
    <w:rsid w:val="00903E78"/>
    <w:rsid w:val="009040F4"/>
    <w:rsid w:val="00905A77"/>
    <w:rsid w:val="009067E0"/>
    <w:rsid w:val="0090771D"/>
    <w:rsid w:val="00911703"/>
    <w:rsid w:val="00914A99"/>
    <w:rsid w:val="00914B2C"/>
    <w:rsid w:val="00914EA1"/>
    <w:rsid w:val="00914F48"/>
    <w:rsid w:val="00916DAE"/>
    <w:rsid w:val="009200BA"/>
    <w:rsid w:val="00921A81"/>
    <w:rsid w:val="00922963"/>
    <w:rsid w:val="0092397B"/>
    <w:rsid w:val="00926036"/>
    <w:rsid w:val="00930ACD"/>
    <w:rsid w:val="00931261"/>
    <w:rsid w:val="009312EA"/>
    <w:rsid w:val="0093142B"/>
    <w:rsid w:val="009321EA"/>
    <w:rsid w:val="00932E31"/>
    <w:rsid w:val="00933565"/>
    <w:rsid w:val="00934603"/>
    <w:rsid w:val="009366BD"/>
    <w:rsid w:val="00940283"/>
    <w:rsid w:val="00940848"/>
    <w:rsid w:val="00942258"/>
    <w:rsid w:val="00943891"/>
    <w:rsid w:val="009444DB"/>
    <w:rsid w:val="00944974"/>
    <w:rsid w:val="00944CDE"/>
    <w:rsid w:val="00945698"/>
    <w:rsid w:val="009456E3"/>
    <w:rsid w:val="00945882"/>
    <w:rsid w:val="0094644D"/>
    <w:rsid w:val="00947B81"/>
    <w:rsid w:val="0095033B"/>
    <w:rsid w:val="00951858"/>
    <w:rsid w:val="00952C43"/>
    <w:rsid w:val="009562D1"/>
    <w:rsid w:val="00957EDD"/>
    <w:rsid w:val="009601D9"/>
    <w:rsid w:val="009615CF"/>
    <w:rsid w:val="00962A8F"/>
    <w:rsid w:val="00962E86"/>
    <w:rsid w:val="00964385"/>
    <w:rsid w:val="00964C76"/>
    <w:rsid w:val="009660D5"/>
    <w:rsid w:val="009664B5"/>
    <w:rsid w:val="00966FF7"/>
    <w:rsid w:val="00971270"/>
    <w:rsid w:val="00971936"/>
    <w:rsid w:val="00971E86"/>
    <w:rsid w:val="0097550A"/>
    <w:rsid w:val="0098230A"/>
    <w:rsid w:val="00982632"/>
    <w:rsid w:val="009873C3"/>
    <w:rsid w:val="009906F4"/>
    <w:rsid w:val="009947F5"/>
    <w:rsid w:val="00995EAB"/>
    <w:rsid w:val="009979B4"/>
    <w:rsid w:val="00997DD1"/>
    <w:rsid w:val="009A0EF0"/>
    <w:rsid w:val="009A251B"/>
    <w:rsid w:val="009A3035"/>
    <w:rsid w:val="009A3416"/>
    <w:rsid w:val="009A3676"/>
    <w:rsid w:val="009A5235"/>
    <w:rsid w:val="009A5A5B"/>
    <w:rsid w:val="009A5AA2"/>
    <w:rsid w:val="009A7065"/>
    <w:rsid w:val="009A72F3"/>
    <w:rsid w:val="009B059A"/>
    <w:rsid w:val="009B11F7"/>
    <w:rsid w:val="009B25F6"/>
    <w:rsid w:val="009B32AF"/>
    <w:rsid w:val="009B49C1"/>
    <w:rsid w:val="009B4B95"/>
    <w:rsid w:val="009B504F"/>
    <w:rsid w:val="009B5F70"/>
    <w:rsid w:val="009B7C0D"/>
    <w:rsid w:val="009C013D"/>
    <w:rsid w:val="009C07D6"/>
    <w:rsid w:val="009C3980"/>
    <w:rsid w:val="009C5028"/>
    <w:rsid w:val="009C78E5"/>
    <w:rsid w:val="009D0A2F"/>
    <w:rsid w:val="009D22CD"/>
    <w:rsid w:val="009D2AA9"/>
    <w:rsid w:val="009D2B9F"/>
    <w:rsid w:val="009D3E22"/>
    <w:rsid w:val="009D4518"/>
    <w:rsid w:val="009D5807"/>
    <w:rsid w:val="009D7A4A"/>
    <w:rsid w:val="009E06D7"/>
    <w:rsid w:val="009E1220"/>
    <w:rsid w:val="009E2210"/>
    <w:rsid w:val="009E2D7C"/>
    <w:rsid w:val="009E460D"/>
    <w:rsid w:val="009E4BEE"/>
    <w:rsid w:val="009E553B"/>
    <w:rsid w:val="009E646F"/>
    <w:rsid w:val="009E6534"/>
    <w:rsid w:val="009F0EA0"/>
    <w:rsid w:val="009F1EFF"/>
    <w:rsid w:val="009F1F29"/>
    <w:rsid w:val="009F3B3A"/>
    <w:rsid w:val="009F4018"/>
    <w:rsid w:val="009F49C5"/>
    <w:rsid w:val="009F5F99"/>
    <w:rsid w:val="009F60C7"/>
    <w:rsid w:val="009F6537"/>
    <w:rsid w:val="009F6813"/>
    <w:rsid w:val="00A003B8"/>
    <w:rsid w:val="00A00861"/>
    <w:rsid w:val="00A00D98"/>
    <w:rsid w:val="00A014E3"/>
    <w:rsid w:val="00A01EAC"/>
    <w:rsid w:val="00A03109"/>
    <w:rsid w:val="00A04B01"/>
    <w:rsid w:val="00A0637B"/>
    <w:rsid w:val="00A06DD4"/>
    <w:rsid w:val="00A11C88"/>
    <w:rsid w:val="00A13E4B"/>
    <w:rsid w:val="00A1445B"/>
    <w:rsid w:val="00A14626"/>
    <w:rsid w:val="00A155DB"/>
    <w:rsid w:val="00A156FB"/>
    <w:rsid w:val="00A15FB5"/>
    <w:rsid w:val="00A20295"/>
    <w:rsid w:val="00A21199"/>
    <w:rsid w:val="00A21262"/>
    <w:rsid w:val="00A213AF"/>
    <w:rsid w:val="00A2263C"/>
    <w:rsid w:val="00A23FF5"/>
    <w:rsid w:val="00A25AD2"/>
    <w:rsid w:val="00A261AB"/>
    <w:rsid w:val="00A27C1D"/>
    <w:rsid w:val="00A30DDB"/>
    <w:rsid w:val="00A30E6A"/>
    <w:rsid w:val="00A34997"/>
    <w:rsid w:val="00A34D2F"/>
    <w:rsid w:val="00A35E41"/>
    <w:rsid w:val="00A35F95"/>
    <w:rsid w:val="00A41F36"/>
    <w:rsid w:val="00A429A5"/>
    <w:rsid w:val="00A44AC6"/>
    <w:rsid w:val="00A44C7C"/>
    <w:rsid w:val="00A45A60"/>
    <w:rsid w:val="00A465CC"/>
    <w:rsid w:val="00A476C8"/>
    <w:rsid w:val="00A50323"/>
    <w:rsid w:val="00A520FA"/>
    <w:rsid w:val="00A52388"/>
    <w:rsid w:val="00A52623"/>
    <w:rsid w:val="00A52FF4"/>
    <w:rsid w:val="00A53B8E"/>
    <w:rsid w:val="00A600B9"/>
    <w:rsid w:val="00A605E7"/>
    <w:rsid w:val="00A60C88"/>
    <w:rsid w:val="00A62606"/>
    <w:rsid w:val="00A633B0"/>
    <w:rsid w:val="00A67D2B"/>
    <w:rsid w:val="00A70D6C"/>
    <w:rsid w:val="00A70F3F"/>
    <w:rsid w:val="00A72130"/>
    <w:rsid w:val="00A72D90"/>
    <w:rsid w:val="00A757F7"/>
    <w:rsid w:val="00A75B78"/>
    <w:rsid w:val="00A75F65"/>
    <w:rsid w:val="00A7646E"/>
    <w:rsid w:val="00A764E5"/>
    <w:rsid w:val="00A771F8"/>
    <w:rsid w:val="00A778A9"/>
    <w:rsid w:val="00A77C6D"/>
    <w:rsid w:val="00A81942"/>
    <w:rsid w:val="00A820DF"/>
    <w:rsid w:val="00A835C4"/>
    <w:rsid w:val="00A85AF2"/>
    <w:rsid w:val="00A870CA"/>
    <w:rsid w:val="00A872A8"/>
    <w:rsid w:val="00A90A2E"/>
    <w:rsid w:val="00A912A6"/>
    <w:rsid w:val="00A91E91"/>
    <w:rsid w:val="00A9258C"/>
    <w:rsid w:val="00A92B76"/>
    <w:rsid w:val="00A92B9C"/>
    <w:rsid w:val="00A92F6C"/>
    <w:rsid w:val="00A9350C"/>
    <w:rsid w:val="00A93B23"/>
    <w:rsid w:val="00A94635"/>
    <w:rsid w:val="00A9714F"/>
    <w:rsid w:val="00A97425"/>
    <w:rsid w:val="00A979BF"/>
    <w:rsid w:val="00A97E69"/>
    <w:rsid w:val="00AA0617"/>
    <w:rsid w:val="00AA07A9"/>
    <w:rsid w:val="00AA0A28"/>
    <w:rsid w:val="00AA0ADB"/>
    <w:rsid w:val="00AA1072"/>
    <w:rsid w:val="00AA20B0"/>
    <w:rsid w:val="00AA2551"/>
    <w:rsid w:val="00AA27E1"/>
    <w:rsid w:val="00AA40CE"/>
    <w:rsid w:val="00AA6066"/>
    <w:rsid w:val="00AA6996"/>
    <w:rsid w:val="00AA701B"/>
    <w:rsid w:val="00AA706B"/>
    <w:rsid w:val="00AA76B0"/>
    <w:rsid w:val="00AB01AC"/>
    <w:rsid w:val="00AB09A2"/>
    <w:rsid w:val="00AB32AD"/>
    <w:rsid w:val="00AB46DD"/>
    <w:rsid w:val="00AB5A30"/>
    <w:rsid w:val="00AC1E51"/>
    <w:rsid w:val="00AC50A0"/>
    <w:rsid w:val="00AC7088"/>
    <w:rsid w:val="00AD0427"/>
    <w:rsid w:val="00AD0C0E"/>
    <w:rsid w:val="00AD0DEF"/>
    <w:rsid w:val="00AD22DF"/>
    <w:rsid w:val="00AD3252"/>
    <w:rsid w:val="00AD4C30"/>
    <w:rsid w:val="00AD51F8"/>
    <w:rsid w:val="00AD5DF3"/>
    <w:rsid w:val="00AD6B93"/>
    <w:rsid w:val="00AD760C"/>
    <w:rsid w:val="00AE17D8"/>
    <w:rsid w:val="00AE1C62"/>
    <w:rsid w:val="00AE3F58"/>
    <w:rsid w:val="00AE5FB8"/>
    <w:rsid w:val="00AE6069"/>
    <w:rsid w:val="00AE6680"/>
    <w:rsid w:val="00AE7501"/>
    <w:rsid w:val="00AE77D8"/>
    <w:rsid w:val="00AF2109"/>
    <w:rsid w:val="00AF37E1"/>
    <w:rsid w:val="00AF459D"/>
    <w:rsid w:val="00AF6FF5"/>
    <w:rsid w:val="00AF7381"/>
    <w:rsid w:val="00AF77C7"/>
    <w:rsid w:val="00B00DF0"/>
    <w:rsid w:val="00B02656"/>
    <w:rsid w:val="00B04F67"/>
    <w:rsid w:val="00B0659A"/>
    <w:rsid w:val="00B07480"/>
    <w:rsid w:val="00B074E6"/>
    <w:rsid w:val="00B106E3"/>
    <w:rsid w:val="00B1107C"/>
    <w:rsid w:val="00B1147A"/>
    <w:rsid w:val="00B117EB"/>
    <w:rsid w:val="00B11C69"/>
    <w:rsid w:val="00B1229A"/>
    <w:rsid w:val="00B12492"/>
    <w:rsid w:val="00B1448B"/>
    <w:rsid w:val="00B14718"/>
    <w:rsid w:val="00B15259"/>
    <w:rsid w:val="00B15365"/>
    <w:rsid w:val="00B16109"/>
    <w:rsid w:val="00B1681D"/>
    <w:rsid w:val="00B16EB5"/>
    <w:rsid w:val="00B17164"/>
    <w:rsid w:val="00B20455"/>
    <w:rsid w:val="00B214B5"/>
    <w:rsid w:val="00B21936"/>
    <w:rsid w:val="00B23664"/>
    <w:rsid w:val="00B24253"/>
    <w:rsid w:val="00B254D8"/>
    <w:rsid w:val="00B26F47"/>
    <w:rsid w:val="00B30F68"/>
    <w:rsid w:val="00B3243C"/>
    <w:rsid w:val="00B34642"/>
    <w:rsid w:val="00B34C45"/>
    <w:rsid w:val="00B357B9"/>
    <w:rsid w:val="00B35932"/>
    <w:rsid w:val="00B379D9"/>
    <w:rsid w:val="00B41FDD"/>
    <w:rsid w:val="00B4248F"/>
    <w:rsid w:val="00B42EB2"/>
    <w:rsid w:val="00B456D4"/>
    <w:rsid w:val="00B45AEC"/>
    <w:rsid w:val="00B525AA"/>
    <w:rsid w:val="00B52923"/>
    <w:rsid w:val="00B52924"/>
    <w:rsid w:val="00B53F36"/>
    <w:rsid w:val="00B542F9"/>
    <w:rsid w:val="00B55022"/>
    <w:rsid w:val="00B57105"/>
    <w:rsid w:val="00B57134"/>
    <w:rsid w:val="00B609BF"/>
    <w:rsid w:val="00B61D81"/>
    <w:rsid w:val="00B63EF3"/>
    <w:rsid w:val="00B65D38"/>
    <w:rsid w:val="00B667CF"/>
    <w:rsid w:val="00B71031"/>
    <w:rsid w:val="00B71895"/>
    <w:rsid w:val="00B71F30"/>
    <w:rsid w:val="00B734F3"/>
    <w:rsid w:val="00B73854"/>
    <w:rsid w:val="00B7389E"/>
    <w:rsid w:val="00B74190"/>
    <w:rsid w:val="00B743F6"/>
    <w:rsid w:val="00B74852"/>
    <w:rsid w:val="00B7535A"/>
    <w:rsid w:val="00B81764"/>
    <w:rsid w:val="00B82B04"/>
    <w:rsid w:val="00B82F8C"/>
    <w:rsid w:val="00B839CC"/>
    <w:rsid w:val="00B8529D"/>
    <w:rsid w:val="00B8574E"/>
    <w:rsid w:val="00B85B9D"/>
    <w:rsid w:val="00B86055"/>
    <w:rsid w:val="00B863E7"/>
    <w:rsid w:val="00B87D96"/>
    <w:rsid w:val="00B90123"/>
    <w:rsid w:val="00B90BC8"/>
    <w:rsid w:val="00B918DB"/>
    <w:rsid w:val="00B91C1B"/>
    <w:rsid w:val="00B91E95"/>
    <w:rsid w:val="00B94B86"/>
    <w:rsid w:val="00B95D11"/>
    <w:rsid w:val="00B95EAD"/>
    <w:rsid w:val="00B97B41"/>
    <w:rsid w:val="00BA1218"/>
    <w:rsid w:val="00BA1423"/>
    <w:rsid w:val="00BA3AEC"/>
    <w:rsid w:val="00BA5C44"/>
    <w:rsid w:val="00BA630E"/>
    <w:rsid w:val="00BA7C4D"/>
    <w:rsid w:val="00BB1AD5"/>
    <w:rsid w:val="00BC10D2"/>
    <w:rsid w:val="00BC1844"/>
    <w:rsid w:val="00BD0C62"/>
    <w:rsid w:val="00BD142C"/>
    <w:rsid w:val="00BD51E4"/>
    <w:rsid w:val="00BD7BB6"/>
    <w:rsid w:val="00BD7E85"/>
    <w:rsid w:val="00BE1FF9"/>
    <w:rsid w:val="00BE3831"/>
    <w:rsid w:val="00BE397E"/>
    <w:rsid w:val="00BE5B6B"/>
    <w:rsid w:val="00BE64C7"/>
    <w:rsid w:val="00BE6F7D"/>
    <w:rsid w:val="00BE7221"/>
    <w:rsid w:val="00BE76FC"/>
    <w:rsid w:val="00BF0235"/>
    <w:rsid w:val="00BF267A"/>
    <w:rsid w:val="00BF30AB"/>
    <w:rsid w:val="00BF4CC3"/>
    <w:rsid w:val="00BF5607"/>
    <w:rsid w:val="00BF6BB1"/>
    <w:rsid w:val="00BF7D9B"/>
    <w:rsid w:val="00C00C80"/>
    <w:rsid w:val="00C010F8"/>
    <w:rsid w:val="00C03989"/>
    <w:rsid w:val="00C04BF4"/>
    <w:rsid w:val="00C04C02"/>
    <w:rsid w:val="00C05734"/>
    <w:rsid w:val="00C07128"/>
    <w:rsid w:val="00C073F1"/>
    <w:rsid w:val="00C07865"/>
    <w:rsid w:val="00C07F08"/>
    <w:rsid w:val="00C10947"/>
    <w:rsid w:val="00C1278A"/>
    <w:rsid w:val="00C12ABF"/>
    <w:rsid w:val="00C12B35"/>
    <w:rsid w:val="00C13A22"/>
    <w:rsid w:val="00C144E6"/>
    <w:rsid w:val="00C1529E"/>
    <w:rsid w:val="00C17960"/>
    <w:rsid w:val="00C17977"/>
    <w:rsid w:val="00C203BF"/>
    <w:rsid w:val="00C22A6B"/>
    <w:rsid w:val="00C242C6"/>
    <w:rsid w:val="00C24332"/>
    <w:rsid w:val="00C2467F"/>
    <w:rsid w:val="00C26C60"/>
    <w:rsid w:val="00C30FC8"/>
    <w:rsid w:val="00C321D8"/>
    <w:rsid w:val="00C32C0F"/>
    <w:rsid w:val="00C338D9"/>
    <w:rsid w:val="00C33D70"/>
    <w:rsid w:val="00C34D12"/>
    <w:rsid w:val="00C361FA"/>
    <w:rsid w:val="00C40227"/>
    <w:rsid w:val="00C41A89"/>
    <w:rsid w:val="00C4217E"/>
    <w:rsid w:val="00C42992"/>
    <w:rsid w:val="00C431E7"/>
    <w:rsid w:val="00C4334A"/>
    <w:rsid w:val="00C43706"/>
    <w:rsid w:val="00C441EA"/>
    <w:rsid w:val="00C441FD"/>
    <w:rsid w:val="00C4487A"/>
    <w:rsid w:val="00C449C7"/>
    <w:rsid w:val="00C45115"/>
    <w:rsid w:val="00C45C37"/>
    <w:rsid w:val="00C461E6"/>
    <w:rsid w:val="00C462CF"/>
    <w:rsid w:val="00C473FB"/>
    <w:rsid w:val="00C525E3"/>
    <w:rsid w:val="00C55530"/>
    <w:rsid w:val="00C57417"/>
    <w:rsid w:val="00C57D6D"/>
    <w:rsid w:val="00C62A5E"/>
    <w:rsid w:val="00C64484"/>
    <w:rsid w:val="00C645C9"/>
    <w:rsid w:val="00C64EEA"/>
    <w:rsid w:val="00C6597F"/>
    <w:rsid w:val="00C65DFB"/>
    <w:rsid w:val="00C679AC"/>
    <w:rsid w:val="00C702E1"/>
    <w:rsid w:val="00C70DF6"/>
    <w:rsid w:val="00C7201E"/>
    <w:rsid w:val="00C72788"/>
    <w:rsid w:val="00C72AA6"/>
    <w:rsid w:val="00C738A1"/>
    <w:rsid w:val="00C73CDA"/>
    <w:rsid w:val="00C73E86"/>
    <w:rsid w:val="00C756AF"/>
    <w:rsid w:val="00C75B3D"/>
    <w:rsid w:val="00C76D51"/>
    <w:rsid w:val="00C81510"/>
    <w:rsid w:val="00C81AE2"/>
    <w:rsid w:val="00C868D4"/>
    <w:rsid w:val="00C90875"/>
    <w:rsid w:val="00C926F8"/>
    <w:rsid w:val="00C93C3A"/>
    <w:rsid w:val="00C940A9"/>
    <w:rsid w:val="00C957AD"/>
    <w:rsid w:val="00C958E5"/>
    <w:rsid w:val="00C96502"/>
    <w:rsid w:val="00C96C2E"/>
    <w:rsid w:val="00C96EF5"/>
    <w:rsid w:val="00C979DE"/>
    <w:rsid w:val="00CA382C"/>
    <w:rsid w:val="00CA4CCB"/>
    <w:rsid w:val="00CA4FD6"/>
    <w:rsid w:val="00CA5065"/>
    <w:rsid w:val="00CA525B"/>
    <w:rsid w:val="00CA55CF"/>
    <w:rsid w:val="00CA6465"/>
    <w:rsid w:val="00CA6DC9"/>
    <w:rsid w:val="00CA74AE"/>
    <w:rsid w:val="00CB1AB5"/>
    <w:rsid w:val="00CB2041"/>
    <w:rsid w:val="00CB2587"/>
    <w:rsid w:val="00CB2AD3"/>
    <w:rsid w:val="00CB7836"/>
    <w:rsid w:val="00CB7AC6"/>
    <w:rsid w:val="00CC6315"/>
    <w:rsid w:val="00CC67E0"/>
    <w:rsid w:val="00CC72FA"/>
    <w:rsid w:val="00CD3383"/>
    <w:rsid w:val="00CD3CC5"/>
    <w:rsid w:val="00CD44EF"/>
    <w:rsid w:val="00CD533C"/>
    <w:rsid w:val="00CD57BC"/>
    <w:rsid w:val="00CD65A6"/>
    <w:rsid w:val="00CE05BD"/>
    <w:rsid w:val="00CE37B7"/>
    <w:rsid w:val="00CE4D25"/>
    <w:rsid w:val="00CF00FE"/>
    <w:rsid w:val="00CF0805"/>
    <w:rsid w:val="00CF0C16"/>
    <w:rsid w:val="00CF1450"/>
    <w:rsid w:val="00CF2932"/>
    <w:rsid w:val="00CF3221"/>
    <w:rsid w:val="00CF3BF2"/>
    <w:rsid w:val="00CF3EC4"/>
    <w:rsid w:val="00CF43F0"/>
    <w:rsid w:val="00CF5289"/>
    <w:rsid w:val="00CF531B"/>
    <w:rsid w:val="00CF5E8E"/>
    <w:rsid w:val="00CF6A36"/>
    <w:rsid w:val="00CF72F7"/>
    <w:rsid w:val="00CF747D"/>
    <w:rsid w:val="00CF7873"/>
    <w:rsid w:val="00D0025D"/>
    <w:rsid w:val="00D002BE"/>
    <w:rsid w:val="00D00B7A"/>
    <w:rsid w:val="00D03653"/>
    <w:rsid w:val="00D038A5"/>
    <w:rsid w:val="00D03B7E"/>
    <w:rsid w:val="00D04EE2"/>
    <w:rsid w:val="00D0502B"/>
    <w:rsid w:val="00D06279"/>
    <w:rsid w:val="00D12DA4"/>
    <w:rsid w:val="00D14808"/>
    <w:rsid w:val="00D14A91"/>
    <w:rsid w:val="00D15A6B"/>
    <w:rsid w:val="00D219E3"/>
    <w:rsid w:val="00D233A3"/>
    <w:rsid w:val="00D25646"/>
    <w:rsid w:val="00D2723B"/>
    <w:rsid w:val="00D2786A"/>
    <w:rsid w:val="00D32126"/>
    <w:rsid w:val="00D331D8"/>
    <w:rsid w:val="00D35745"/>
    <w:rsid w:val="00D360C7"/>
    <w:rsid w:val="00D362F6"/>
    <w:rsid w:val="00D36AD8"/>
    <w:rsid w:val="00D36C28"/>
    <w:rsid w:val="00D401EB"/>
    <w:rsid w:val="00D41472"/>
    <w:rsid w:val="00D42933"/>
    <w:rsid w:val="00D437A6"/>
    <w:rsid w:val="00D47047"/>
    <w:rsid w:val="00D47D85"/>
    <w:rsid w:val="00D51A42"/>
    <w:rsid w:val="00D52F37"/>
    <w:rsid w:val="00D530D9"/>
    <w:rsid w:val="00D554EA"/>
    <w:rsid w:val="00D55E07"/>
    <w:rsid w:val="00D60697"/>
    <w:rsid w:val="00D63C0F"/>
    <w:rsid w:val="00D65CBA"/>
    <w:rsid w:val="00D664C7"/>
    <w:rsid w:val="00D67196"/>
    <w:rsid w:val="00D72070"/>
    <w:rsid w:val="00D72F4B"/>
    <w:rsid w:val="00D74B50"/>
    <w:rsid w:val="00D7518C"/>
    <w:rsid w:val="00D75E42"/>
    <w:rsid w:val="00D76661"/>
    <w:rsid w:val="00D76CEE"/>
    <w:rsid w:val="00D77752"/>
    <w:rsid w:val="00D7778E"/>
    <w:rsid w:val="00D81AB6"/>
    <w:rsid w:val="00D8216C"/>
    <w:rsid w:val="00D8479C"/>
    <w:rsid w:val="00D852D6"/>
    <w:rsid w:val="00D85318"/>
    <w:rsid w:val="00D86BED"/>
    <w:rsid w:val="00D908BE"/>
    <w:rsid w:val="00D920C6"/>
    <w:rsid w:val="00D924E2"/>
    <w:rsid w:val="00D92635"/>
    <w:rsid w:val="00D95E4F"/>
    <w:rsid w:val="00D973DC"/>
    <w:rsid w:val="00DA0803"/>
    <w:rsid w:val="00DA2318"/>
    <w:rsid w:val="00DA272E"/>
    <w:rsid w:val="00DA34D2"/>
    <w:rsid w:val="00DA3684"/>
    <w:rsid w:val="00DA3F45"/>
    <w:rsid w:val="00DA405B"/>
    <w:rsid w:val="00DA4B3B"/>
    <w:rsid w:val="00DA675B"/>
    <w:rsid w:val="00DA67B3"/>
    <w:rsid w:val="00DA69B3"/>
    <w:rsid w:val="00DB089D"/>
    <w:rsid w:val="00DB111B"/>
    <w:rsid w:val="00DB162B"/>
    <w:rsid w:val="00DB4551"/>
    <w:rsid w:val="00DB4628"/>
    <w:rsid w:val="00DB5B58"/>
    <w:rsid w:val="00DB5BA6"/>
    <w:rsid w:val="00DC0F1D"/>
    <w:rsid w:val="00DC13F1"/>
    <w:rsid w:val="00DC1AFA"/>
    <w:rsid w:val="00DC3353"/>
    <w:rsid w:val="00DC3DEE"/>
    <w:rsid w:val="00DC40CD"/>
    <w:rsid w:val="00DC4A73"/>
    <w:rsid w:val="00DC4B66"/>
    <w:rsid w:val="00DC554F"/>
    <w:rsid w:val="00DC6216"/>
    <w:rsid w:val="00DC6818"/>
    <w:rsid w:val="00DD068A"/>
    <w:rsid w:val="00DD079C"/>
    <w:rsid w:val="00DD0809"/>
    <w:rsid w:val="00DD1448"/>
    <w:rsid w:val="00DD1B1B"/>
    <w:rsid w:val="00DD227C"/>
    <w:rsid w:val="00DD2BCD"/>
    <w:rsid w:val="00DD3E2C"/>
    <w:rsid w:val="00DD3FCC"/>
    <w:rsid w:val="00DD5F7E"/>
    <w:rsid w:val="00DD6C55"/>
    <w:rsid w:val="00DD6E36"/>
    <w:rsid w:val="00DE0D64"/>
    <w:rsid w:val="00DE23D8"/>
    <w:rsid w:val="00DE3D36"/>
    <w:rsid w:val="00DE4749"/>
    <w:rsid w:val="00DE4901"/>
    <w:rsid w:val="00DE66A8"/>
    <w:rsid w:val="00DE66F0"/>
    <w:rsid w:val="00DE6E5B"/>
    <w:rsid w:val="00DE7C3F"/>
    <w:rsid w:val="00DF0F54"/>
    <w:rsid w:val="00DF1F59"/>
    <w:rsid w:val="00DF6A4A"/>
    <w:rsid w:val="00DF6B37"/>
    <w:rsid w:val="00DF705B"/>
    <w:rsid w:val="00E010AE"/>
    <w:rsid w:val="00E025EA"/>
    <w:rsid w:val="00E02BD4"/>
    <w:rsid w:val="00E02CA1"/>
    <w:rsid w:val="00E03A17"/>
    <w:rsid w:val="00E03F80"/>
    <w:rsid w:val="00E06E6A"/>
    <w:rsid w:val="00E073ED"/>
    <w:rsid w:val="00E07770"/>
    <w:rsid w:val="00E106BC"/>
    <w:rsid w:val="00E114AE"/>
    <w:rsid w:val="00E11B26"/>
    <w:rsid w:val="00E1238F"/>
    <w:rsid w:val="00E126A5"/>
    <w:rsid w:val="00E1591E"/>
    <w:rsid w:val="00E15964"/>
    <w:rsid w:val="00E16159"/>
    <w:rsid w:val="00E161DF"/>
    <w:rsid w:val="00E24232"/>
    <w:rsid w:val="00E24269"/>
    <w:rsid w:val="00E275D1"/>
    <w:rsid w:val="00E27C38"/>
    <w:rsid w:val="00E30095"/>
    <w:rsid w:val="00E30405"/>
    <w:rsid w:val="00E30B7D"/>
    <w:rsid w:val="00E30DBE"/>
    <w:rsid w:val="00E327EF"/>
    <w:rsid w:val="00E32A17"/>
    <w:rsid w:val="00E330E7"/>
    <w:rsid w:val="00E36355"/>
    <w:rsid w:val="00E363B3"/>
    <w:rsid w:val="00E3642F"/>
    <w:rsid w:val="00E4035E"/>
    <w:rsid w:val="00E41373"/>
    <w:rsid w:val="00E41906"/>
    <w:rsid w:val="00E41FB2"/>
    <w:rsid w:val="00E42485"/>
    <w:rsid w:val="00E42BD5"/>
    <w:rsid w:val="00E43308"/>
    <w:rsid w:val="00E4581C"/>
    <w:rsid w:val="00E46013"/>
    <w:rsid w:val="00E50257"/>
    <w:rsid w:val="00E520E2"/>
    <w:rsid w:val="00E52349"/>
    <w:rsid w:val="00E52D5E"/>
    <w:rsid w:val="00E53C46"/>
    <w:rsid w:val="00E53FC2"/>
    <w:rsid w:val="00E557F1"/>
    <w:rsid w:val="00E55F68"/>
    <w:rsid w:val="00E56267"/>
    <w:rsid w:val="00E607AE"/>
    <w:rsid w:val="00E626FF"/>
    <w:rsid w:val="00E640D0"/>
    <w:rsid w:val="00E64DB2"/>
    <w:rsid w:val="00E66125"/>
    <w:rsid w:val="00E66253"/>
    <w:rsid w:val="00E66D9C"/>
    <w:rsid w:val="00E7004C"/>
    <w:rsid w:val="00E71823"/>
    <w:rsid w:val="00E71B04"/>
    <w:rsid w:val="00E721F9"/>
    <w:rsid w:val="00E723C5"/>
    <w:rsid w:val="00E731AA"/>
    <w:rsid w:val="00E73272"/>
    <w:rsid w:val="00E75151"/>
    <w:rsid w:val="00E753EC"/>
    <w:rsid w:val="00E7748F"/>
    <w:rsid w:val="00E81C8C"/>
    <w:rsid w:val="00E832F3"/>
    <w:rsid w:val="00E83442"/>
    <w:rsid w:val="00E838F9"/>
    <w:rsid w:val="00E849C2"/>
    <w:rsid w:val="00E85502"/>
    <w:rsid w:val="00E85BDD"/>
    <w:rsid w:val="00E863AF"/>
    <w:rsid w:val="00E9013D"/>
    <w:rsid w:val="00E91934"/>
    <w:rsid w:val="00E92924"/>
    <w:rsid w:val="00E93B53"/>
    <w:rsid w:val="00E93D3A"/>
    <w:rsid w:val="00E94479"/>
    <w:rsid w:val="00E949CD"/>
    <w:rsid w:val="00E954EA"/>
    <w:rsid w:val="00E95D07"/>
    <w:rsid w:val="00E96371"/>
    <w:rsid w:val="00E96D3D"/>
    <w:rsid w:val="00EA060D"/>
    <w:rsid w:val="00EA1E99"/>
    <w:rsid w:val="00EA230E"/>
    <w:rsid w:val="00EA3D09"/>
    <w:rsid w:val="00EA531D"/>
    <w:rsid w:val="00EA57E9"/>
    <w:rsid w:val="00EA60BA"/>
    <w:rsid w:val="00EA7669"/>
    <w:rsid w:val="00EB1ED3"/>
    <w:rsid w:val="00EB1F64"/>
    <w:rsid w:val="00EB296F"/>
    <w:rsid w:val="00EB2D7E"/>
    <w:rsid w:val="00EB4191"/>
    <w:rsid w:val="00EB5F10"/>
    <w:rsid w:val="00EB643F"/>
    <w:rsid w:val="00EB7140"/>
    <w:rsid w:val="00EB7C4A"/>
    <w:rsid w:val="00EC0668"/>
    <w:rsid w:val="00EC0B59"/>
    <w:rsid w:val="00EC54D9"/>
    <w:rsid w:val="00EC54EF"/>
    <w:rsid w:val="00EC738F"/>
    <w:rsid w:val="00ED0DE6"/>
    <w:rsid w:val="00ED2602"/>
    <w:rsid w:val="00ED2E20"/>
    <w:rsid w:val="00ED49F5"/>
    <w:rsid w:val="00ED4AB1"/>
    <w:rsid w:val="00ED4BA4"/>
    <w:rsid w:val="00ED4EAB"/>
    <w:rsid w:val="00ED5BF6"/>
    <w:rsid w:val="00ED62E2"/>
    <w:rsid w:val="00ED6EAA"/>
    <w:rsid w:val="00ED7DBD"/>
    <w:rsid w:val="00EE007B"/>
    <w:rsid w:val="00EE0825"/>
    <w:rsid w:val="00EE13EC"/>
    <w:rsid w:val="00EE2172"/>
    <w:rsid w:val="00EE2691"/>
    <w:rsid w:val="00EE398C"/>
    <w:rsid w:val="00EE7153"/>
    <w:rsid w:val="00EE7B2D"/>
    <w:rsid w:val="00EF0957"/>
    <w:rsid w:val="00EF0BA5"/>
    <w:rsid w:val="00EF0C2F"/>
    <w:rsid w:val="00EF1A8F"/>
    <w:rsid w:val="00EF1B54"/>
    <w:rsid w:val="00EF491E"/>
    <w:rsid w:val="00EF4F10"/>
    <w:rsid w:val="00EF57FB"/>
    <w:rsid w:val="00EF621E"/>
    <w:rsid w:val="00EF634B"/>
    <w:rsid w:val="00F00F5C"/>
    <w:rsid w:val="00F01004"/>
    <w:rsid w:val="00F01204"/>
    <w:rsid w:val="00F022D3"/>
    <w:rsid w:val="00F0258D"/>
    <w:rsid w:val="00F051C5"/>
    <w:rsid w:val="00F06123"/>
    <w:rsid w:val="00F070A4"/>
    <w:rsid w:val="00F1019E"/>
    <w:rsid w:val="00F10616"/>
    <w:rsid w:val="00F109A6"/>
    <w:rsid w:val="00F118B7"/>
    <w:rsid w:val="00F1214D"/>
    <w:rsid w:val="00F12274"/>
    <w:rsid w:val="00F12F02"/>
    <w:rsid w:val="00F140B0"/>
    <w:rsid w:val="00F16490"/>
    <w:rsid w:val="00F17DCB"/>
    <w:rsid w:val="00F20F62"/>
    <w:rsid w:val="00F215ED"/>
    <w:rsid w:val="00F21708"/>
    <w:rsid w:val="00F2202B"/>
    <w:rsid w:val="00F22F83"/>
    <w:rsid w:val="00F232B9"/>
    <w:rsid w:val="00F24D0D"/>
    <w:rsid w:val="00F256C5"/>
    <w:rsid w:val="00F259AA"/>
    <w:rsid w:val="00F27A6F"/>
    <w:rsid w:val="00F30148"/>
    <w:rsid w:val="00F303CB"/>
    <w:rsid w:val="00F34D9D"/>
    <w:rsid w:val="00F353C8"/>
    <w:rsid w:val="00F3610E"/>
    <w:rsid w:val="00F372BD"/>
    <w:rsid w:val="00F40810"/>
    <w:rsid w:val="00F419AA"/>
    <w:rsid w:val="00F41C0A"/>
    <w:rsid w:val="00F424BD"/>
    <w:rsid w:val="00F43E0F"/>
    <w:rsid w:val="00F4537C"/>
    <w:rsid w:val="00F461D6"/>
    <w:rsid w:val="00F47063"/>
    <w:rsid w:val="00F4755E"/>
    <w:rsid w:val="00F505AE"/>
    <w:rsid w:val="00F50A44"/>
    <w:rsid w:val="00F51D79"/>
    <w:rsid w:val="00F528BB"/>
    <w:rsid w:val="00F53EB4"/>
    <w:rsid w:val="00F56F18"/>
    <w:rsid w:val="00F60BA2"/>
    <w:rsid w:val="00F62F89"/>
    <w:rsid w:val="00F65074"/>
    <w:rsid w:val="00F714CA"/>
    <w:rsid w:val="00F71CCF"/>
    <w:rsid w:val="00F72DAA"/>
    <w:rsid w:val="00F73B86"/>
    <w:rsid w:val="00F75346"/>
    <w:rsid w:val="00F76003"/>
    <w:rsid w:val="00F7746F"/>
    <w:rsid w:val="00F7755C"/>
    <w:rsid w:val="00F80F7B"/>
    <w:rsid w:val="00F82B91"/>
    <w:rsid w:val="00F83B6D"/>
    <w:rsid w:val="00F83F26"/>
    <w:rsid w:val="00F840DC"/>
    <w:rsid w:val="00F8435B"/>
    <w:rsid w:val="00F84613"/>
    <w:rsid w:val="00F8514D"/>
    <w:rsid w:val="00F85160"/>
    <w:rsid w:val="00F90C0C"/>
    <w:rsid w:val="00F925E6"/>
    <w:rsid w:val="00F93D67"/>
    <w:rsid w:val="00F93E7D"/>
    <w:rsid w:val="00F9443B"/>
    <w:rsid w:val="00F94FB8"/>
    <w:rsid w:val="00F96931"/>
    <w:rsid w:val="00F97E7E"/>
    <w:rsid w:val="00F97FD9"/>
    <w:rsid w:val="00FA0173"/>
    <w:rsid w:val="00FA21DE"/>
    <w:rsid w:val="00FA3CF8"/>
    <w:rsid w:val="00FA5991"/>
    <w:rsid w:val="00FA6309"/>
    <w:rsid w:val="00FA6AEA"/>
    <w:rsid w:val="00FB1F3C"/>
    <w:rsid w:val="00FB3E84"/>
    <w:rsid w:val="00FB42E2"/>
    <w:rsid w:val="00FB4E01"/>
    <w:rsid w:val="00FB59B6"/>
    <w:rsid w:val="00FB64C2"/>
    <w:rsid w:val="00FB6EA8"/>
    <w:rsid w:val="00FB7774"/>
    <w:rsid w:val="00FC0FA9"/>
    <w:rsid w:val="00FC1BB8"/>
    <w:rsid w:val="00FC4C52"/>
    <w:rsid w:val="00FC5082"/>
    <w:rsid w:val="00FC581F"/>
    <w:rsid w:val="00FC5829"/>
    <w:rsid w:val="00FC5F79"/>
    <w:rsid w:val="00FC7C2C"/>
    <w:rsid w:val="00FC7C3E"/>
    <w:rsid w:val="00FC7FB1"/>
    <w:rsid w:val="00FD05EC"/>
    <w:rsid w:val="00FD093D"/>
    <w:rsid w:val="00FD155F"/>
    <w:rsid w:val="00FD2A49"/>
    <w:rsid w:val="00FD340E"/>
    <w:rsid w:val="00FD36E2"/>
    <w:rsid w:val="00FD546B"/>
    <w:rsid w:val="00FD6685"/>
    <w:rsid w:val="00FD7A8E"/>
    <w:rsid w:val="00FE0401"/>
    <w:rsid w:val="00FE0919"/>
    <w:rsid w:val="00FE0B37"/>
    <w:rsid w:val="00FE11BA"/>
    <w:rsid w:val="00FE1768"/>
    <w:rsid w:val="00FE2C0D"/>
    <w:rsid w:val="00FE3BA6"/>
    <w:rsid w:val="00FE4A09"/>
    <w:rsid w:val="00FE592D"/>
    <w:rsid w:val="00FE618E"/>
    <w:rsid w:val="00FE7090"/>
    <w:rsid w:val="00FE71CC"/>
    <w:rsid w:val="00FE7B4C"/>
    <w:rsid w:val="00FF143F"/>
    <w:rsid w:val="00FF2801"/>
    <w:rsid w:val="00FF30B4"/>
    <w:rsid w:val="00FF3C70"/>
    <w:rsid w:val="00FF40FC"/>
    <w:rsid w:val="00FF488F"/>
    <w:rsid w:val="00FF4E7E"/>
    <w:rsid w:val="00FF63D9"/>
    <w:rsid w:val="00FF7C00"/>
    <w:rsid w:val="3DED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1C840"/>
  <w15:docId w15:val="{404B4068-46F2-4231-9325-1733E0B1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PMingLiU" w:eastAsia="PMingLiU" w:hAnsi="PMingLiU" w:cs="PMingLiU"/>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w:basedOn w:val="a"/>
    <w:uiPriority w:val="1"/>
    <w:qFormat/>
    <w:rPr>
      <w:rFonts w:ascii="Microsoft JhengHei" w:eastAsia="Microsoft JhengHei" w:hAnsi="Microsoft JhengHei" w:cs="Microsoft JhengHei"/>
      <w:b/>
      <w:bCs/>
      <w:sz w:val="32"/>
      <w:szCs w:val="32"/>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rPr>
      <w:b/>
      <w:bCs/>
    </w:rPr>
  </w:style>
  <w:style w:type="character" w:styleId="ae">
    <w:name w:val="annotation reference"/>
    <w:basedOn w:val="a0"/>
    <w:uiPriority w:val="99"/>
    <w:semiHidden/>
    <w:unhideWhenUsed/>
    <w:rPr>
      <w:sz w:val="21"/>
      <w:szCs w:val="21"/>
    </w:rPr>
  </w:style>
  <w:style w:type="table" w:customStyle="1" w:styleId="TableNormal">
    <w:name w:val="Table Normal"/>
    <w:uiPriority w:val="2"/>
    <w:qFormat/>
    <w:tblPr>
      <w:tblCellMar>
        <w:top w:w="0" w:type="dxa"/>
        <w:left w:w="0" w:type="dxa"/>
        <w:bottom w:w="0" w:type="dxa"/>
        <w:right w:w="0" w:type="dxa"/>
      </w:tblCellMar>
    </w:tblPr>
  </w:style>
  <w:style w:type="paragraph" w:styleId="af">
    <w:name w:val="List Paragraph"/>
    <w:basedOn w:val="a"/>
    <w:uiPriority w:val="1"/>
    <w:qFormat/>
  </w:style>
  <w:style w:type="paragraph" w:customStyle="1" w:styleId="TableParagraph">
    <w:name w:val="Table Paragraph"/>
    <w:basedOn w:val="a"/>
    <w:uiPriority w:val="1"/>
    <w:qFormat/>
    <w:pPr>
      <w:ind w:left="106"/>
    </w:pPr>
  </w:style>
  <w:style w:type="character" w:customStyle="1" w:styleId="a4">
    <w:name w:val="批注文字 字符"/>
    <w:basedOn w:val="a0"/>
    <w:link w:val="a3"/>
    <w:uiPriority w:val="99"/>
    <w:semiHidden/>
    <w:qFormat/>
    <w:rPr>
      <w:rFonts w:ascii="PMingLiU" w:eastAsia="PMingLiU" w:hAnsi="PMingLiU" w:cs="PMingLiU"/>
      <w:lang w:eastAsia="zh-CN"/>
    </w:rPr>
  </w:style>
  <w:style w:type="character" w:customStyle="1" w:styleId="ad">
    <w:name w:val="批注主题 字符"/>
    <w:basedOn w:val="a4"/>
    <w:link w:val="ac"/>
    <w:uiPriority w:val="99"/>
    <w:semiHidden/>
    <w:rPr>
      <w:rFonts w:ascii="PMingLiU" w:eastAsia="PMingLiU" w:hAnsi="PMingLiU" w:cs="PMingLiU"/>
      <w:b/>
      <w:bCs/>
      <w:lang w:eastAsia="zh-CN"/>
    </w:rPr>
  </w:style>
  <w:style w:type="character" w:customStyle="1" w:styleId="a7">
    <w:name w:val="批注框文本 字符"/>
    <w:basedOn w:val="a0"/>
    <w:link w:val="a6"/>
    <w:uiPriority w:val="99"/>
    <w:semiHidden/>
    <w:rPr>
      <w:rFonts w:ascii="PMingLiU" w:eastAsia="PMingLiU" w:hAnsi="PMingLiU" w:cs="PMingLiU"/>
      <w:sz w:val="18"/>
      <w:szCs w:val="18"/>
      <w:lang w:eastAsia="zh-CN"/>
    </w:rPr>
  </w:style>
  <w:style w:type="character" w:customStyle="1" w:styleId="ab">
    <w:name w:val="页眉 字符"/>
    <w:basedOn w:val="a0"/>
    <w:link w:val="aa"/>
    <w:uiPriority w:val="99"/>
    <w:qFormat/>
    <w:rPr>
      <w:rFonts w:ascii="PMingLiU" w:eastAsia="PMingLiU" w:hAnsi="PMingLiU" w:cs="PMingLiU"/>
      <w:sz w:val="18"/>
      <w:szCs w:val="18"/>
      <w:lang w:eastAsia="zh-CN"/>
    </w:rPr>
  </w:style>
  <w:style w:type="character" w:customStyle="1" w:styleId="a9">
    <w:name w:val="页脚 字符"/>
    <w:basedOn w:val="a0"/>
    <w:link w:val="a8"/>
    <w:uiPriority w:val="99"/>
    <w:qFormat/>
    <w:rPr>
      <w:rFonts w:ascii="PMingLiU" w:eastAsia="PMingLiU" w:hAnsi="PMingLiU" w:cs="PMingLiU"/>
      <w:sz w:val="18"/>
      <w:szCs w:val="18"/>
      <w:lang w:eastAsia="zh-CN"/>
    </w:rPr>
  </w:style>
  <w:style w:type="paragraph" w:customStyle="1" w:styleId="Default">
    <w:name w:val="Default"/>
    <w:rsid w:val="002C5762"/>
    <w:pPr>
      <w:widowControl w:val="0"/>
      <w:autoSpaceDE w:val="0"/>
      <w:autoSpaceDN w:val="0"/>
      <w:adjustRightInd w:val="0"/>
    </w:pPr>
    <w:rPr>
      <w:rFonts w:ascii="Arial" w:hAnsi="Arial" w:cs="Arial"/>
      <w:color w:val="000000"/>
      <w:sz w:val="24"/>
      <w:szCs w:val="24"/>
    </w:rPr>
  </w:style>
  <w:style w:type="paragraph" w:styleId="af0">
    <w:name w:val="Revision"/>
    <w:hidden/>
    <w:uiPriority w:val="99"/>
    <w:semiHidden/>
    <w:rsid w:val="009A5AA2"/>
    <w:rPr>
      <w:rFonts w:ascii="PMingLiU" w:eastAsia="PMingLiU" w:hAnsi="PMingLiU" w:cs="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0454">
      <w:bodyDiv w:val="1"/>
      <w:marLeft w:val="0"/>
      <w:marRight w:val="0"/>
      <w:marTop w:val="0"/>
      <w:marBottom w:val="0"/>
      <w:divBdr>
        <w:top w:val="none" w:sz="0" w:space="0" w:color="auto"/>
        <w:left w:val="none" w:sz="0" w:space="0" w:color="auto"/>
        <w:bottom w:val="none" w:sz="0" w:space="0" w:color="auto"/>
        <w:right w:val="none" w:sz="0" w:space="0" w:color="auto"/>
      </w:divBdr>
    </w:div>
    <w:div w:id="158663664">
      <w:bodyDiv w:val="1"/>
      <w:marLeft w:val="0"/>
      <w:marRight w:val="0"/>
      <w:marTop w:val="0"/>
      <w:marBottom w:val="0"/>
      <w:divBdr>
        <w:top w:val="none" w:sz="0" w:space="0" w:color="auto"/>
        <w:left w:val="none" w:sz="0" w:space="0" w:color="auto"/>
        <w:bottom w:val="none" w:sz="0" w:space="0" w:color="auto"/>
        <w:right w:val="none" w:sz="0" w:space="0" w:color="auto"/>
      </w:divBdr>
    </w:div>
    <w:div w:id="433601019">
      <w:bodyDiv w:val="1"/>
      <w:marLeft w:val="0"/>
      <w:marRight w:val="0"/>
      <w:marTop w:val="0"/>
      <w:marBottom w:val="0"/>
      <w:divBdr>
        <w:top w:val="none" w:sz="0" w:space="0" w:color="auto"/>
        <w:left w:val="none" w:sz="0" w:space="0" w:color="auto"/>
        <w:bottom w:val="none" w:sz="0" w:space="0" w:color="auto"/>
        <w:right w:val="none" w:sz="0" w:space="0" w:color="auto"/>
      </w:divBdr>
    </w:div>
    <w:div w:id="443689641">
      <w:bodyDiv w:val="1"/>
      <w:marLeft w:val="0"/>
      <w:marRight w:val="0"/>
      <w:marTop w:val="0"/>
      <w:marBottom w:val="0"/>
      <w:divBdr>
        <w:top w:val="none" w:sz="0" w:space="0" w:color="auto"/>
        <w:left w:val="none" w:sz="0" w:space="0" w:color="auto"/>
        <w:bottom w:val="none" w:sz="0" w:space="0" w:color="auto"/>
        <w:right w:val="none" w:sz="0" w:space="0" w:color="auto"/>
      </w:divBdr>
      <w:divsChild>
        <w:div w:id="528957161">
          <w:marLeft w:val="0"/>
          <w:marRight w:val="0"/>
          <w:marTop w:val="0"/>
          <w:marBottom w:val="0"/>
          <w:divBdr>
            <w:top w:val="none" w:sz="0" w:space="0" w:color="auto"/>
            <w:left w:val="none" w:sz="0" w:space="0" w:color="auto"/>
            <w:bottom w:val="none" w:sz="0" w:space="0" w:color="auto"/>
            <w:right w:val="none" w:sz="0" w:space="0" w:color="auto"/>
          </w:divBdr>
        </w:div>
      </w:divsChild>
    </w:div>
    <w:div w:id="483929763">
      <w:bodyDiv w:val="1"/>
      <w:marLeft w:val="0"/>
      <w:marRight w:val="0"/>
      <w:marTop w:val="0"/>
      <w:marBottom w:val="0"/>
      <w:divBdr>
        <w:top w:val="none" w:sz="0" w:space="0" w:color="auto"/>
        <w:left w:val="none" w:sz="0" w:space="0" w:color="auto"/>
        <w:bottom w:val="none" w:sz="0" w:space="0" w:color="auto"/>
        <w:right w:val="none" w:sz="0" w:space="0" w:color="auto"/>
      </w:divBdr>
    </w:div>
    <w:div w:id="491990142">
      <w:bodyDiv w:val="1"/>
      <w:marLeft w:val="0"/>
      <w:marRight w:val="0"/>
      <w:marTop w:val="0"/>
      <w:marBottom w:val="0"/>
      <w:divBdr>
        <w:top w:val="none" w:sz="0" w:space="0" w:color="auto"/>
        <w:left w:val="none" w:sz="0" w:space="0" w:color="auto"/>
        <w:bottom w:val="none" w:sz="0" w:space="0" w:color="auto"/>
        <w:right w:val="none" w:sz="0" w:space="0" w:color="auto"/>
      </w:divBdr>
      <w:divsChild>
        <w:div w:id="174853982">
          <w:marLeft w:val="446"/>
          <w:marRight w:val="0"/>
          <w:marTop w:val="0"/>
          <w:marBottom w:val="0"/>
          <w:divBdr>
            <w:top w:val="none" w:sz="0" w:space="0" w:color="auto"/>
            <w:left w:val="none" w:sz="0" w:space="0" w:color="auto"/>
            <w:bottom w:val="none" w:sz="0" w:space="0" w:color="auto"/>
            <w:right w:val="none" w:sz="0" w:space="0" w:color="auto"/>
          </w:divBdr>
        </w:div>
      </w:divsChild>
    </w:div>
    <w:div w:id="617179528">
      <w:bodyDiv w:val="1"/>
      <w:marLeft w:val="0"/>
      <w:marRight w:val="0"/>
      <w:marTop w:val="0"/>
      <w:marBottom w:val="0"/>
      <w:divBdr>
        <w:top w:val="none" w:sz="0" w:space="0" w:color="auto"/>
        <w:left w:val="none" w:sz="0" w:space="0" w:color="auto"/>
        <w:bottom w:val="none" w:sz="0" w:space="0" w:color="auto"/>
        <w:right w:val="none" w:sz="0" w:space="0" w:color="auto"/>
      </w:divBdr>
      <w:divsChild>
        <w:div w:id="1314331257">
          <w:marLeft w:val="274"/>
          <w:marRight w:val="0"/>
          <w:marTop w:val="240"/>
          <w:marBottom w:val="0"/>
          <w:divBdr>
            <w:top w:val="none" w:sz="0" w:space="0" w:color="auto"/>
            <w:left w:val="none" w:sz="0" w:space="0" w:color="auto"/>
            <w:bottom w:val="none" w:sz="0" w:space="0" w:color="auto"/>
            <w:right w:val="none" w:sz="0" w:space="0" w:color="auto"/>
          </w:divBdr>
        </w:div>
      </w:divsChild>
    </w:div>
    <w:div w:id="676226065">
      <w:bodyDiv w:val="1"/>
      <w:marLeft w:val="0"/>
      <w:marRight w:val="0"/>
      <w:marTop w:val="0"/>
      <w:marBottom w:val="0"/>
      <w:divBdr>
        <w:top w:val="none" w:sz="0" w:space="0" w:color="auto"/>
        <w:left w:val="none" w:sz="0" w:space="0" w:color="auto"/>
        <w:bottom w:val="none" w:sz="0" w:space="0" w:color="auto"/>
        <w:right w:val="none" w:sz="0" w:space="0" w:color="auto"/>
      </w:divBdr>
    </w:div>
    <w:div w:id="696543282">
      <w:bodyDiv w:val="1"/>
      <w:marLeft w:val="0"/>
      <w:marRight w:val="0"/>
      <w:marTop w:val="0"/>
      <w:marBottom w:val="0"/>
      <w:divBdr>
        <w:top w:val="none" w:sz="0" w:space="0" w:color="auto"/>
        <w:left w:val="none" w:sz="0" w:space="0" w:color="auto"/>
        <w:bottom w:val="none" w:sz="0" w:space="0" w:color="auto"/>
        <w:right w:val="none" w:sz="0" w:space="0" w:color="auto"/>
      </w:divBdr>
    </w:div>
    <w:div w:id="699627737">
      <w:bodyDiv w:val="1"/>
      <w:marLeft w:val="0"/>
      <w:marRight w:val="0"/>
      <w:marTop w:val="0"/>
      <w:marBottom w:val="0"/>
      <w:divBdr>
        <w:top w:val="none" w:sz="0" w:space="0" w:color="auto"/>
        <w:left w:val="none" w:sz="0" w:space="0" w:color="auto"/>
        <w:bottom w:val="none" w:sz="0" w:space="0" w:color="auto"/>
        <w:right w:val="none" w:sz="0" w:space="0" w:color="auto"/>
      </w:divBdr>
    </w:div>
    <w:div w:id="783309312">
      <w:bodyDiv w:val="1"/>
      <w:marLeft w:val="0"/>
      <w:marRight w:val="0"/>
      <w:marTop w:val="0"/>
      <w:marBottom w:val="0"/>
      <w:divBdr>
        <w:top w:val="none" w:sz="0" w:space="0" w:color="auto"/>
        <w:left w:val="none" w:sz="0" w:space="0" w:color="auto"/>
        <w:bottom w:val="none" w:sz="0" w:space="0" w:color="auto"/>
        <w:right w:val="none" w:sz="0" w:space="0" w:color="auto"/>
      </w:divBdr>
    </w:div>
    <w:div w:id="923104850">
      <w:bodyDiv w:val="1"/>
      <w:marLeft w:val="0"/>
      <w:marRight w:val="0"/>
      <w:marTop w:val="0"/>
      <w:marBottom w:val="0"/>
      <w:divBdr>
        <w:top w:val="none" w:sz="0" w:space="0" w:color="auto"/>
        <w:left w:val="none" w:sz="0" w:space="0" w:color="auto"/>
        <w:bottom w:val="none" w:sz="0" w:space="0" w:color="auto"/>
        <w:right w:val="none" w:sz="0" w:space="0" w:color="auto"/>
      </w:divBdr>
    </w:div>
    <w:div w:id="947086290">
      <w:bodyDiv w:val="1"/>
      <w:marLeft w:val="0"/>
      <w:marRight w:val="0"/>
      <w:marTop w:val="0"/>
      <w:marBottom w:val="0"/>
      <w:divBdr>
        <w:top w:val="none" w:sz="0" w:space="0" w:color="auto"/>
        <w:left w:val="none" w:sz="0" w:space="0" w:color="auto"/>
        <w:bottom w:val="none" w:sz="0" w:space="0" w:color="auto"/>
        <w:right w:val="none" w:sz="0" w:space="0" w:color="auto"/>
      </w:divBdr>
    </w:div>
    <w:div w:id="1081103795">
      <w:bodyDiv w:val="1"/>
      <w:marLeft w:val="0"/>
      <w:marRight w:val="0"/>
      <w:marTop w:val="0"/>
      <w:marBottom w:val="0"/>
      <w:divBdr>
        <w:top w:val="none" w:sz="0" w:space="0" w:color="auto"/>
        <w:left w:val="none" w:sz="0" w:space="0" w:color="auto"/>
        <w:bottom w:val="none" w:sz="0" w:space="0" w:color="auto"/>
        <w:right w:val="none" w:sz="0" w:space="0" w:color="auto"/>
      </w:divBdr>
    </w:div>
    <w:div w:id="1191063480">
      <w:bodyDiv w:val="1"/>
      <w:marLeft w:val="0"/>
      <w:marRight w:val="0"/>
      <w:marTop w:val="0"/>
      <w:marBottom w:val="0"/>
      <w:divBdr>
        <w:top w:val="none" w:sz="0" w:space="0" w:color="auto"/>
        <w:left w:val="none" w:sz="0" w:space="0" w:color="auto"/>
        <w:bottom w:val="none" w:sz="0" w:space="0" w:color="auto"/>
        <w:right w:val="none" w:sz="0" w:space="0" w:color="auto"/>
      </w:divBdr>
    </w:div>
    <w:div w:id="1460759210">
      <w:bodyDiv w:val="1"/>
      <w:marLeft w:val="0"/>
      <w:marRight w:val="0"/>
      <w:marTop w:val="0"/>
      <w:marBottom w:val="0"/>
      <w:divBdr>
        <w:top w:val="none" w:sz="0" w:space="0" w:color="auto"/>
        <w:left w:val="none" w:sz="0" w:space="0" w:color="auto"/>
        <w:bottom w:val="none" w:sz="0" w:space="0" w:color="auto"/>
        <w:right w:val="none" w:sz="0" w:space="0" w:color="auto"/>
      </w:divBdr>
      <w:divsChild>
        <w:div w:id="1347365169">
          <w:marLeft w:val="274"/>
          <w:marRight w:val="0"/>
          <w:marTop w:val="240"/>
          <w:marBottom w:val="0"/>
          <w:divBdr>
            <w:top w:val="none" w:sz="0" w:space="0" w:color="auto"/>
            <w:left w:val="none" w:sz="0" w:space="0" w:color="auto"/>
            <w:bottom w:val="none" w:sz="0" w:space="0" w:color="auto"/>
            <w:right w:val="none" w:sz="0" w:space="0" w:color="auto"/>
          </w:divBdr>
        </w:div>
        <w:div w:id="669723947">
          <w:marLeft w:val="274"/>
          <w:marRight w:val="0"/>
          <w:marTop w:val="240"/>
          <w:marBottom w:val="0"/>
          <w:divBdr>
            <w:top w:val="none" w:sz="0" w:space="0" w:color="auto"/>
            <w:left w:val="none" w:sz="0" w:space="0" w:color="auto"/>
            <w:bottom w:val="none" w:sz="0" w:space="0" w:color="auto"/>
            <w:right w:val="none" w:sz="0" w:space="0" w:color="auto"/>
          </w:divBdr>
        </w:div>
      </w:divsChild>
    </w:div>
    <w:div w:id="1640695321">
      <w:bodyDiv w:val="1"/>
      <w:marLeft w:val="0"/>
      <w:marRight w:val="0"/>
      <w:marTop w:val="0"/>
      <w:marBottom w:val="0"/>
      <w:divBdr>
        <w:top w:val="none" w:sz="0" w:space="0" w:color="auto"/>
        <w:left w:val="none" w:sz="0" w:space="0" w:color="auto"/>
        <w:bottom w:val="none" w:sz="0" w:space="0" w:color="auto"/>
        <w:right w:val="none" w:sz="0" w:space="0" w:color="auto"/>
      </w:divBdr>
    </w:div>
    <w:div w:id="1666280974">
      <w:bodyDiv w:val="1"/>
      <w:marLeft w:val="0"/>
      <w:marRight w:val="0"/>
      <w:marTop w:val="0"/>
      <w:marBottom w:val="0"/>
      <w:divBdr>
        <w:top w:val="none" w:sz="0" w:space="0" w:color="auto"/>
        <w:left w:val="none" w:sz="0" w:space="0" w:color="auto"/>
        <w:bottom w:val="none" w:sz="0" w:space="0" w:color="auto"/>
        <w:right w:val="none" w:sz="0" w:space="0" w:color="auto"/>
      </w:divBdr>
      <w:divsChild>
        <w:div w:id="1193029154">
          <w:marLeft w:val="446"/>
          <w:marRight w:val="0"/>
          <w:marTop w:val="0"/>
          <w:marBottom w:val="0"/>
          <w:divBdr>
            <w:top w:val="none" w:sz="0" w:space="0" w:color="auto"/>
            <w:left w:val="none" w:sz="0" w:space="0" w:color="auto"/>
            <w:bottom w:val="none" w:sz="0" w:space="0" w:color="auto"/>
            <w:right w:val="none" w:sz="0" w:space="0" w:color="auto"/>
          </w:divBdr>
        </w:div>
        <w:div w:id="920525285">
          <w:marLeft w:val="446"/>
          <w:marRight w:val="0"/>
          <w:marTop w:val="0"/>
          <w:marBottom w:val="0"/>
          <w:divBdr>
            <w:top w:val="none" w:sz="0" w:space="0" w:color="auto"/>
            <w:left w:val="none" w:sz="0" w:space="0" w:color="auto"/>
            <w:bottom w:val="none" w:sz="0" w:space="0" w:color="auto"/>
            <w:right w:val="none" w:sz="0" w:space="0" w:color="auto"/>
          </w:divBdr>
        </w:div>
      </w:divsChild>
    </w:div>
    <w:div w:id="1699893910">
      <w:bodyDiv w:val="1"/>
      <w:marLeft w:val="0"/>
      <w:marRight w:val="0"/>
      <w:marTop w:val="0"/>
      <w:marBottom w:val="0"/>
      <w:divBdr>
        <w:top w:val="none" w:sz="0" w:space="0" w:color="auto"/>
        <w:left w:val="none" w:sz="0" w:space="0" w:color="auto"/>
        <w:bottom w:val="none" w:sz="0" w:space="0" w:color="auto"/>
        <w:right w:val="none" w:sz="0" w:space="0" w:color="auto"/>
      </w:divBdr>
    </w:div>
    <w:div w:id="1755131614">
      <w:bodyDiv w:val="1"/>
      <w:marLeft w:val="0"/>
      <w:marRight w:val="0"/>
      <w:marTop w:val="0"/>
      <w:marBottom w:val="0"/>
      <w:divBdr>
        <w:top w:val="none" w:sz="0" w:space="0" w:color="auto"/>
        <w:left w:val="none" w:sz="0" w:space="0" w:color="auto"/>
        <w:bottom w:val="none" w:sz="0" w:space="0" w:color="auto"/>
        <w:right w:val="none" w:sz="0" w:space="0" w:color="auto"/>
      </w:divBdr>
    </w:div>
    <w:div w:id="1760713142">
      <w:bodyDiv w:val="1"/>
      <w:marLeft w:val="0"/>
      <w:marRight w:val="0"/>
      <w:marTop w:val="0"/>
      <w:marBottom w:val="0"/>
      <w:divBdr>
        <w:top w:val="none" w:sz="0" w:space="0" w:color="auto"/>
        <w:left w:val="none" w:sz="0" w:space="0" w:color="auto"/>
        <w:bottom w:val="none" w:sz="0" w:space="0" w:color="auto"/>
        <w:right w:val="none" w:sz="0" w:space="0" w:color="auto"/>
      </w:divBdr>
    </w:div>
    <w:div w:id="1775780317">
      <w:bodyDiv w:val="1"/>
      <w:marLeft w:val="0"/>
      <w:marRight w:val="0"/>
      <w:marTop w:val="0"/>
      <w:marBottom w:val="0"/>
      <w:divBdr>
        <w:top w:val="none" w:sz="0" w:space="0" w:color="auto"/>
        <w:left w:val="none" w:sz="0" w:space="0" w:color="auto"/>
        <w:bottom w:val="none" w:sz="0" w:space="0" w:color="auto"/>
        <w:right w:val="none" w:sz="0" w:space="0" w:color="auto"/>
      </w:divBdr>
      <w:divsChild>
        <w:div w:id="1077940079">
          <w:marLeft w:val="274"/>
          <w:marRight w:val="0"/>
          <w:marTop w:val="0"/>
          <w:marBottom w:val="0"/>
          <w:divBdr>
            <w:top w:val="none" w:sz="0" w:space="0" w:color="auto"/>
            <w:left w:val="none" w:sz="0" w:space="0" w:color="auto"/>
            <w:bottom w:val="none" w:sz="0" w:space="0" w:color="auto"/>
            <w:right w:val="none" w:sz="0" w:space="0" w:color="auto"/>
          </w:divBdr>
        </w:div>
        <w:div w:id="1144934087">
          <w:marLeft w:val="274"/>
          <w:marRight w:val="0"/>
          <w:marTop w:val="0"/>
          <w:marBottom w:val="0"/>
          <w:divBdr>
            <w:top w:val="none" w:sz="0" w:space="0" w:color="auto"/>
            <w:left w:val="none" w:sz="0" w:space="0" w:color="auto"/>
            <w:bottom w:val="none" w:sz="0" w:space="0" w:color="auto"/>
            <w:right w:val="none" w:sz="0" w:space="0" w:color="auto"/>
          </w:divBdr>
        </w:div>
        <w:div w:id="2030908095">
          <w:marLeft w:val="274"/>
          <w:marRight w:val="0"/>
          <w:marTop w:val="0"/>
          <w:marBottom w:val="0"/>
          <w:divBdr>
            <w:top w:val="none" w:sz="0" w:space="0" w:color="auto"/>
            <w:left w:val="none" w:sz="0" w:space="0" w:color="auto"/>
            <w:bottom w:val="none" w:sz="0" w:space="0" w:color="auto"/>
            <w:right w:val="none" w:sz="0" w:space="0" w:color="auto"/>
          </w:divBdr>
        </w:div>
      </w:divsChild>
    </w:div>
    <w:div w:id="1882208908">
      <w:bodyDiv w:val="1"/>
      <w:marLeft w:val="0"/>
      <w:marRight w:val="0"/>
      <w:marTop w:val="0"/>
      <w:marBottom w:val="0"/>
      <w:divBdr>
        <w:top w:val="none" w:sz="0" w:space="0" w:color="auto"/>
        <w:left w:val="none" w:sz="0" w:space="0" w:color="auto"/>
        <w:bottom w:val="none" w:sz="0" w:space="0" w:color="auto"/>
        <w:right w:val="none" w:sz="0" w:space="0" w:color="auto"/>
      </w:divBdr>
    </w:div>
    <w:div w:id="1973897551">
      <w:bodyDiv w:val="1"/>
      <w:marLeft w:val="0"/>
      <w:marRight w:val="0"/>
      <w:marTop w:val="0"/>
      <w:marBottom w:val="0"/>
      <w:divBdr>
        <w:top w:val="none" w:sz="0" w:space="0" w:color="auto"/>
        <w:left w:val="none" w:sz="0" w:space="0" w:color="auto"/>
        <w:bottom w:val="none" w:sz="0" w:space="0" w:color="auto"/>
        <w:right w:val="none" w:sz="0" w:space="0" w:color="auto"/>
      </w:divBdr>
      <w:divsChild>
        <w:div w:id="149248772">
          <w:marLeft w:val="0"/>
          <w:marRight w:val="0"/>
          <w:marTop w:val="75"/>
          <w:marBottom w:val="75"/>
          <w:divBdr>
            <w:top w:val="none" w:sz="0" w:space="0" w:color="auto"/>
            <w:left w:val="none" w:sz="0" w:space="0" w:color="auto"/>
            <w:bottom w:val="single" w:sz="12" w:space="0" w:color="8D8D8D"/>
            <w:right w:val="none" w:sz="0" w:space="0" w:color="auto"/>
          </w:divBdr>
          <w:divsChild>
            <w:div w:id="18484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736">
      <w:bodyDiv w:val="1"/>
      <w:marLeft w:val="0"/>
      <w:marRight w:val="0"/>
      <w:marTop w:val="0"/>
      <w:marBottom w:val="0"/>
      <w:divBdr>
        <w:top w:val="none" w:sz="0" w:space="0" w:color="auto"/>
        <w:left w:val="none" w:sz="0" w:space="0" w:color="auto"/>
        <w:bottom w:val="none" w:sz="0" w:space="0" w:color="auto"/>
        <w:right w:val="none" w:sz="0" w:space="0" w:color="auto"/>
      </w:divBdr>
    </w:div>
    <w:div w:id="1988783491">
      <w:bodyDiv w:val="1"/>
      <w:marLeft w:val="0"/>
      <w:marRight w:val="0"/>
      <w:marTop w:val="0"/>
      <w:marBottom w:val="0"/>
      <w:divBdr>
        <w:top w:val="none" w:sz="0" w:space="0" w:color="auto"/>
        <w:left w:val="none" w:sz="0" w:space="0" w:color="auto"/>
        <w:bottom w:val="none" w:sz="0" w:space="0" w:color="auto"/>
        <w:right w:val="none" w:sz="0" w:space="0" w:color="auto"/>
      </w:divBdr>
    </w:div>
    <w:div w:id="2058166044">
      <w:bodyDiv w:val="1"/>
      <w:marLeft w:val="0"/>
      <w:marRight w:val="0"/>
      <w:marTop w:val="0"/>
      <w:marBottom w:val="0"/>
      <w:divBdr>
        <w:top w:val="none" w:sz="0" w:space="0" w:color="auto"/>
        <w:left w:val="none" w:sz="0" w:space="0" w:color="auto"/>
        <w:bottom w:val="none" w:sz="0" w:space="0" w:color="auto"/>
        <w:right w:val="none" w:sz="0" w:space="0" w:color="auto"/>
      </w:divBdr>
    </w:div>
    <w:div w:id="2137869909">
      <w:bodyDiv w:val="1"/>
      <w:marLeft w:val="0"/>
      <w:marRight w:val="0"/>
      <w:marTop w:val="0"/>
      <w:marBottom w:val="0"/>
      <w:divBdr>
        <w:top w:val="none" w:sz="0" w:space="0" w:color="auto"/>
        <w:left w:val="none" w:sz="0" w:space="0" w:color="auto"/>
        <w:bottom w:val="none" w:sz="0" w:space="0" w:color="auto"/>
        <w:right w:val="none" w:sz="0" w:space="0" w:color="auto"/>
      </w:divBdr>
      <w:divsChild>
        <w:div w:id="1499078978">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51F029-D111-4817-A970-7946A641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5</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Yuzhou Wang</cp:lastModifiedBy>
  <cp:revision>443</cp:revision>
  <dcterms:created xsi:type="dcterms:W3CDTF">2023-08-31T09:21:00Z</dcterms:created>
  <dcterms:modified xsi:type="dcterms:W3CDTF">2024-09-03T15:43:00Z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