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4</w:t>
      </w:r>
      <w:r>
        <w:rPr>
          <w:sz w:val="24"/>
          <w:szCs w:val="28"/>
          <w:highlight w:val="none"/>
        </w:rPr>
        <w:t>-</w:t>
      </w:r>
      <w:r>
        <w:rPr>
          <w:rFonts w:hint="eastAsia"/>
          <w:sz w:val="24"/>
          <w:szCs w:val="28"/>
          <w:highlight w:val="none"/>
          <w:lang w:val="en-US" w:eastAsia="zh-CN"/>
        </w:rPr>
        <w:t>011</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52"/>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spacing w:before="156" w:line="242" w:lineRule="auto"/>
              <w:ind w:right="-29"/>
              <w:jc w:val="both"/>
              <w:rPr>
                <w:rFonts w:hint="default"/>
                <w:sz w:val="24"/>
                <w:lang w:val="en-US" w:eastAsia="zh-CN"/>
              </w:rPr>
            </w:pPr>
            <w:r>
              <w:rPr>
                <w:rFonts w:hint="eastAsia"/>
                <w:sz w:val="24"/>
                <w:lang w:val="en-US" w:eastAsia="zh-CN"/>
              </w:rPr>
              <w:t xml:space="preserve">   中邮电子、光大证券、招商电子、天弘基金、融通基金</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2024</w:t>
            </w:r>
            <w:r>
              <w:rPr>
                <w:sz w:val="24"/>
              </w:rPr>
              <w:t>年</w:t>
            </w:r>
            <w:r>
              <w:rPr>
                <w:rFonts w:hint="eastAsia"/>
                <w:sz w:val="24"/>
                <w:lang w:val="en-US" w:eastAsia="zh-CN"/>
              </w:rPr>
              <w:t>9</w:t>
            </w:r>
            <w:r>
              <w:rPr>
                <w:sz w:val="24"/>
              </w:rPr>
              <w:t>月</w:t>
            </w:r>
            <w:r>
              <w:rPr>
                <w:rFonts w:hint="eastAsia"/>
                <w:sz w:val="24"/>
                <w:lang w:val="en-US" w:eastAsia="zh-CN"/>
              </w:rPr>
              <w:t>2-3日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路演</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董事会秘书、财务总监：吴新元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4EF71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一、2024年上半年业绩情况</w:t>
            </w:r>
          </w:p>
          <w:p w14:paraId="32C0B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2024年上半年下游市场有所回暖，公司出货量持续增长，市场占有率继续扩大。上半年，各类芯片出货量近11亿颗，同比增长超过50%，达到2022年全年出货量水平，其中32位产品出货量近一亿颗；实现营业收入4.29亿元，同比增长近49%；实现净利润4300万元，同比增长约62%；实现扣非净利润6300万元，实现扭亏；经营性现金净流量1.26亿元。</w:t>
            </w:r>
          </w:p>
          <w:p w14:paraId="0001D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二、交流问答</w:t>
            </w:r>
          </w:p>
          <w:p w14:paraId="58865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1、请拆分一下收入结构？</w:t>
            </w:r>
          </w:p>
          <w:p w14:paraId="4E48C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答：按照产品的应用领域拆分，公司在消费电子控制领域实现营收1.8亿元，在家电控制领域实现营收1.5亿元，在工业控制（含无刷电机控制）领域实现营收0.8亿元，在汽车电子领域实现营收近0.2亿元。</w:t>
            </w:r>
          </w:p>
          <w:p w14:paraId="4350589C">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请问公司消费电子领域，具体应用和占比及变化？</w:t>
            </w:r>
          </w:p>
          <w:p w14:paraId="246D4661">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消费电子应用涵盖比较多，比如电子烟、电动牙刷、无线充、无线耳机、充电仓、测温计、测压仪、计血氧仪、血糖仪等等，无法做准确的统计。其中电子烟领域占比较大，应该有大几万的收入；另外在测量类，比如测温测压、血糖仪方面渗透率增长显著。</w:t>
            </w:r>
          </w:p>
          <w:p w14:paraId="2F3BB432">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公司无刷电机控制方面，上半年增长较快，请谈谈其快速增长的原因、主要应用领域和未来展望？</w:t>
            </w:r>
          </w:p>
          <w:p w14:paraId="491A4210">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公司在无刷电机控制方面提供最能体现一站式整体解决方案，我们提供主控、驱动、功率器件和电机控制软件算法。我们采取软件控制方式，保持电机控制的灵活性，便于客户开发个性产品，不足的是电机调试相对复杂，要求较多的技术支持。今年无刷电机控制增长主要原因是公司技术服务队伍的服务能力得到有效提升所致。目前，公司无刷电机控制主要应用在园林工具和高速风筒等方面，未来我们会向家电、汽车领域拓展。下半年，此块业务有望延续保持增长态势。</w:t>
            </w:r>
          </w:p>
          <w:p w14:paraId="2AD70103">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请问公司汽车电子布局及展望？</w:t>
            </w:r>
          </w:p>
          <w:p w14:paraId="63A375D3">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答：汽车电子是公司产品应用的重要战略发展方面，公司十分重视车规级产品的研发和市场开拓。董事会要求在汽车电子方面，只许成功不许失败，所以公司采取步步为营、稳慎推进策略。从小</w:t>
            </w:r>
            <w:bookmarkStart w:id="0" w:name="_GoBack"/>
            <w:bookmarkEnd w:id="0"/>
            <w:r>
              <w:rPr>
                <w:rFonts w:hint="eastAsia" w:cs="宋体"/>
                <w:b w:val="0"/>
                <w:bCs w:val="0"/>
                <w:sz w:val="24"/>
                <w:szCs w:val="24"/>
                <w:lang w:val="en-US" w:eastAsia="zh-CN" w:bidi="zh-CN"/>
              </w:rPr>
              <w:t>资源产品着手，向大资源产品推进，从车声控制向底盘等安全等级更高要求推进。目前车规级产品料号不断增加，产品通过tier1导入，在终端客户开发的案子越来越多，基本上与国内主要的车企均有不同程度的合作，主要应用在车身控制领域，上半年车规级产品营收1000多万元，未来会逐步起量。</w:t>
            </w:r>
          </w:p>
          <w:p w14:paraId="04221E32">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5、公司产品毛利复苏的原因及未来价格策略？</w:t>
            </w:r>
          </w:p>
          <w:p w14:paraId="41ABB438">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毛利复苏来自两方面，一是产品更新迭代，设计更有竞争力的产品所致；另一方面是产品原材料采购、代工成本下降所致。公司的价格策略会充分遵循市场规律，重市场占有率、重毛利而不重毛利率，我们会努力提供更有性价比的产品给客户。</w:t>
            </w:r>
          </w:p>
          <w:p w14:paraId="669E8C0A">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6、目前晶圆代工成本有何变化？</w:t>
            </w:r>
          </w:p>
          <w:p w14:paraId="5D687FD4">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答：从三季度开始，公司收到部分晶圆厂代工的涨价通知，晶圆代工有小幅上涨。</w:t>
            </w:r>
          </w:p>
          <w:p w14:paraId="0E46A274">
            <w:pPr>
              <w:pStyle w:val="8"/>
              <w:numPr>
                <w:ilvl w:val="0"/>
                <w:numId w:val="2"/>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请问公司对下半年的展望？</w:t>
            </w:r>
          </w:p>
          <w:p w14:paraId="2502E90A">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r>
              <w:rPr>
                <w:rFonts w:hint="eastAsia" w:cs="宋体"/>
                <w:b w:val="0"/>
                <w:bCs w:val="0"/>
                <w:sz w:val="24"/>
                <w:szCs w:val="24"/>
                <w:lang w:val="en-US" w:eastAsia="zh-CN" w:bidi="zh-CN"/>
              </w:rPr>
              <w:t>答：下半年是传统的旺季，我们期待有更好的市场需求和更好的业绩表现。</w:t>
            </w:r>
          </w:p>
          <w:p w14:paraId="19BACBC5">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818A2"/>
    <w:multiLevelType w:val="singleLevel"/>
    <w:tmpl w:val="D79818A2"/>
    <w:lvl w:ilvl="0" w:tentative="0">
      <w:start w:val="7"/>
      <w:numFmt w:val="decimal"/>
      <w:suff w:val="nothing"/>
      <w:lvlText w:val="%1、"/>
      <w:lvlJc w:val="left"/>
    </w:lvl>
  </w:abstractNum>
  <w:abstractNum w:abstractNumId="1">
    <w:nsid w:val="4FD48B96"/>
    <w:multiLevelType w:val="singleLevel"/>
    <w:tmpl w:val="4FD48B9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0FD233D"/>
    <w:rsid w:val="049B5140"/>
    <w:rsid w:val="062260D2"/>
    <w:rsid w:val="06B7310D"/>
    <w:rsid w:val="0BCE5827"/>
    <w:rsid w:val="0E561013"/>
    <w:rsid w:val="0E842633"/>
    <w:rsid w:val="103109BE"/>
    <w:rsid w:val="10CC52F7"/>
    <w:rsid w:val="140D0007"/>
    <w:rsid w:val="144018FC"/>
    <w:rsid w:val="1BA42A8E"/>
    <w:rsid w:val="1E491273"/>
    <w:rsid w:val="1E6B5B60"/>
    <w:rsid w:val="204505AD"/>
    <w:rsid w:val="20E85DAE"/>
    <w:rsid w:val="23EE6D8C"/>
    <w:rsid w:val="24E24D18"/>
    <w:rsid w:val="24EC5A02"/>
    <w:rsid w:val="26CB631A"/>
    <w:rsid w:val="275135B6"/>
    <w:rsid w:val="296C29CE"/>
    <w:rsid w:val="2D600F4C"/>
    <w:rsid w:val="2E567099"/>
    <w:rsid w:val="2ED94800"/>
    <w:rsid w:val="302C44F1"/>
    <w:rsid w:val="32954240"/>
    <w:rsid w:val="337066A2"/>
    <w:rsid w:val="33CF2630"/>
    <w:rsid w:val="36CF10AF"/>
    <w:rsid w:val="37B625EF"/>
    <w:rsid w:val="380A05F1"/>
    <w:rsid w:val="39F5707E"/>
    <w:rsid w:val="3A0A3E69"/>
    <w:rsid w:val="3B073DC4"/>
    <w:rsid w:val="3CC11A84"/>
    <w:rsid w:val="402D334F"/>
    <w:rsid w:val="417A669A"/>
    <w:rsid w:val="42417305"/>
    <w:rsid w:val="437368FD"/>
    <w:rsid w:val="44E37ACA"/>
    <w:rsid w:val="46DB063D"/>
    <w:rsid w:val="4F3A3B86"/>
    <w:rsid w:val="51CD61A5"/>
    <w:rsid w:val="58B36C53"/>
    <w:rsid w:val="58B91A1A"/>
    <w:rsid w:val="5BFF6D06"/>
    <w:rsid w:val="5E056C86"/>
    <w:rsid w:val="645218B2"/>
    <w:rsid w:val="64E10284"/>
    <w:rsid w:val="65864EAB"/>
    <w:rsid w:val="65AC0BA1"/>
    <w:rsid w:val="684E7F52"/>
    <w:rsid w:val="6860573C"/>
    <w:rsid w:val="69007D35"/>
    <w:rsid w:val="6A8F2D01"/>
    <w:rsid w:val="6AA221E0"/>
    <w:rsid w:val="6AFE35FB"/>
    <w:rsid w:val="6BF33738"/>
    <w:rsid w:val="6C060AF4"/>
    <w:rsid w:val="6E5114E1"/>
    <w:rsid w:val="6F441EB0"/>
    <w:rsid w:val="6F8659FF"/>
    <w:rsid w:val="70852816"/>
    <w:rsid w:val="73187DD2"/>
    <w:rsid w:val="78471C35"/>
    <w:rsid w:val="79213DD0"/>
    <w:rsid w:val="7A117945"/>
    <w:rsid w:val="7BC17493"/>
    <w:rsid w:val="7D2045FF"/>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1283</Words>
  <Characters>1343</Characters>
  <TotalTime>51</TotalTime>
  <ScaleCrop>false</ScaleCrop>
  <LinksUpToDate>false</LinksUpToDate>
  <CharactersWithSpaces>1559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Zhaoyj</cp:lastModifiedBy>
  <cp:lastPrinted>2022-09-29T09:35:00Z</cp:lastPrinted>
  <dcterms:modified xsi:type="dcterms:W3CDTF">2024-09-04T05:31:30Z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2052-12.1.0.17827</vt:lpwstr>
  </property>
  <property fmtid="{D5CDD505-2E9C-101B-9397-08002B2CF9AE}" pid="6" name="ICV">
    <vt:lpwstr>4330441B438E4912A008FCE597CC5766_13</vt:lpwstr>
  </property>
</Properties>
</file>