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F7F93">
      <w:pPr>
        <w:keepNext/>
        <w:keepLines/>
        <w:spacing w:before="260" w:after="260" w:line="360" w:lineRule="auto"/>
        <w:outlineLvl w:val="1"/>
        <w:rPr>
          <w:rFonts w:hint="eastAsia" w:ascii="宋体" w:hAnsi="宋体"/>
          <w:b/>
          <w:bCs/>
          <w:iCs/>
          <w:sz w:val="24"/>
          <w:szCs w:val="24"/>
        </w:rPr>
      </w:pPr>
      <w:r>
        <w:rPr>
          <w:rFonts w:hint="eastAsia" w:ascii="宋体" w:hAnsi="宋体"/>
          <w:b/>
          <w:bCs/>
          <w:iCs/>
          <w:sz w:val="24"/>
          <w:szCs w:val="24"/>
        </w:rPr>
        <w:t>证券代码：688621                                证券简称：阳光诺和</w:t>
      </w:r>
    </w:p>
    <w:p w14:paraId="193C9A26">
      <w:pPr>
        <w:keepNext/>
        <w:keepLines/>
        <w:spacing w:before="20" w:after="20"/>
        <w:jc w:val="center"/>
        <w:outlineLvl w:val="1"/>
        <w:rPr>
          <w:rFonts w:hint="eastAsia" w:ascii="宋体" w:hAnsi="宋体"/>
          <w:b/>
          <w:bCs/>
          <w:sz w:val="36"/>
          <w:szCs w:val="36"/>
        </w:rPr>
      </w:pPr>
      <w:r>
        <w:rPr>
          <w:rFonts w:hint="eastAsia" w:ascii="宋体" w:hAnsi="宋体"/>
          <w:b/>
          <w:sz w:val="36"/>
          <w:szCs w:val="36"/>
        </w:rPr>
        <w:t>北京阳光诺和药物研究</w:t>
      </w:r>
      <w:r>
        <w:rPr>
          <w:rFonts w:hint="eastAsia" w:ascii="宋体" w:hAnsi="宋体"/>
          <w:b/>
          <w:bCs/>
          <w:sz w:val="36"/>
          <w:szCs w:val="36"/>
        </w:rPr>
        <w:t>股份有限公司</w:t>
      </w:r>
    </w:p>
    <w:p w14:paraId="1DE76FD4">
      <w:pPr>
        <w:keepNext/>
        <w:keepLines/>
        <w:spacing w:before="20" w:after="20"/>
        <w:jc w:val="center"/>
        <w:outlineLvl w:val="1"/>
        <w:rPr>
          <w:rFonts w:ascii="宋体" w:hAnsi="宋体"/>
          <w:b/>
          <w:bCs/>
          <w:sz w:val="36"/>
          <w:szCs w:val="36"/>
        </w:rPr>
      </w:pPr>
      <w:r>
        <w:rPr>
          <w:rFonts w:hint="eastAsia" w:ascii="宋体" w:hAnsi="宋体"/>
          <w:b/>
          <w:bCs/>
          <w:sz w:val="36"/>
          <w:szCs w:val="36"/>
        </w:rPr>
        <w:t>投资者关系活动记录表</w:t>
      </w:r>
    </w:p>
    <w:p w14:paraId="1D3EAABF">
      <w:pPr>
        <w:spacing w:line="360" w:lineRule="auto"/>
        <w:jc w:val="center"/>
        <w:rPr>
          <w:rFonts w:ascii="宋体" w:hAnsi="宋体"/>
          <w:b/>
          <w:iCs/>
          <w:sz w:val="24"/>
          <w:szCs w:val="24"/>
        </w:rPr>
      </w:pPr>
      <w:r>
        <w:rPr>
          <w:rFonts w:hint="eastAsia" w:ascii="宋体" w:hAnsi="宋体"/>
          <w:b/>
          <w:iCs/>
          <w:sz w:val="24"/>
          <w:szCs w:val="24"/>
        </w:rPr>
        <w:t>（20</w:t>
      </w:r>
      <w:r>
        <w:rPr>
          <w:rFonts w:ascii="宋体" w:hAnsi="宋体"/>
          <w:b/>
          <w:iCs/>
          <w:sz w:val="24"/>
          <w:szCs w:val="24"/>
        </w:rPr>
        <w:t>2</w:t>
      </w:r>
      <w:r>
        <w:rPr>
          <w:rFonts w:hint="eastAsia" w:ascii="宋体" w:hAnsi="宋体"/>
          <w:b/>
          <w:iCs/>
          <w:sz w:val="24"/>
          <w:szCs w:val="24"/>
          <w:lang w:val="en-US" w:eastAsia="zh-CN"/>
        </w:rPr>
        <w:t>4</w:t>
      </w:r>
      <w:r>
        <w:rPr>
          <w:rFonts w:hint="eastAsia" w:ascii="宋体" w:hAnsi="宋体"/>
          <w:b/>
          <w:iCs/>
          <w:sz w:val="24"/>
          <w:szCs w:val="24"/>
        </w:rPr>
        <w:t>年</w:t>
      </w:r>
      <w:r>
        <w:rPr>
          <w:rFonts w:hint="eastAsia" w:ascii="宋体" w:hAnsi="宋体"/>
          <w:b/>
          <w:iCs/>
          <w:sz w:val="24"/>
          <w:szCs w:val="24"/>
          <w:lang w:val="en-US" w:eastAsia="zh-CN"/>
        </w:rPr>
        <w:t>9</w:t>
      </w:r>
      <w:r>
        <w:rPr>
          <w:rFonts w:hint="eastAsia" w:ascii="宋体" w:hAnsi="宋体"/>
          <w:b/>
          <w:iCs/>
          <w:sz w:val="24"/>
          <w:szCs w:val="24"/>
        </w:rPr>
        <w:t>月）</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203"/>
      </w:tblGrid>
      <w:tr w14:paraId="2F97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3" w:type="dxa"/>
            <w:noWrap w:val="0"/>
            <w:vAlign w:val="center"/>
          </w:tcPr>
          <w:p w14:paraId="199D38DD">
            <w:pPr>
              <w:spacing w:line="360" w:lineRule="auto"/>
              <w:jc w:val="center"/>
              <w:rPr>
                <w:rFonts w:ascii="宋体" w:hAnsi="宋体"/>
                <w:b/>
                <w:bCs/>
                <w:iCs/>
                <w:sz w:val="24"/>
                <w:szCs w:val="24"/>
              </w:rPr>
            </w:pPr>
            <w:r>
              <w:rPr>
                <w:rFonts w:hint="eastAsia" w:ascii="宋体" w:hAnsi="宋体"/>
                <w:b/>
                <w:bCs/>
                <w:iCs/>
                <w:sz w:val="24"/>
                <w:szCs w:val="24"/>
              </w:rPr>
              <w:t>投资者关系活动类别</w:t>
            </w:r>
          </w:p>
        </w:tc>
        <w:tc>
          <w:tcPr>
            <w:tcW w:w="6203" w:type="dxa"/>
            <w:noWrap w:val="0"/>
            <w:vAlign w:val="center"/>
          </w:tcPr>
          <w:p w14:paraId="4936C92A">
            <w:pPr>
              <w:spacing w:line="360" w:lineRule="auto"/>
              <w:rPr>
                <w:rFonts w:ascii="宋体" w:hAnsi="宋体"/>
                <w:bCs/>
                <w:iCs/>
                <w:sz w:val="24"/>
                <w:szCs w:val="24"/>
              </w:rPr>
            </w:pPr>
            <w:r>
              <w:rPr>
                <w:rFonts w:hint="eastAsia" w:ascii="宋体" w:hAnsi="宋体"/>
                <w:bCs/>
                <w:iCs/>
                <w:sz w:val="24"/>
                <w:szCs w:val="24"/>
              </w:rPr>
              <w:sym w:font="Wingdings 2" w:char="0052"/>
            </w:r>
            <w:r>
              <w:rPr>
                <w:rFonts w:hint="eastAsia" w:ascii="宋体" w:hAnsi="宋体"/>
                <w:sz w:val="24"/>
                <w:szCs w:val="24"/>
              </w:rPr>
              <w:t xml:space="preserve">特定对象调研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bCs/>
                <w:iCs/>
                <w:sz w:val="24"/>
                <w:szCs w:val="24"/>
              </w:rPr>
              <w:sym w:font="Wingdings 2" w:char="00A3"/>
            </w:r>
            <w:r>
              <w:rPr>
                <w:rFonts w:hint="eastAsia" w:ascii="宋体" w:hAnsi="宋体"/>
                <w:sz w:val="24"/>
                <w:szCs w:val="24"/>
              </w:rPr>
              <w:t>分析师会议</w:t>
            </w:r>
          </w:p>
          <w:p w14:paraId="39B80EF3">
            <w:pPr>
              <w:spacing w:line="360" w:lineRule="auto"/>
              <w:rPr>
                <w:rFonts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sym w:font="Wingdings 2" w:char="00A3"/>
            </w:r>
            <w:r>
              <w:rPr>
                <w:rFonts w:hint="eastAsia" w:ascii="宋体" w:hAnsi="宋体"/>
                <w:sz w:val="24"/>
                <w:szCs w:val="24"/>
              </w:rPr>
              <w:t>业绩说明会</w:t>
            </w:r>
          </w:p>
          <w:p w14:paraId="7EBD013F">
            <w:pPr>
              <w:spacing w:line="360" w:lineRule="auto"/>
              <w:rPr>
                <w:rFonts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51719483">
            <w:pPr>
              <w:tabs>
                <w:tab w:val="left" w:pos="3045"/>
                <w:tab w:val="center" w:pos="3199"/>
              </w:tabs>
              <w:spacing w:line="360" w:lineRule="auto"/>
              <w:rPr>
                <w:rFonts w:ascii="宋体" w:hAnsi="宋体"/>
                <w:bCs/>
                <w:iCs/>
                <w:sz w:val="24"/>
                <w:szCs w:val="24"/>
              </w:rPr>
            </w:pPr>
            <w:r>
              <w:rPr>
                <w:rFonts w:hint="eastAsia" w:ascii="宋体" w:hAnsi="宋体"/>
                <w:bCs/>
                <w:iCs/>
                <w:sz w:val="24"/>
                <w:szCs w:val="24"/>
              </w:rPr>
              <w:sym w:font="Wingdings 2" w:char="F0A3"/>
            </w:r>
            <w:r>
              <w:rPr>
                <w:rFonts w:hint="eastAsia" w:ascii="宋体" w:hAnsi="宋体"/>
                <w:sz w:val="24"/>
                <w:szCs w:val="24"/>
              </w:rPr>
              <w:t>现场参观</w:t>
            </w:r>
            <w:r>
              <w:rPr>
                <w:rFonts w:ascii="宋体" w:hAnsi="宋体"/>
                <w:bCs/>
                <w:iCs/>
                <w:sz w:val="24"/>
                <w:szCs w:val="24"/>
              </w:rPr>
              <w:tab/>
            </w:r>
          </w:p>
          <w:p w14:paraId="232496E4">
            <w:pPr>
              <w:tabs>
                <w:tab w:val="center" w:pos="3199"/>
              </w:tabs>
              <w:spacing w:line="360" w:lineRule="auto"/>
              <w:rPr>
                <w:rFonts w:hint="eastAsia" w:ascii="宋体" w:hAnsi="宋体"/>
                <w:bCs/>
                <w:iCs/>
                <w:sz w:val="24"/>
                <w:szCs w:val="24"/>
              </w:rPr>
            </w:pPr>
            <w:r>
              <w:rPr>
                <w:rFonts w:hint="eastAsia" w:ascii="宋体" w:hAnsi="宋体"/>
                <w:bCs/>
                <w:iCs/>
                <w:sz w:val="24"/>
                <w:szCs w:val="24"/>
              </w:rPr>
              <w:sym w:font="Wingdings 2" w:char="00A3"/>
            </w:r>
            <w:r>
              <w:rPr>
                <w:rFonts w:hint="eastAsia" w:ascii="宋体" w:hAnsi="宋体"/>
                <w:sz w:val="24"/>
                <w:szCs w:val="24"/>
              </w:rPr>
              <w:t>其他（电话会议）</w:t>
            </w:r>
          </w:p>
        </w:tc>
      </w:tr>
      <w:tr w14:paraId="622A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72B2D1EE">
            <w:pPr>
              <w:spacing w:line="360" w:lineRule="auto"/>
              <w:jc w:val="center"/>
              <w:rPr>
                <w:rFonts w:hint="eastAsia" w:ascii="宋体" w:hAnsi="宋体"/>
                <w:b/>
                <w:bCs/>
                <w:iCs/>
                <w:sz w:val="24"/>
                <w:szCs w:val="24"/>
              </w:rPr>
            </w:pPr>
            <w:r>
              <w:rPr>
                <w:rFonts w:hint="eastAsia" w:ascii="宋体" w:hAnsi="宋体"/>
                <w:b/>
                <w:bCs/>
                <w:iCs/>
                <w:sz w:val="24"/>
                <w:szCs w:val="24"/>
              </w:rPr>
              <w:t>参与单位名称</w:t>
            </w:r>
          </w:p>
        </w:tc>
        <w:tc>
          <w:tcPr>
            <w:tcW w:w="6203" w:type="dxa"/>
            <w:noWrap w:val="0"/>
            <w:vAlign w:val="top"/>
          </w:tcPr>
          <w:p w14:paraId="7CE61A69">
            <w:pPr>
              <w:spacing w:line="360" w:lineRule="auto"/>
              <w:rPr>
                <w:rFonts w:hint="default" w:ascii="宋体" w:hAnsi="宋体" w:cs="宋体"/>
                <w:sz w:val="24"/>
                <w:szCs w:val="24"/>
                <w:lang w:val="en-US" w:eastAsia="zh-CN"/>
              </w:rPr>
            </w:pPr>
            <w:r>
              <w:rPr>
                <w:rFonts w:hint="eastAsia" w:ascii="宋体" w:hAnsi="宋体" w:cs="宋体"/>
                <w:bCs w:val="0"/>
                <w:iCs w:val="0"/>
                <w:sz w:val="24"/>
                <w:szCs w:val="24"/>
                <w:lang w:val="en-US" w:eastAsia="zh-CN"/>
              </w:rPr>
              <w:t>华泰保险资产、国海富兰克林、国海证券</w:t>
            </w:r>
          </w:p>
        </w:tc>
      </w:tr>
      <w:tr w14:paraId="63BC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1A8094E6">
            <w:pPr>
              <w:spacing w:line="360" w:lineRule="auto"/>
              <w:jc w:val="center"/>
              <w:rPr>
                <w:rFonts w:ascii="宋体" w:hAnsi="宋体"/>
                <w:b/>
                <w:bCs/>
                <w:iCs/>
                <w:sz w:val="24"/>
                <w:szCs w:val="24"/>
              </w:rPr>
            </w:pPr>
            <w:r>
              <w:rPr>
                <w:rFonts w:hint="eastAsia" w:ascii="宋体" w:hAnsi="宋体"/>
                <w:b/>
                <w:bCs/>
                <w:iCs/>
                <w:sz w:val="24"/>
                <w:szCs w:val="24"/>
              </w:rPr>
              <w:t>时间</w:t>
            </w:r>
          </w:p>
        </w:tc>
        <w:tc>
          <w:tcPr>
            <w:tcW w:w="6203" w:type="dxa"/>
            <w:noWrap w:val="0"/>
            <w:vAlign w:val="top"/>
          </w:tcPr>
          <w:p w14:paraId="326BC5A2">
            <w:pPr>
              <w:spacing w:line="360" w:lineRule="auto"/>
              <w:rPr>
                <w:rFonts w:hint="default" w:ascii="宋体" w:hAnsi="宋体" w:eastAsia="宋体"/>
                <w:bCs/>
                <w:iCs/>
                <w:sz w:val="24"/>
                <w:szCs w:val="24"/>
                <w:lang w:val="en-US" w:eastAsia="zh-CN"/>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4</w:t>
            </w:r>
            <w:r>
              <w:rPr>
                <w:rFonts w:hint="eastAsia" w:ascii="宋体" w:hAnsi="宋体"/>
                <w:bCs/>
                <w:iCs/>
                <w:sz w:val="24"/>
                <w:szCs w:val="24"/>
              </w:rPr>
              <w:t>年</w:t>
            </w:r>
            <w:r>
              <w:rPr>
                <w:rFonts w:hint="eastAsia" w:ascii="宋体" w:hAnsi="宋体"/>
                <w:bCs/>
                <w:iCs/>
                <w:sz w:val="24"/>
                <w:szCs w:val="24"/>
                <w:lang w:val="en-US" w:eastAsia="zh-CN"/>
              </w:rPr>
              <w:t>9</w:t>
            </w:r>
            <w:r>
              <w:rPr>
                <w:rFonts w:hint="eastAsia" w:ascii="宋体" w:hAnsi="宋体"/>
                <w:bCs/>
                <w:iCs/>
                <w:sz w:val="24"/>
                <w:szCs w:val="24"/>
              </w:rPr>
              <w:t>月</w:t>
            </w:r>
            <w:r>
              <w:rPr>
                <w:rFonts w:hint="eastAsia" w:ascii="宋体" w:hAnsi="宋体"/>
                <w:bCs/>
                <w:iCs/>
                <w:sz w:val="24"/>
                <w:szCs w:val="24"/>
                <w:lang w:val="en-US" w:eastAsia="zh-CN"/>
              </w:rPr>
              <w:t>2</w:t>
            </w:r>
            <w:r>
              <w:rPr>
                <w:rFonts w:hint="eastAsia" w:ascii="宋体" w:hAnsi="宋体"/>
                <w:bCs/>
                <w:iCs/>
                <w:sz w:val="24"/>
                <w:szCs w:val="24"/>
              </w:rPr>
              <w:t>日</w:t>
            </w:r>
          </w:p>
        </w:tc>
      </w:tr>
      <w:tr w14:paraId="2448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3FEB7A8D">
            <w:pPr>
              <w:spacing w:line="360" w:lineRule="auto"/>
              <w:jc w:val="center"/>
              <w:rPr>
                <w:rFonts w:ascii="宋体" w:hAnsi="宋体"/>
                <w:b/>
                <w:bCs/>
                <w:iCs/>
                <w:sz w:val="24"/>
                <w:szCs w:val="24"/>
              </w:rPr>
            </w:pPr>
            <w:r>
              <w:rPr>
                <w:rFonts w:hint="eastAsia" w:ascii="宋体" w:hAnsi="宋体"/>
                <w:b/>
                <w:bCs/>
                <w:iCs/>
                <w:sz w:val="24"/>
                <w:szCs w:val="24"/>
              </w:rPr>
              <w:t>参会方式</w:t>
            </w:r>
          </w:p>
        </w:tc>
        <w:tc>
          <w:tcPr>
            <w:tcW w:w="6203" w:type="dxa"/>
            <w:noWrap w:val="0"/>
            <w:vAlign w:val="top"/>
          </w:tcPr>
          <w:p w14:paraId="4C5F5090">
            <w:pPr>
              <w:spacing w:line="360" w:lineRule="auto"/>
              <w:rPr>
                <w:rFonts w:hint="default" w:ascii="宋体" w:hAnsi="宋体" w:eastAsia="宋体"/>
                <w:bCs/>
                <w:iCs/>
                <w:sz w:val="24"/>
                <w:szCs w:val="24"/>
                <w:lang w:val="en-US" w:eastAsia="zh-CN"/>
              </w:rPr>
            </w:pPr>
            <w:r>
              <w:rPr>
                <w:rFonts w:hint="eastAsia" w:ascii="宋体" w:hAnsi="宋体"/>
                <w:bCs/>
                <w:iCs/>
                <w:sz w:val="24"/>
                <w:szCs w:val="24"/>
                <w:lang w:val="en-US" w:eastAsia="zh-CN"/>
              </w:rPr>
              <w:t>线上会议</w:t>
            </w:r>
          </w:p>
        </w:tc>
      </w:tr>
      <w:tr w14:paraId="2200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25249036">
            <w:pPr>
              <w:spacing w:line="360" w:lineRule="auto"/>
              <w:jc w:val="center"/>
              <w:rPr>
                <w:rFonts w:hint="eastAsia" w:ascii="宋体" w:hAnsi="宋体"/>
                <w:b/>
                <w:bCs/>
                <w:iCs/>
                <w:sz w:val="24"/>
                <w:szCs w:val="24"/>
              </w:rPr>
            </w:pPr>
            <w:r>
              <w:rPr>
                <w:rFonts w:hint="eastAsia" w:ascii="宋体" w:hAnsi="宋体"/>
                <w:b/>
                <w:bCs/>
                <w:iCs/>
                <w:sz w:val="24"/>
                <w:szCs w:val="24"/>
              </w:rPr>
              <w:t>上市公司接待人员姓名</w:t>
            </w:r>
          </w:p>
        </w:tc>
        <w:tc>
          <w:tcPr>
            <w:tcW w:w="6203" w:type="dxa"/>
            <w:noWrap w:val="0"/>
            <w:vAlign w:val="center"/>
          </w:tcPr>
          <w:p w14:paraId="64ED8782">
            <w:pPr>
              <w:spacing w:line="360" w:lineRule="auto"/>
              <w:rPr>
                <w:rFonts w:hint="default" w:ascii="宋体" w:hAnsi="宋体"/>
                <w:bCs/>
                <w:iCs/>
                <w:sz w:val="24"/>
                <w:szCs w:val="24"/>
                <w:lang w:val="en-US" w:eastAsia="zh-CN"/>
              </w:rPr>
            </w:pPr>
            <w:r>
              <w:rPr>
                <w:rFonts w:hint="eastAsia" w:ascii="宋体" w:hAnsi="宋体"/>
                <w:bCs/>
                <w:iCs/>
                <w:sz w:val="24"/>
                <w:szCs w:val="24"/>
                <w:lang w:val="en-US" w:eastAsia="zh-CN"/>
              </w:rPr>
              <w:t>董事长：利虔先生</w:t>
            </w:r>
          </w:p>
          <w:p w14:paraId="4AA6AA19">
            <w:pPr>
              <w:spacing w:line="360" w:lineRule="auto"/>
              <w:rPr>
                <w:rFonts w:hint="default" w:ascii="宋体" w:hAnsi="宋体"/>
                <w:bCs/>
                <w:iCs/>
                <w:sz w:val="24"/>
                <w:szCs w:val="24"/>
                <w:lang w:val="en-US" w:eastAsia="zh-CN"/>
              </w:rPr>
            </w:pPr>
            <w:r>
              <w:rPr>
                <w:rFonts w:hint="eastAsia" w:ascii="宋体" w:hAnsi="宋体"/>
                <w:bCs/>
                <w:iCs/>
                <w:sz w:val="24"/>
                <w:szCs w:val="24"/>
                <w:lang w:val="en-US" w:eastAsia="zh-CN"/>
              </w:rPr>
              <w:t>证券事务代表：魏丽萍女士</w:t>
            </w:r>
          </w:p>
        </w:tc>
      </w:tr>
      <w:tr w14:paraId="276D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0394FAC4">
            <w:pPr>
              <w:spacing w:line="360" w:lineRule="auto"/>
              <w:jc w:val="center"/>
              <w:rPr>
                <w:rFonts w:ascii="宋体" w:hAnsi="宋体"/>
                <w:b/>
                <w:bCs/>
                <w:iCs/>
                <w:sz w:val="24"/>
                <w:szCs w:val="24"/>
              </w:rPr>
            </w:pPr>
            <w:r>
              <w:rPr>
                <w:rFonts w:hint="eastAsia" w:ascii="宋体" w:hAnsi="宋体"/>
                <w:b/>
                <w:bCs/>
                <w:iCs/>
                <w:sz w:val="24"/>
                <w:szCs w:val="24"/>
              </w:rPr>
              <w:t>投资者关系活动主要内容介绍</w:t>
            </w:r>
          </w:p>
        </w:tc>
        <w:tc>
          <w:tcPr>
            <w:tcW w:w="6203" w:type="dxa"/>
            <w:noWrap w:val="0"/>
            <w:vAlign w:val="top"/>
          </w:tcPr>
          <w:p w14:paraId="4D36C545">
            <w:pPr>
              <w:numPr>
                <w:ilvl w:val="-1"/>
                <w:numId w:val="0"/>
              </w:numPr>
              <w:spacing w:before="156" w:beforeLines="50" w:line="360" w:lineRule="auto"/>
              <w:ind w:firstLine="480" w:firstLineChars="200"/>
              <w:rPr>
                <w:rFonts w:hint="eastAsia" w:ascii="Times New Roman" w:hAnsi="Times New Roman"/>
                <w:b w:val="0"/>
                <w:iCs w:val="0"/>
                <w:sz w:val="24"/>
                <w:szCs w:val="20"/>
                <w:highlight w:val="none"/>
              </w:rPr>
            </w:pPr>
            <w:r>
              <w:rPr>
                <w:rFonts w:hint="eastAsia" w:ascii="Times New Roman" w:hAnsi="Times New Roman"/>
                <w:b w:val="0"/>
                <w:iCs w:val="0"/>
                <w:sz w:val="24"/>
                <w:szCs w:val="20"/>
                <w:highlight w:val="none"/>
                <w:lang w:val="en-US" w:eastAsia="zh-CN"/>
              </w:rPr>
              <w:t>一、</w:t>
            </w:r>
            <w:r>
              <w:rPr>
                <w:rFonts w:hint="eastAsia" w:ascii="Times New Roman" w:hAnsi="Times New Roman"/>
                <w:b w:val="0"/>
                <w:iCs w:val="0"/>
                <w:sz w:val="24"/>
                <w:szCs w:val="20"/>
                <w:highlight w:val="none"/>
              </w:rPr>
              <w:t>公司介绍环节</w:t>
            </w:r>
          </w:p>
          <w:p w14:paraId="7C9D2B36">
            <w:pPr>
              <w:keepNext w:val="0"/>
              <w:keepLines w:val="0"/>
              <w:numPr>
                <w:ilvl w:val="-1"/>
                <w:numId w:val="0"/>
              </w:numPr>
              <w:suppressLineNumbers w:val="0"/>
              <w:spacing w:before="156" w:beforeLines="50" w:beforeAutospacing="0" w:after="0" w:afterLines="-2147483648" w:afterAutospacing="0" w:line="360" w:lineRule="auto"/>
              <w:ind w:left="0" w:right="0" w:firstLine="480" w:firstLineChars="200"/>
              <w:rPr>
                <w:rFonts w:hint="eastAsia" w:ascii="Times New Roman" w:hAnsi="Times New Roman" w:cs="Times New Roman"/>
                <w:kern w:val="2"/>
                <w:sz w:val="24"/>
                <w:highlight w:val="none"/>
              </w:rPr>
            </w:pPr>
            <w:r>
              <w:rPr>
                <w:rFonts w:hint="eastAsia" w:ascii="Times New Roman" w:hAnsi="Times New Roman" w:cs="Times New Roman"/>
                <w:kern w:val="2"/>
                <w:sz w:val="24"/>
                <w:highlight w:val="none"/>
              </w:rPr>
              <w:t>公司是一家专业的药物临床前及临床综合研发服务 CRO，为国内医药企业和科研机构提供全方位的一站式药物研发服务，致力于协助国内医药制造企业加速实现进口替代和自主创新。服务内容主要包括药物发现、药理药效、药学研究、临床研究和生物分析。</w:t>
            </w:r>
          </w:p>
          <w:p w14:paraId="4856D602">
            <w:pPr>
              <w:keepNext w:val="0"/>
              <w:keepLines w:val="0"/>
              <w:numPr>
                <w:ilvl w:val="-1"/>
                <w:numId w:val="0"/>
              </w:numPr>
              <w:suppressLineNumbers w:val="0"/>
              <w:spacing w:before="156" w:beforeLines="50" w:beforeAutospacing="0" w:after="0" w:afterLines="-2147483648" w:afterAutospacing="0" w:line="360" w:lineRule="auto"/>
              <w:ind w:left="0" w:right="0" w:firstLine="480" w:firstLineChars="200"/>
              <w:rPr>
                <w:rFonts w:hint="eastAsia" w:ascii="Times New Roman" w:hAnsi="Times New Roman" w:cs="Times New Roman"/>
                <w:kern w:val="2"/>
                <w:sz w:val="24"/>
                <w:highlight w:val="none"/>
              </w:rPr>
            </w:pPr>
            <w:r>
              <w:rPr>
                <w:rFonts w:hint="eastAsia" w:ascii="Times New Roman" w:hAnsi="Times New Roman" w:cs="Times New Roman"/>
                <w:kern w:val="2"/>
                <w:sz w:val="24"/>
                <w:highlight w:val="none"/>
              </w:rPr>
              <w:t>公司2024年1-6月实现营业收入5.63亿元，同比增长22.08%，实现归属于上市公司股东的净利润和归属于上市公司股东的扣除非经常性损益的净利润分别为1.49亿元和1.43亿元，同比增长分别为25.91%和24.49%，基本每股收益为1.33元/股，同比增长26.67%。业务结构方面，药学研究服务，实现营业收入34,285.14万元，同比增长8.29%；临床试验、生物分析及药理药效服务实现营业收入21,655.10万元，同比增长50.28%。权益分成服务实现营业收入333.91万元，同比增长100.00%。</w:t>
            </w:r>
          </w:p>
          <w:p w14:paraId="6E05F572">
            <w:pPr>
              <w:keepNext w:val="0"/>
              <w:keepLines w:val="0"/>
              <w:numPr>
                <w:ilvl w:val="-1"/>
                <w:numId w:val="0"/>
              </w:numPr>
              <w:suppressLineNumbers w:val="0"/>
              <w:spacing w:before="156" w:beforeLines="50" w:beforeAutospacing="0" w:after="0" w:afterLines="-2147483648" w:afterAutospacing="0" w:line="360" w:lineRule="auto"/>
              <w:ind w:left="0" w:right="0" w:firstLine="480" w:firstLineChars="200"/>
              <w:rPr>
                <w:rFonts w:hint="eastAsia" w:ascii="Times New Roman" w:hAnsi="Times New Roman" w:cs="Times New Roman"/>
                <w:kern w:val="2"/>
                <w:sz w:val="24"/>
                <w:highlight w:val="none"/>
              </w:rPr>
            </w:pPr>
            <w:r>
              <w:rPr>
                <w:rFonts w:hint="eastAsia" w:ascii="Times New Roman" w:hAnsi="Times New Roman" w:cs="Times New Roman"/>
                <w:kern w:val="2"/>
                <w:sz w:val="24"/>
                <w:highlight w:val="none"/>
              </w:rPr>
              <w:t>目前公司在创新药方面聚焦于多肽类和小核酸类药物的研发，研发标的的来源多为自主立项。截止2024上半年，控股子公司诺和晟泰在研创新药项目“STC007注射液”已经进入临床二期，其主要适应症为治疗接受血液透析（HD）的成人慢性肾脏疾病相关的中至重度瘙痒（CKD-aP）及治疗术后疼痛，“STC008注射液”已获得临床试验许可，其主要适应症为治疗晚期实体瘤的肿瘤恶液质。</w:t>
            </w:r>
          </w:p>
          <w:p w14:paraId="224EE4E9">
            <w:pPr>
              <w:keepNext w:val="0"/>
              <w:keepLines w:val="0"/>
              <w:numPr>
                <w:ilvl w:val="-1"/>
                <w:numId w:val="0"/>
              </w:numPr>
              <w:suppressLineNumbers w:val="0"/>
              <w:spacing w:before="156" w:beforeLines="50" w:beforeAutospacing="0" w:after="0" w:afterLines="-2147483648" w:afterAutospacing="0" w:line="360" w:lineRule="auto"/>
              <w:ind w:left="0" w:right="0" w:firstLine="480" w:firstLineChars="200"/>
              <w:rPr>
                <w:rFonts w:hint="eastAsia" w:ascii="Times New Roman" w:hAnsi="Times New Roman" w:cs="Times New Roman"/>
                <w:kern w:val="2"/>
                <w:sz w:val="24"/>
                <w:highlight w:val="none"/>
              </w:rPr>
            </w:pPr>
            <w:r>
              <w:rPr>
                <w:rFonts w:hint="eastAsia" w:ascii="Times New Roman" w:hAnsi="Times New Roman" w:cs="Times New Roman"/>
                <w:kern w:val="2"/>
                <w:sz w:val="24"/>
                <w:highlight w:val="none"/>
              </w:rPr>
              <w:t>截止2024上半年，公司参与研发和自主立项研发的项目中，共8项新药项目已通过NMPA批准进入临床试验，70项药品申报上市注册受理，8项一致性评价注册受理；取得39项药品生产注册批件；7项通过一致性评价；6项原料药通过审评获批。</w:t>
            </w:r>
          </w:p>
          <w:p w14:paraId="7B947842">
            <w:pPr>
              <w:numPr>
                <w:ilvl w:val="-1"/>
                <w:numId w:val="0"/>
              </w:numPr>
              <w:spacing w:before="156" w:beforeLines="50" w:line="360" w:lineRule="auto"/>
              <w:ind w:firstLine="480" w:firstLineChars="200"/>
              <w:rPr>
                <w:rFonts w:hint="default"/>
                <w:kern w:val="0"/>
                <w:sz w:val="24"/>
                <w:szCs w:val="20"/>
              </w:rPr>
            </w:pPr>
            <w:r>
              <w:rPr>
                <w:rFonts w:hint="eastAsia" w:ascii="Times New Roman" w:hAnsi="Times New Roman" w:cs="Times New Roman"/>
                <w:kern w:val="2"/>
                <w:sz w:val="24"/>
                <w:highlight w:val="none"/>
              </w:rPr>
              <w:t>公司规模逐渐扩大，研发人员团队持续增长。公司目前在北京、上海、南京、无锡、成都、武汉均有子公司覆盖，共计拥有3.79万平方米的研发实验室。公司员工1,394人，其中研发人员1,163人，占员工总数的比例为83.43%。</w:t>
            </w:r>
          </w:p>
          <w:p w14:paraId="48231B26">
            <w:pPr>
              <w:numPr>
                <w:ilvl w:val="-1"/>
                <w:numId w:val="0"/>
              </w:numPr>
              <w:spacing w:before="156" w:beforeLines="50" w:line="360" w:lineRule="auto"/>
              <w:ind w:firstLine="482" w:firstLineChars="200"/>
              <w:rPr>
                <w:rFonts w:ascii="宋体" w:hAnsi="宋体"/>
                <w:b/>
                <w:iCs/>
                <w:sz w:val="24"/>
                <w:szCs w:val="24"/>
              </w:rPr>
            </w:pPr>
            <w:r>
              <w:rPr>
                <w:rFonts w:hint="eastAsia" w:ascii="宋体" w:hAnsi="宋体"/>
                <w:b/>
                <w:iCs/>
                <w:sz w:val="24"/>
                <w:szCs w:val="24"/>
                <w:lang w:val="en-US" w:eastAsia="zh-CN"/>
              </w:rPr>
              <w:t>二、</w:t>
            </w:r>
            <w:r>
              <w:rPr>
                <w:rFonts w:hint="eastAsia" w:ascii="宋体" w:hAnsi="宋体"/>
                <w:b/>
                <w:iCs/>
                <w:sz w:val="24"/>
                <w:szCs w:val="24"/>
              </w:rPr>
              <w:t>问答环节</w:t>
            </w:r>
          </w:p>
          <w:p w14:paraId="6D598109">
            <w:pPr>
              <w:numPr>
                <w:ilvl w:val="-1"/>
                <w:numId w:val="0"/>
              </w:numPr>
              <w:spacing w:before="156" w:beforeLines="50" w:line="360" w:lineRule="auto"/>
              <w:ind w:firstLine="482" w:firstLineChars="200"/>
              <w:rPr>
                <w:rFonts w:hint="eastAsia" w:ascii="宋体" w:hAnsi="宋体"/>
                <w:b/>
                <w:bCs w:val="0"/>
                <w:iCs/>
                <w:sz w:val="24"/>
                <w:szCs w:val="24"/>
                <w:highlight w:val="none"/>
              </w:rPr>
            </w:pPr>
            <w:r>
              <w:rPr>
                <w:rFonts w:hint="eastAsia" w:ascii="宋体" w:hAnsi="宋体"/>
                <w:b/>
                <w:bCs w:val="0"/>
                <w:iCs/>
                <w:sz w:val="24"/>
                <w:szCs w:val="24"/>
                <w:highlight w:val="none"/>
                <w:lang w:val="en-US" w:eastAsia="zh-CN"/>
              </w:rPr>
              <w:t>1.公司研发成果取得情况</w:t>
            </w:r>
            <w:r>
              <w:rPr>
                <w:rFonts w:hint="eastAsia" w:ascii="宋体" w:hAnsi="宋体"/>
                <w:b/>
                <w:bCs w:val="0"/>
                <w:iCs/>
                <w:sz w:val="24"/>
                <w:szCs w:val="24"/>
                <w:highlight w:val="none"/>
              </w:rPr>
              <w:t>？</w:t>
            </w:r>
          </w:p>
          <w:p w14:paraId="77DF18C1">
            <w:pPr>
              <w:numPr>
                <w:ilvl w:val="-1"/>
                <w:numId w:val="0"/>
              </w:numPr>
              <w:spacing w:before="156" w:beforeLines="50" w:line="360" w:lineRule="auto"/>
              <w:ind w:firstLine="480" w:firstLineChars="200"/>
              <w:rPr>
                <w:rFonts w:hint="eastAsia" w:ascii="宋体" w:hAnsi="宋体" w:eastAsia="宋体"/>
                <w:bCs/>
                <w:iCs/>
                <w:sz w:val="24"/>
                <w:szCs w:val="24"/>
                <w:highlight w:val="none"/>
                <w:lang w:val="en-US" w:eastAsia="zh-CN"/>
              </w:rPr>
            </w:pPr>
            <w:r>
              <w:rPr>
                <w:rFonts w:hint="eastAsia" w:ascii="宋体" w:hAnsi="宋体"/>
                <w:bCs/>
                <w:iCs/>
                <w:sz w:val="24"/>
                <w:szCs w:val="24"/>
                <w:highlight w:val="none"/>
                <w:lang w:val="en-US" w:eastAsia="zh-CN"/>
              </w:rPr>
              <w:t>截止2024上半年，</w:t>
            </w:r>
            <w:r>
              <w:rPr>
                <w:rFonts w:hint="eastAsia" w:ascii="宋体" w:hAnsi="宋体"/>
                <w:bCs/>
                <w:iCs/>
                <w:sz w:val="24"/>
                <w:szCs w:val="24"/>
                <w:highlight w:val="none"/>
              </w:rPr>
              <w:t>公司参与研发和自主立项研发的项目中，共8项新药项目已通过NMPA批准进入临床试验，70项药品申报上市注册受理，8项一致性评价注册受理；取得39项药品生产注册批件；7项通过一致性评价；6项原料药通过审评获批。新药品注册分类法规实施之后，公司累</w:t>
            </w:r>
            <w:r>
              <w:rPr>
                <w:rFonts w:hint="eastAsia" w:ascii="宋体" w:hAnsi="宋体" w:eastAsia="宋体" w:cs="Times New Roman"/>
                <w:bCs/>
                <w:i w:val="0"/>
                <w:iCs/>
                <w:caps w:val="0"/>
                <w:spacing w:val="0"/>
                <w:sz w:val="24"/>
                <w:szCs w:val="24"/>
                <w:highlight w:val="none"/>
                <w:shd w:val="clear" w:fill="auto"/>
              </w:rPr>
              <w:t>计已有19项仿制药首家取得药品注册批件或首家通过一致性评价，公司取得生产批件的权益分成项目共5项</w:t>
            </w:r>
            <w:r>
              <w:rPr>
                <w:rFonts w:hint="eastAsia" w:ascii="宋体" w:hAnsi="宋体" w:cs="Times New Roman"/>
                <w:bCs/>
                <w:i w:val="0"/>
                <w:iCs/>
                <w:caps w:val="0"/>
                <w:spacing w:val="0"/>
                <w:sz w:val="24"/>
                <w:szCs w:val="24"/>
                <w:highlight w:val="none"/>
                <w:shd w:val="clear"/>
                <w:lang w:eastAsia="zh-CN"/>
              </w:rPr>
              <w:t>。</w:t>
            </w:r>
            <w:r>
              <w:rPr>
                <w:rFonts w:hint="eastAsia" w:ascii="宋体" w:hAnsi="宋体"/>
                <w:b w:val="0"/>
                <w:bCs/>
                <w:iCs/>
                <w:sz w:val="24"/>
                <w:szCs w:val="24"/>
                <w:highlight w:val="none"/>
                <w:lang w:val="en-US" w:eastAsia="zh-CN"/>
              </w:rPr>
              <w:t>累计取得专利91项，其中发明专利66项，实用新型专利25项，合计取得知识产权共计206项。</w:t>
            </w:r>
          </w:p>
          <w:p w14:paraId="740F8D08">
            <w:pPr>
              <w:numPr>
                <w:ilvl w:val="-1"/>
                <w:numId w:val="0"/>
              </w:numPr>
              <w:spacing w:before="156" w:beforeLines="50" w:line="360" w:lineRule="auto"/>
              <w:ind w:firstLine="482" w:firstLineChars="200"/>
              <w:rPr>
                <w:rFonts w:hint="eastAsia"/>
                <w:b/>
                <w:bCs w:val="0"/>
                <w:sz w:val="24"/>
              </w:rPr>
            </w:pPr>
            <w:r>
              <w:rPr>
                <w:rFonts w:hint="eastAsia" w:cs="Times New Roman"/>
                <w:b/>
                <w:bCs w:val="0"/>
                <w:iCs/>
                <w:sz w:val="24"/>
                <w:szCs w:val="24"/>
                <w:lang w:val="en-US" w:eastAsia="zh-CN"/>
              </w:rPr>
              <w:t>2</w:t>
            </w:r>
            <w:r>
              <w:rPr>
                <w:rFonts w:hint="default" w:ascii="Times New Roman" w:hAnsi="Times New Roman" w:cs="Times New Roman"/>
                <w:b/>
                <w:bCs w:val="0"/>
                <w:iCs/>
                <w:sz w:val="24"/>
                <w:szCs w:val="24"/>
                <w:lang w:val="en-US" w:eastAsia="zh-CN"/>
              </w:rPr>
              <w:t>.</w:t>
            </w:r>
            <w:r>
              <w:rPr>
                <w:rFonts w:hint="eastAsia" w:cs="Times New Roman"/>
                <w:b/>
                <w:bCs w:val="0"/>
                <w:iCs/>
                <w:sz w:val="24"/>
                <w:szCs w:val="24"/>
                <w:lang w:val="en-US" w:eastAsia="zh-CN"/>
              </w:rPr>
              <w:t>公司的</w:t>
            </w:r>
            <w:r>
              <w:rPr>
                <w:rFonts w:hint="eastAsia"/>
                <w:b/>
                <w:bCs w:val="0"/>
                <w:sz w:val="24"/>
              </w:rPr>
              <w:t>业务布局情况，以及未来展望</w:t>
            </w:r>
            <w:r>
              <w:rPr>
                <w:rFonts w:hint="eastAsia"/>
                <w:b/>
                <w:bCs w:val="0"/>
                <w:sz w:val="24"/>
                <w:lang w:eastAsia="zh-CN"/>
              </w:rPr>
              <w:t>？</w:t>
            </w:r>
          </w:p>
          <w:p w14:paraId="7A352252">
            <w:pPr>
              <w:numPr>
                <w:ilvl w:val="-1"/>
                <w:numId w:val="0"/>
              </w:numPr>
              <w:spacing w:before="156" w:beforeLines="50" w:line="360" w:lineRule="auto"/>
              <w:ind w:firstLine="480" w:firstLineChars="200"/>
              <w:rPr>
                <w:rFonts w:hint="eastAsia"/>
                <w:b w:val="0"/>
                <w:bCs/>
                <w:sz w:val="24"/>
              </w:rPr>
            </w:pPr>
            <w:r>
              <w:rPr>
                <w:rFonts w:hint="eastAsia"/>
                <w:b w:val="0"/>
                <w:bCs/>
                <w:sz w:val="24"/>
              </w:rPr>
              <w:t>人用药上，坚持“临床前+临床”的综合研发服务模式，主营业务涵盖创新药开发、仿制药开发及一致性评价等方面的综合研发服务，服务内容主要包括药物发现、药理药效、药学研究、临床研究和生物分析。</w:t>
            </w:r>
            <w:r>
              <w:rPr>
                <w:rFonts w:hint="eastAsia"/>
                <w:b w:val="0"/>
                <w:bCs/>
                <w:sz w:val="24"/>
                <w:lang w:val="en-US" w:eastAsia="zh-CN"/>
              </w:rPr>
              <w:t>2024上半年，</w:t>
            </w:r>
            <w:r>
              <w:rPr>
                <w:rFonts w:hint="eastAsia"/>
                <w:b w:val="0"/>
                <w:bCs/>
                <w:sz w:val="24"/>
              </w:rPr>
              <w:t>公司在上述“人用药CRO”的基础上，通过新设控股子公司诺和动保完善了宠物药与经济动物药的CRO模块，构建</w:t>
            </w:r>
            <w:r>
              <w:rPr>
                <w:rFonts w:hint="eastAsia"/>
                <w:b w:val="0"/>
                <w:bCs/>
                <w:sz w:val="24"/>
                <w:lang w:eastAsia="zh-CN"/>
              </w:rPr>
              <w:t>了</w:t>
            </w:r>
            <w:r>
              <w:rPr>
                <w:rFonts w:hint="eastAsia"/>
                <w:b w:val="0"/>
                <w:bCs/>
                <w:sz w:val="24"/>
              </w:rPr>
              <w:t>“人用药+动保”双赛道的业务架构布局。</w:t>
            </w:r>
          </w:p>
          <w:p w14:paraId="56F66271">
            <w:pPr>
              <w:numPr>
                <w:ilvl w:val="-1"/>
                <w:numId w:val="0"/>
              </w:numPr>
              <w:spacing w:before="156" w:beforeLines="50" w:line="360" w:lineRule="auto"/>
              <w:ind w:firstLine="480" w:firstLineChars="200"/>
              <w:rPr>
                <w:rFonts w:hint="eastAsia"/>
                <w:b w:val="0"/>
                <w:bCs/>
                <w:sz w:val="24"/>
              </w:rPr>
            </w:pPr>
            <w:bookmarkStart w:id="0" w:name="OLE_LINK2"/>
            <w:r>
              <w:rPr>
                <w:rFonts w:hint="eastAsia"/>
                <w:b w:val="0"/>
                <w:bCs/>
                <w:sz w:val="24"/>
              </w:rPr>
              <w:t>目</w:t>
            </w:r>
            <w:bookmarkStart w:id="1" w:name="OLE_LINK4"/>
            <w:r>
              <w:rPr>
                <w:rFonts w:hint="eastAsia"/>
                <w:b w:val="0"/>
                <w:bCs/>
                <w:sz w:val="24"/>
              </w:rPr>
              <w:t>前在中药、核药、透皮、宠物药</w:t>
            </w:r>
            <w:r>
              <w:rPr>
                <w:rFonts w:hint="eastAsia"/>
                <w:b w:val="0"/>
                <w:bCs/>
                <w:sz w:val="24"/>
                <w:lang w:eastAsia="zh-CN"/>
              </w:rPr>
              <w:t>、</w:t>
            </w:r>
            <w:r>
              <w:rPr>
                <w:rFonts w:hint="eastAsia"/>
                <w:b w:val="0"/>
                <w:bCs/>
                <w:sz w:val="24"/>
                <w:lang w:val="en-US" w:eastAsia="zh-CN"/>
              </w:rPr>
              <w:t>多肽、儿药/罕见病用</w:t>
            </w:r>
            <w:bookmarkEnd w:id="1"/>
            <w:r>
              <w:rPr>
                <w:rFonts w:hint="eastAsia"/>
                <w:b w:val="0"/>
                <w:bCs/>
                <w:sz w:val="24"/>
                <w:lang w:val="en-US" w:eastAsia="zh-CN"/>
              </w:rPr>
              <w:t>药</w:t>
            </w:r>
            <w:r>
              <w:rPr>
                <w:rFonts w:hint="eastAsia"/>
                <w:b w:val="0"/>
                <w:bCs/>
                <w:sz w:val="24"/>
              </w:rPr>
              <w:t>领域都有布局。</w:t>
            </w:r>
            <w:bookmarkStart w:id="2" w:name="OLE_LINK6"/>
            <w:r>
              <w:rPr>
                <w:rFonts w:hint="eastAsia"/>
                <w:b w:val="0"/>
                <w:bCs/>
                <w:sz w:val="24"/>
              </w:rPr>
              <w:t>在</w:t>
            </w:r>
            <w:bookmarkEnd w:id="2"/>
            <w:r>
              <w:rPr>
                <w:rFonts w:hint="eastAsia"/>
                <w:b w:val="0"/>
                <w:bCs/>
                <w:sz w:val="24"/>
                <w:lang w:val="en-US" w:eastAsia="zh-CN"/>
              </w:rPr>
              <w:t>公司原有核心技术的基础上</w:t>
            </w:r>
            <w:r>
              <w:rPr>
                <w:rFonts w:hint="eastAsia"/>
                <w:b w:val="0"/>
                <w:bCs/>
                <w:sz w:val="24"/>
              </w:rPr>
              <w:t>，</w:t>
            </w:r>
            <w:r>
              <w:rPr>
                <w:rFonts w:hint="eastAsia"/>
                <w:b w:val="0"/>
                <w:bCs/>
                <w:sz w:val="24"/>
                <w:lang w:val="en-US" w:eastAsia="zh-CN"/>
              </w:rPr>
              <w:t>先后新增</w:t>
            </w:r>
            <w:r>
              <w:rPr>
                <w:rFonts w:hint="eastAsia"/>
                <w:b w:val="0"/>
                <w:bCs/>
                <w:sz w:val="24"/>
              </w:rPr>
              <w:t>了</w:t>
            </w:r>
            <w:bookmarkEnd w:id="0"/>
            <w:bookmarkStart w:id="3" w:name="OLE_LINK5"/>
            <w:r>
              <w:rPr>
                <w:rFonts w:hint="eastAsia"/>
                <w:b w:val="0"/>
                <w:bCs/>
                <w:sz w:val="24"/>
              </w:rPr>
              <w:t>细胞治</w:t>
            </w:r>
            <w:bookmarkStart w:id="4" w:name="OLE_LINK3"/>
            <w:r>
              <w:rPr>
                <w:rFonts w:hint="eastAsia"/>
                <w:b w:val="0"/>
                <w:bCs/>
                <w:sz w:val="24"/>
              </w:rPr>
              <w:t>疗</w:t>
            </w:r>
            <w:r>
              <w:rPr>
                <w:rFonts w:hint="eastAsia"/>
                <w:b w:val="0"/>
                <w:bCs/>
                <w:sz w:val="24"/>
                <w:lang w:eastAsia="zh-CN"/>
              </w:rPr>
              <w:t>、</w:t>
            </w:r>
            <w:r>
              <w:rPr>
                <w:rFonts w:hint="eastAsia"/>
                <w:b w:val="0"/>
                <w:bCs/>
                <w:sz w:val="24"/>
              </w:rPr>
              <w:t>多肽创新药</w:t>
            </w:r>
            <w:r>
              <w:rPr>
                <w:rFonts w:hint="eastAsia"/>
                <w:b w:val="0"/>
                <w:bCs/>
                <w:sz w:val="24"/>
                <w:lang w:eastAsia="zh-CN"/>
              </w:rPr>
              <w:t>、</w:t>
            </w:r>
            <w:r>
              <w:rPr>
                <w:rFonts w:hint="eastAsia"/>
                <w:b w:val="0"/>
                <w:bCs/>
                <w:sz w:val="24"/>
              </w:rPr>
              <w:t>缓释微球</w:t>
            </w:r>
            <w:bookmarkEnd w:id="3"/>
            <w:bookmarkStart w:id="5" w:name="OLE_LINK12"/>
            <w:bookmarkStart w:id="6" w:name="OLE_LINK14"/>
            <w:r>
              <w:rPr>
                <w:rFonts w:hint="eastAsia"/>
                <w:b w:val="0"/>
                <w:bCs/>
                <w:sz w:val="24"/>
                <w:lang w:eastAsia="zh-CN"/>
              </w:rPr>
              <w:t>、</w:t>
            </w:r>
            <w:bookmarkEnd w:id="5"/>
            <w:r>
              <w:rPr>
                <w:rFonts w:hint="eastAsia"/>
                <w:b w:val="0"/>
                <w:bCs/>
                <w:sz w:val="24"/>
              </w:rPr>
              <w:t>经皮给</w:t>
            </w:r>
            <w:bookmarkEnd w:id="6"/>
            <w:r>
              <w:rPr>
                <w:rFonts w:hint="eastAsia"/>
                <w:b w:val="0"/>
                <w:bCs/>
                <w:sz w:val="24"/>
              </w:rPr>
              <w:t>药</w:t>
            </w:r>
            <w:r>
              <w:rPr>
                <w:rFonts w:hint="eastAsia"/>
                <w:b w:val="0"/>
                <w:bCs/>
                <w:sz w:val="24"/>
                <w:lang w:val="en-US" w:eastAsia="zh-CN"/>
              </w:rPr>
              <w:t>等类型的创新药和改良型新药自研项目</w:t>
            </w:r>
            <w:r>
              <w:rPr>
                <w:rFonts w:hint="eastAsia"/>
                <w:b w:val="0"/>
                <w:bCs/>
                <w:sz w:val="24"/>
              </w:rPr>
              <w:t>。</w:t>
            </w:r>
            <w:bookmarkEnd w:id="4"/>
          </w:p>
          <w:p w14:paraId="6D609E8C">
            <w:pPr>
              <w:numPr>
                <w:ilvl w:val="-1"/>
                <w:numId w:val="0"/>
              </w:numPr>
              <w:spacing w:before="156" w:beforeLines="50" w:line="360" w:lineRule="auto"/>
              <w:ind w:left="0" w:leftChars="0" w:firstLine="482" w:firstLineChars="200"/>
              <w:rPr>
                <w:rFonts w:hint="default" w:eastAsia="宋体"/>
                <w:b/>
                <w:bCs w:val="0"/>
                <w:sz w:val="24"/>
                <w:highlight w:val="none"/>
                <w:lang w:val="en-US" w:eastAsia="zh-CN"/>
              </w:rPr>
            </w:pPr>
            <w:r>
              <w:rPr>
                <w:rFonts w:hint="eastAsia" w:ascii="宋体" w:hAnsi="宋体"/>
                <w:b/>
                <w:bCs w:val="0"/>
                <w:iCs/>
                <w:sz w:val="24"/>
                <w:szCs w:val="24"/>
                <w:highlight w:val="none"/>
                <w:lang w:val="en-US" w:eastAsia="zh-CN"/>
              </w:rPr>
              <w:t>3.</w:t>
            </w:r>
            <w:r>
              <w:rPr>
                <w:rFonts w:hint="eastAsia"/>
                <w:b/>
                <w:bCs w:val="0"/>
                <w:sz w:val="24"/>
                <w:highlight w:val="none"/>
                <w:lang w:val="en-US" w:eastAsia="zh-CN"/>
              </w:rPr>
              <w:t>公司临床端相关业务布局有哪些？</w:t>
            </w:r>
          </w:p>
          <w:p w14:paraId="2E243E5F">
            <w:pPr>
              <w:numPr>
                <w:ilvl w:val="-1"/>
                <w:numId w:val="0"/>
              </w:numPr>
              <w:spacing w:before="156" w:beforeLines="50" w:line="360" w:lineRule="auto"/>
              <w:ind w:left="0" w:leftChars="0" w:firstLine="480" w:firstLineChars="200"/>
              <w:rPr>
                <w:rFonts w:hint="default" w:ascii="宋体" w:hAnsi="宋体" w:eastAsia="宋体" w:cs="Times New Roman"/>
                <w:b/>
                <w:iCs/>
                <w:sz w:val="24"/>
                <w:szCs w:val="24"/>
                <w:highlight w:val="none"/>
                <w:lang w:val="en-US" w:eastAsia="zh-CN"/>
              </w:rPr>
            </w:pPr>
            <w:r>
              <w:rPr>
                <w:rFonts w:hint="eastAsia"/>
                <w:sz w:val="24"/>
                <w:highlight w:val="none"/>
              </w:rPr>
              <w:t>临床试验方面，公司提供I-IV期临床试验研究服务、生物等效性（BE）试验服务等，公司建立了四大专业平台。临床试验研发平台（下辖医学及临床运营两大研发平台）、数据管理及统计分析平台、SMO平台、第三方稽查平台，全国设立19个常驻点，已与超260家医院建立长期临床合作。公司目前在研的GLP-1一类创新药的临床试验共6项，涉及减重及降糖适应症，分别处于临床I-III期研究中。公司通过积累已拥有丰富的创新药物及改良型新药的临床研究经验，涵盖了内分泌、镇痛、呼吸、肿瘤、心脑血管、泌尿系统、医美等治疗领域的药物和医疗器械的临床设计和实施。</w:t>
            </w:r>
            <w:r>
              <w:rPr>
                <w:rFonts w:hint="eastAsia"/>
                <w:sz w:val="24"/>
                <w:highlight w:val="none"/>
                <w:lang w:val="en-US" w:eastAsia="zh-CN"/>
              </w:rPr>
              <w:t>2024年，</w:t>
            </w:r>
            <w:r>
              <w:rPr>
                <w:rFonts w:hint="eastAsia"/>
                <w:sz w:val="24"/>
                <w:highlight w:val="none"/>
              </w:rPr>
              <w:t>公司依据战略规划与业务开展需要，对组织、人员进行优化调整，将医学、运营、数统、稽查、注册申报等业务进行有效整合，为客户提供全链条快速响应的临床业务服务。</w:t>
            </w:r>
          </w:p>
          <w:p w14:paraId="1B794848">
            <w:pPr>
              <w:numPr>
                <w:ilvl w:val="-1"/>
                <w:numId w:val="0"/>
              </w:numPr>
              <w:spacing w:before="156" w:beforeLines="50" w:line="360" w:lineRule="auto"/>
              <w:ind w:firstLine="482" w:firstLineChars="200"/>
              <w:rPr>
                <w:rFonts w:hint="eastAsia"/>
                <w:sz w:val="24"/>
                <w:highlight w:val="none"/>
              </w:rPr>
            </w:pPr>
            <w:r>
              <w:rPr>
                <w:rFonts w:hint="eastAsia" w:ascii="宋体" w:hAnsi="宋体"/>
                <w:b/>
                <w:bCs w:val="0"/>
                <w:iCs/>
                <w:sz w:val="24"/>
                <w:szCs w:val="24"/>
                <w:highlight w:val="none"/>
                <w:lang w:val="en-US" w:eastAsia="zh-CN"/>
              </w:rPr>
              <w:t>4</w:t>
            </w:r>
            <w:r>
              <w:rPr>
                <w:rFonts w:hint="eastAsia" w:ascii="Times New Roman" w:hAnsi="Times New Roman"/>
                <w:b/>
                <w:bCs w:val="0"/>
                <w:iCs w:val="0"/>
                <w:sz w:val="24"/>
                <w:szCs w:val="20"/>
                <w:highlight w:val="none"/>
                <w:lang w:val="en-US" w:eastAsia="zh-CN"/>
              </w:rPr>
              <w:t>.</w:t>
            </w:r>
            <w:r>
              <w:rPr>
                <w:rFonts w:hint="eastAsia"/>
                <w:b/>
                <w:sz w:val="24"/>
                <w:highlight w:val="none"/>
              </w:rPr>
              <w:t>中长期看，公司对于创新药、仿制药、中药、宠物药等是如何定位的？未来业绩增长的主要驱动来自于哪些领域？</w:t>
            </w:r>
          </w:p>
          <w:p w14:paraId="2071208E">
            <w:pPr>
              <w:numPr>
                <w:ilvl w:val="-1"/>
                <w:numId w:val="0"/>
              </w:numPr>
              <w:spacing w:before="156" w:beforeLines="50" w:line="360" w:lineRule="auto"/>
              <w:ind w:left="0" w:leftChars="0" w:firstLine="480" w:firstLineChars="200"/>
              <w:rPr>
                <w:rFonts w:hint="eastAsia" w:ascii="宋体" w:hAnsi="宋体"/>
                <w:b w:val="0"/>
                <w:bCs/>
                <w:iCs/>
                <w:sz w:val="24"/>
                <w:szCs w:val="24"/>
                <w:highlight w:val="none"/>
                <w:lang w:val="en-US" w:eastAsia="zh-CN"/>
              </w:rPr>
            </w:pPr>
            <w:r>
              <w:rPr>
                <w:rFonts w:hint="eastAsia" w:ascii="宋体" w:hAnsi="宋体"/>
                <w:b w:val="0"/>
                <w:bCs/>
                <w:iCs/>
                <w:sz w:val="24"/>
                <w:szCs w:val="24"/>
                <w:highlight w:val="none"/>
                <w:lang w:val="en-US" w:eastAsia="zh-CN"/>
              </w:rPr>
              <w:t>公司成立于2009年，专注于仿制药的药学研究领域，随着业务的发展，目前公司已经在仿制药、改良型新药、创新药都有布局。</w:t>
            </w:r>
          </w:p>
          <w:p w14:paraId="7B55B0DB">
            <w:pPr>
              <w:numPr>
                <w:ilvl w:val="-1"/>
                <w:numId w:val="0"/>
              </w:numPr>
              <w:spacing w:before="156" w:beforeLines="50" w:line="360" w:lineRule="auto"/>
              <w:ind w:left="0" w:leftChars="0" w:firstLine="480" w:firstLineChars="200"/>
              <w:rPr>
                <w:rFonts w:hint="eastAsia" w:ascii="宋体" w:hAnsi="宋体"/>
                <w:b w:val="0"/>
                <w:bCs/>
                <w:iCs/>
                <w:sz w:val="24"/>
                <w:szCs w:val="24"/>
                <w:highlight w:val="none"/>
                <w:lang w:val="en-US" w:eastAsia="zh-CN"/>
              </w:rPr>
            </w:pPr>
            <w:r>
              <w:rPr>
                <w:rFonts w:hint="eastAsia" w:ascii="宋体" w:hAnsi="宋体"/>
                <w:b w:val="0"/>
                <w:bCs/>
                <w:iCs/>
                <w:sz w:val="24"/>
                <w:szCs w:val="24"/>
                <w:highlight w:val="none"/>
                <w:lang w:val="en-US" w:eastAsia="zh-CN"/>
              </w:rPr>
              <w:t>未来公司在创新药、改良药和有临床价值或临床急需的3类药方面的比例会逐渐增加。相比于去年，公司在中药方面的业务订单也有较快的增速，在未来的1-2年时间里，中药药学业务的蓬勃发展预期将为公司带来显著的推动力，特别是在中药临床业务的拓展方面。随着对中药药理深入研究和应用的不断推进，我们有望在这一传统医学领域取得突破性的进展。</w:t>
            </w:r>
          </w:p>
          <w:p w14:paraId="168BE739">
            <w:pPr>
              <w:numPr>
                <w:ilvl w:val="-1"/>
                <w:numId w:val="0"/>
              </w:numPr>
              <w:spacing w:before="156" w:beforeLines="50" w:line="360" w:lineRule="auto"/>
              <w:ind w:left="0" w:leftChars="0" w:firstLine="480" w:firstLineChars="200"/>
              <w:rPr>
                <w:rFonts w:hint="eastAsia" w:ascii="宋体" w:hAnsi="宋体"/>
                <w:b w:val="0"/>
                <w:bCs/>
                <w:iCs/>
                <w:sz w:val="24"/>
                <w:szCs w:val="24"/>
                <w:highlight w:val="none"/>
                <w:lang w:val="en-US" w:eastAsia="zh-CN"/>
              </w:rPr>
            </w:pPr>
            <w:r>
              <w:rPr>
                <w:rFonts w:hint="eastAsia" w:ascii="宋体" w:hAnsi="宋体"/>
                <w:b w:val="0"/>
                <w:bCs/>
                <w:iCs/>
                <w:sz w:val="24"/>
                <w:szCs w:val="24"/>
                <w:highlight w:val="none"/>
                <w:lang w:val="en-US" w:eastAsia="zh-CN"/>
              </w:rPr>
              <w:t>公司目前在宠物药CRO的布局是较为迅速的</w:t>
            </w:r>
            <w:bookmarkStart w:id="10" w:name="_GoBack"/>
            <w:bookmarkEnd w:id="10"/>
            <w:r>
              <w:rPr>
                <w:rFonts w:hint="eastAsia" w:ascii="宋体" w:hAnsi="宋体"/>
                <w:b w:val="0"/>
                <w:bCs/>
                <w:iCs/>
                <w:sz w:val="24"/>
                <w:szCs w:val="24"/>
                <w:highlight w:val="none"/>
                <w:lang w:val="en-US" w:eastAsia="zh-CN"/>
              </w:rPr>
              <w:t>，今年下半年有望建成动保GCP的临床实验室，</w:t>
            </w:r>
            <w:r>
              <w:rPr>
                <w:rFonts w:hint="eastAsia" w:ascii="宋体" w:hAnsi="宋体" w:eastAsia="宋体" w:cs="Times New Roman"/>
                <w:bCs/>
                <w:i w:val="0"/>
                <w:iCs/>
                <w:caps w:val="0"/>
                <w:spacing w:val="0"/>
                <w:sz w:val="24"/>
                <w:szCs w:val="24"/>
                <w:highlight w:val="none"/>
                <w:shd w:val="clear"/>
              </w:rPr>
              <w:t>目前在研品种约30余个</w:t>
            </w:r>
            <w:r>
              <w:rPr>
                <w:rFonts w:hint="eastAsia" w:ascii="宋体" w:hAnsi="宋体"/>
                <w:b w:val="0"/>
                <w:bCs/>
                <w:iCs/>
                <w:sz w:val="24"/>
                <w:szCs w:val="24"/>
                <w:highlight w:val="none"/>
                <w:lang w:val="en-US" w:eastAsia="zh-CN"/>
              </w:rPr>
              <w:t>，</w:t>
            </w:r>
            <w:r>
              <w:rPr>
                <w:rFonts w:hint="eastAsia" w:ascii="宋体" w:hAnsi="宋体" w:eastAsia="宋体" w:cs="Times New Roman"/>
                <w:bCs/>
                <w:i w:val="0"/>
                <w:iCs/>
                <w:caps w:val="0"/>
                <w:spacing w:val="0"/>
                <w:sz w:val="24"/>
                <w:szCs w:val="24"/>
                <w:highlight w:val="none"/>
                <w:shd w:val="clear"/>
              </w:rPr>
              <w:t>聚焦于1类、2类、5类新兽药的研发</w:t>
            </w:r>
            <w:r>
              <w:rPr>
                <w:rFonts w:hint="eastAsia" w:ascii="宋体" w:hAnsi="宋体"/>
                <w:b w:val="0"/>
                <w:bCs/>
                <w:iCs/>
                <w:sz w:val="24"/>
                <w:szCs w:val="24"/>
                <w:highlight w:val="none"/>
                <w:lang w:val="en-US" w:eastAsia="zh-CN"/>
              </w:rPr>
              <w:t>，相对于部分小公司只能承接药学业务，公司在服务端可以为客户提供一体化的服务，并且随着部分原先委托高校研发的项目转移到公司合作，业务订单在快速增长中，且公司拥有扎实的股东基础，有负责制剂生产、原料药生产以及品牌推广的合作伙伴。除宠物药外，公司针对大动物药，也在积极开发如口服、制剂、注射剂等产品</w:t>
            </w:r>
            <w:bookmarkStart w:id="7" w:name="OLE_LINK20"/>
            <w:r>
              <w:rPr>
                <w:rFonts w:hint="eastAsia" w:ascii="宋体" w:hAnsi="宋体"/>
                <w:b w:val="0"/>
                <w:bCs/>
                <w:iCs/>
                <w:sz w:val="24"/>
                <w:szCs w:val="24"/>
                <w:highlight w:val="none"/>
                <w:lang w:val="en-US" w:eastAsia="zh-CN"/>
              </w:rPr>
              <w:t>，</w:t>
            </w:r>
            <w:bookmarkEnd w:id="7"/>
            <w:r>
              <w:rPr>
                <w:rFonts w:hint="eastAsia" w:ascii="宋体" w:hAnsi="宋体"/>
                <w:b w:val="0"/>
                <w:bCs/>
                <w:iCs/>
                <w:sz w:val="24"/>
                <w:szCs w:val="24"/>
                <w:highlight w:val="none"/>
                <w:lang w:val="en-US" w:eastAsia="zh-CN"/>
              </w:rPr>
              <w:t>都将成为公司新的经济增长点。</w:t>
            </w:r>
          </w:p>
          <w:p w14:paraId="61C00F28">
            <w:pPr>
              <w:numPr>
                <w:ilvl w:val="-1"/>
                <w:numId w:val="0"/>
              </w:numPr>
              <w:spacing w:before="156" w:beforeLines="50" w:line="360" w:lineRule="auto"/>
              <w:ind w:left="0" w:leftChars="0" w:firstLine="482" w:firstLineChars="200"/>
              <w:rPr>
                <w:rFonts w:hint="eastAsia" w:ascii="Times New Roman" w:hAnsi="Times New Roman"/>
                <w:b/>
                <w:bCs w:val="0"/>
                <w:iCs w:val="0"/>
                <w:sz w:val="24"/>
                <w:szCs w:val="20"/>
                <w:highlight w:val="none"/>
                <w:lang w:val="en-US" w:eastAsia="zh-CN"/>
              </w:rPr>
            </w:pPr>
            <w:r>
              <w:rPr>
                <w:rFonts w:hint="eastAsia"/>
                <w:b/>
                <w:bCs w:val="0"/>
                <w:iCs w:val="0"/>
                <w:sz w:val="24"/>
                <w:szCs w:val="20"/>
                <w:highlight w:val="none"/>
                <w:lang w:val="en-US" w:eastAsia="zh-CN"/>
              </w:rPr>
              <w:t>5.</w:t>
            </w:r>
            <w:r>
              <w:rPr>
                <w:rFonts w:hint="eastAsia" w:ascii="Times New Roman" w:hAnsi="Times New Roman"/>
                <w:b/>
                <w:bCs w:val="0"/>
                <w:iCs w:val="0"/>
                <w:sz w:val="24"/>
                <w:szCs w:val="20"/>
                <w:highlight w:val="none"/>
                <w:lang w:val="en-US" w:eastAsia="zh-CN"/>
              </w:rPr>
              <w:t>公司的</w:t>
            </w:r>
            <w:r>
              <w:rPr>
                <w:rFonts w:hint="eastAsia"/>
                <w:b/>
                <w:bCs w:val="0"/>
                <w:iCs w:val="0"/>
                <w:sz w:val="24"/>
                <w:szCs w:val="20"/>
                <w:highlight w:val="none"/>
                <w:lang w:val="en-US" w:eastAsia="zh-CN"/>
              </w:rPr>
              <w:t>临床</w:t>
            </w:r>
            <w:r>
              <w:rPr>
                <w:rFonts w:hint="eastAsia" w:ascii="Times New Roman" w:hAnsi="Times New Roman"/>
                <w:b/>
                <w:bCs w:val="0"/>
                <w:iCs w:val="0"/>
                <w:sz w:val="24"/>
                <w:szCs w:val="20"/>
                <w:highlight w:val="none"/>
                <w:lang w:val="en-US" w:eastAsia="zh-CN"/>
              </w:rPr>
              <w:t>客户集中度如何？</w:t>
            </w:r>
          </w:p>
          <w:p w14:paraId="24192689">
            <w:pPr>
              <w:numPr>
                <w:ilvl w:val="-1"/>
                <w:numId w:val="0"/>
              </w:numPr>
              <w:spacing w:before="156" w:beforeLines="50" w:line="360" w:lineRule="auto"/>
              <w:ind w:left="0" w:leftChars="0" w:firstLine="480" w:firstLineChars="200"/>
              <w:rPr>
                <w:rFonts w:hint="eastAsia" w:ascii="宋体" w:hAnsi="宋体" w:eastAsia="宋体"/>
                <w:b w:val="0"/>
                <w:bCs/>
                <w:iCs/>
                <w:sz w:val="24"/>
                <w:szCs w:val="24"/>
                <w:highlight w:val="none"/>
                <w:lang w:val="en-US" w:eastAsia="zh-CN"/>
              </w:rPr>
            </w:pPr>
            <w:r>
              <w:rPr>
                <w:rFonts w:hint="eastAsia" w:ascii="宋体" w:hAnsi="宋体"/>
                <w:bCs/>
                <w:iCs/>
                <w:sz w:val="24"/>
                <w:szCs w:val="24"/>
                <w:highlight w:val="none"/>
                <w:lang w:val="en-US" w:eastAsia="zh-CN"/>
              </w:rPr>
              <w:t>公司客户广泛分布在全国区域，目前在华东、华中、华南和西南、东北都拓展有公司的客户，目前公司的主要的客户类型有国内传统的生产型药企，同时也在大力拓展Biotech公司、创新型药企等。</w:t>
            </w:r>
          </w:p>
          <w:p w14:paraId="5D3797B2">
            <w:pPr>
              <w:numPr>
                <w:ilvl w:val="-1"/>
                <w:numId w:val="0"/>
              </w:numPr>
              <w:spacing w:before="156" w:beforeLines="50" w:line="360" w:lineRule="auto"/>
              <w:ind w:firstLine="480" w:firstLineChars="200"/>
              <w:rPr>
                <w:rFonts w:hint="eastAsia" w:ascii="宋体" w:hAnsi="宋体"/>
                <w:bCs/>
                <w:iCs/>
                <w:sz w:val="24"/>
                <w:szCs w:val="24"/>
                <w:highlight w:val="none"/>
                <w:lang w:val="en-US" w:eastAsia="zh-CN"/>
              </w:rPr>
            </w:pPr>
            <w:bookmarkStart w:id="8" w:name="OLE_LINK23"/>
            <w:r>
              <w:rPr>
                <w:rFonts w:hint="eastAsia" w:ascii="宋体" w:hAnsi="宋体"/>
                <w:bCs/>
                <w:iCs/>
                <w:sz w:val="24"/>
                <w:szCs w:val="24"/>
                <w:highlight w:val="none"/>
                <w:lang w:val="en-US" w:eastAsia="zh-CN"/>
              </w:rPr>
              <w:t>目前公司提供临床前+临床一体化的服务模式，在此优势下，公司不仅能够通过承接药学订单来锁定后续的临床服务客户，还能承担一些单品价值较高的项目。经过多年临床项目经验的积累，公司形成了自己的优势适应症领域，比如镇痛、心血管、内分泌、医美、部分肿瘤适应症等，</w:t>
            </w:r>
            <w:bookmarkStart w:id="9" w:name="OLE_LINK28"/>
            <w:r>
              <w:rPr>
                <w:rFonts w:hint="eastAsia" w:ascii="宋体" w:hAnsi="宋体"/>
                <w:bCs/>
                <w:iCs/>
                <w:sz w:val="24"/>
                <w:szCs w:val="24"/>
                <w:highlight w:val="none"/>
                <w:lang w:val="en-US" w:eastAsia="zh-CN"/>
              </w:rPr>
              <w:t>基于对双方产品管线的深入了解和信任，一些药学业务的客户会选择与公司在这些优势领域共同开展临床产品开发。</w:t>
            </w:r>
            <w:bookmarkEnd w:id="8"/>
            <w:bookmarkEnd w:id="9"/>
          </w:p>
        </w:tc>
      </w:tr>
      <w:tr w14:paraId="4A63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093" w:type="dxa"/>
            <w:noWrap w:val="0"/>
            <w:vAlign w:val="center"/>
          </w:tcPr>
          <w:p w14:paraId="49E359F1">
            <w:pPr>
              <w:spacing w:line="360" w:lineRule="auto"/>
              <w:jc w:val="left"/>
              <w:rPr>
                <w:rFonts w:ascii="宋体" w:hAnsi="宋体"/>
                <w:b/>
                <w:bCs/>
                <w:iCs/>
                <w:sz w:val="24"/>
                <w:szCs w:val="24"/>
              </w:rPr>
            </w:pPr>
            <w:r>
              <w:rPr>
                <w:rFonts w:hint="eastAsia" w:ascii="宋体" w:hAnsi="宋体"/>
                <w:b/>
                <w:bCs/>
                <w:iCs/>
                <w:sz w:val="24"/>
                <w:szCs w:val="24"/>
              </w:rPr>
              <w:t>附件清单（如有）</w:t>
            </w:r>
          </w:p>
        </w:tc>
        <w:tc>
          <w:tcPr>
            <w:tcW w:w="6203" w:type="dxa"/>
            <w:noWrap w:val="0"/>
            <w:vAlign w:val="top"/>
          </w:tcPr>
          <w:p w14:paraId="41A52917">
            <w:pPr>
              <w:spacing w:line="360" w:lineRule="auto"/>
              <w:rPr>
                <w:rFonts w:hint="eastAsia" w:ascii="宋体" w:hAnsi="宋体" w:cs="宋体"/>
                <w:sz w:val="24"/>
                <w:szCs w:val="24"/>
              </w:rPr>
            </w:pPr>
            <w:r>
              <w:rPr>
                <w:rFonts w:hint="eastAsia" w:ascii="宋体" w:hAnsi="宋体"/>
                <w:bCs/>
                <w:iCs/>
                <w:sz w:val="24"/>
                <w:szCs w:val="24"/>
              </w:rPr>
              <w:t>无</w:t>
            </w:r>
          </w:p>
        </w:tc>
      </w:tr>
      <w:tr w14:paraId="5D6C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14:paraId="717A6FD2">
            <w:pPr>
              <w:spacing w:line="360" w:lineRule="auto"/>
              <w:jc w:val="left"/>
              <w:rPr>
                <w:rFonts w:ascii="宋体" w:hAnsi="宋体"/>
                <w:b/>
                <w:bCs/>
                <w:iCs/>
                <w:sz w:val="24"/>
                <w:szCs w:val="24"/>
              </w:rPr>
            </w:pPr>
            <w:r>
              <w:rPr>
                <w:rFonts w:hint="eastAsia" w:ascii="宋体" w:hAnsi="宋体"/>
                <w:b/>
                <w:bCs/>
                <w:iCs/>
                <w:sz w:val="24"/>
                <w:szCs w:val="24"/>
              </w:rPr>
              <w:t>日期</w:t>
            </w:r>
          </w:p>
        </w:tc>
        <w:tc>
          <w:tcPr>
            <w:tcW w:w="6203" w:type="dxa"/>
            <w:noWrap w:val="0"/>
            <w:vAlign w:val="top"/>
          </w:tcPr>
          <w:p w14:paraId="1087953D">
            <w:pPr>
              <w:spacing w:line="360" w:lineRule="auto"/>
              <w:rPr>
                <w:rFonts w:hint="eastAsia" w:ascii="宋体" w:hAnsi="宋体"/>
                <w:bCs/>
                <w:iCs/>
                <w:sz w:val="24"/>
                <w:szCs w:val="24"/>
              </w:rPr>
            </w:pPr>
            <w:r>
              <w:rPr>
                <w:rFonts w:hint="eastAsia" w:ascii="宋体" w:hAnsi="宋体"/>
                <w:bCs/>
                <w:iCs/>
                <w:sz w:val="24"/>
                <w:szCs w:val="24"/>
              </w:rPr>
              <w:t>20</w:t>
            </w:r>
            <w:r>
              <w:rPr>
                <w:rFonts w:ascii="宋体" w:hAnsi="宋体"/>
                <w:bCs/>
                <w:iCs/>
                <w:sz w:val="24"/>
                <w:szCs w:val="24"/>
              </w:rPr>
              <w:t>2</w:t>
            </w:r>
            <w:r>
              <w:rPr>
                <w:rFonts w:hint="eastAsia" w:ascii="宋体" w:hAnsi="宋体"/>
                <w:bCs/>
                <w:iCs/>
                <w:sz w:val="24"/>
                <w:szCs w:val="24"/>
                <w:lang w:val="en-US" w:eastAsia="zh-CN"/>
              </w:rPr>
              <w:t>4</w:t>
            </w:r>
            <w:r>
              <w:rPr>
                <w:rFonts w:hint="eastAsia" w:ascii="宋体" w:hAnsi="宋体"/>
                <w:bCs/>
                <w:iCs/>
                <w:sz w:val="24"/>
                <w:szCs w:val="24"/>
              </w:rPr>
              <w:t>年</w:t>
            </w:r>
            <w:r>
              <w:rPr>
                <w:rFonts w:hint="eastAsia" w:ascii="宋体" w:hAnsi="宋体"/>
                <w:bCs/>
                <w:iCs/>
                <w:sz w:val="24"/>
                <w:szCs w:val="24"/>
                <w:lang w:val="en-US" w:eastAsia="zh-CN"/>
              </w:rPr>
              <w:t>9</w:t>
            </w:r>
            <w:r>
              <w:rPr>
                <w:rFonts w:hint="eastAsia" w:ascii="宋体" w:hAnsi="宋体"/>
                <w:bCs/>
                <w:iCs/>
                <w:sz w:val="24"/>
                <w:szCs w:val="24"/>
              </w:rPr>
              <w:t>月</w:t>
            </w:r>
            <w:r>
              <w:rPr>
                <w:rFonts w:hint="eastAsia" w:ascii="宋体" w:hAnsi="宋体"/>
                <w:bCs/>
                <w:iCs/>
                <w:sz w:val="24"/>
                <w:szCs w:val="24"/>
                <w:lang w:val="en-US" w:eastAsia="zh-CN"/>
              </w:rPr>
              <w:t>2</w:t>
            </w:r>
            <w:r>
              <w:rPr>
                <w:rFonts w:hint="eastAsia" w:ascii="宋体" w:hAnsi="宋体"/>
                <w:bCs/>
                <w:iCs/>
                <w:sz w:val="24"/>
                <w:szCs w:val="24"/>
              </w:rPr>
              <w:t>日</w:t>
            </w:r>
          </w:p>
        </w:tc>
      </w:tr>
    </w:tbl>
    <w:p w14:paraId="3B62B9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MTRlOTE5NzU3Y2FhZmJjMTA4ODAwNjMyZWVhZDcifQ=="/>
  </w:docVars>
  <w:rsids>
    <w:rsidRoot w:val="52FF551A"/>
    <w:rsid w:val="00E31C19"/>
    <w:rsid w:val="01AC06BF"/>
    <w:rsid w:val="01CC4519"/>
    <w:rsid w:val="02290130"/>
    <w:rsid w:val="025F5A5E"/>
    <w:rsid w:val="02BD318C"/>
    <w:rsid w:val="02DB7D7F"/>
    <w:rsid w:val="039A53E7"/>
    <w:rsid w:val="03D87218"/>
    <w:rsid w:val="042E4E66"/>
    <w:rsid w:val="051E3483"/>
    <w:rsid w:val="05537D54"/>
    <w:rsid w:val="05A32FB5"/>
    <w:rsid w:val="05BF4B6E"/>
    <w:rsid w:val="05F444DC"/>
    <w:rsid w:val="077953F5"/>
    <w:rsid w:val="07A52A97"/>
    <w:rsid w:val="08446DEB"/>
    <w:rsid w:val="09FE6266"/>
    <w:rsid w:val="0A414CDC"/>
    <w:rsid w:val="0A6D3DFC"/>
    <w:rsid w:val="0B5E16A9"/>
    <w:rsid w:val="0C612D69"/>
    <w:rsid w:val="0D174ABA"/>
    <w:rsid w:val="0DBE3551"/>
    <w:rsid w:val="0DCC4700"/>
    <w:rsid w:val="0E086001"/>
    <w:rsid w:val="0EB77202"/>
    <w:rsid w:val="0F824FAF"/>
    <w:rsid w:val="0FE77118"/>
    <w:rsid w:val="11866453"/>
    <w:rsid w:val="122E5DAC"/>
    <w:rsid w:val="12527029"/>
    <w:rsid w:val="12B62932"/>
    <w:rsid w:val="12DB5893"/>
    <w:rsid w:val="134A000D"/>
    <w:rsid w:val="13CF5910"/>
    <w:rsid w:val="144F54F1"/>
    <w:rsid w:val="14EC5248"/>
    <w:rsid w:val="14ED4281"/>
    <w:rsid w:val="15930D03"/>
    <w:rsid w:val="15AA2CEE"/>
    <w:rsid w:val="15B14D16"/>
    <w:rsid w:val="16DA51E9"/>
    <w:rsid w:val="17345A11"/>
    <w:rsid w:val="1839393F"/>
    <w:rsid w:val="190E77ED"/>
    <w:rsid w:val="1A0F1E47"/>
    <w:rsid w:val="1A2C70A7"/>
    <w:rsid w:val="1A547590"/>
    <w:rsid w:val="1B2D550F"/>
    <w:rsid w:val="1C524E00"/>
    <w:rsid w:val="1D0C17E5"/>
    <w:rsid w:val="1D74016F"/>
    <w:rsid w:val="1E121C15"/>
    <w:rsid w:val="1EBC241A"/>
    <w:rsid w:val="1F792F8D"/>
    <w:rsid w:val="1F983F69"/>
    <w:rsid w:val="1FAE3E0B"/>
    <w:rsid w:val="20BE1BE1"/>
    <w:rsid w:val="210274BB"/>
    <w:rsid w:val="216347EC"/>
    <w:rsid w:val="22F83CD2"/>
    <w:rsid w:val="2362320E"/>
    <w:rsid w:val="23910C76"/>
    <w:rsid w:val="23D01B44"/>
    <w:rsid w:val="23D06D2E"/>
    <w:rsid w:val="23EB5621"/>
    <w:rsid w:val="241427AF"/>
    <w:rsid w:val="249D14E3"/>
    <w:rsid w:val="24BB0950"/>
    <w:rsid w:val="256D51A0"/>
    <w:rsid w:val="26D51ECB"/>
    <w:rsid w:val="271625E5"/>
    <w:rsid w:val="273725B6"/>
    <w:rsid w:val="29093405"/>
    <w:rsid w:val="29706363"/>
    <w:rsid w:val="29DE4401"/>
    <w:rsid w:val="2AC65169"/>
    <w:rsid w:val="2AD401BA"/>
    <w:rsid w:val="2B061EFA"/>
    <w:rsid w:val="2B9F7FE4"/>
    <w:rsid w:val="2C535356"/>
    <w:rsid w:val="2CA85D23"/>
    <w:rsid w:val="2CB67043"/>
    <w:rsid w:val="2CE05AC2"/>
    <w:rsid w:val="2DCD4D3B"/>
    <w:rsid w:val="2EA00B62"/>
    <w:rsid w:val="2EA9018A"/>
    <w:rsid w:val="2F4F0EF9"/>
    <w:rsid w:val="2FA368BA"/>
    <w:rsid w:val="308E0410"/>
    <w:rsid w:val="30A2064A"/>
    <w:rsid w:val="31060FA7"/>
    <w:rsid w:val="31093612"/>
    <w:rsid w:val="31BF300D"/>
    <w:rsid w:val="32A42B73"/>
    <w:rsid w:val="32D27F68"/>
    <w:rsid w:val="33231F8D"/>
    <w:rsid w:val="33260499"/>
    <w:rsid w:val="332F655B"/>
    <w:rsid w:val="34E872B4"/>
    <w:rsid w:val="350D634B"/>
    <w:rsid w:val="36952F4E"/>
    <w:rsid w:val="36B70E22"/>
    <w:rsid w:val="36D92FB2"/>
    <w:rsid w:val="37467413"/>
    <w:rsid w:val="37787510"/>
    <w:rsid w:val="381776BB"/>
    <w:rsid w:val="387520F0"/>
    <w:rsid w:val="39D2147A"/>
    <w:rsid w:val="3A8D04C3"/>
    <w:rsid w:val="3A9F5F2A"/>
    <w:rsid w:val="3B237CC2"/>
    <w:rsid w:val="3B3C7B22"/>
    <w:rsid w:val="3B91445B"/>
    <w:rsid w:val="3C1E2FE5"/>
    <w:rsid w:val="3D3C6638"/>
    <w:rsid w:val="3D437946"/>
    <w:rsid w:val="3D81311B"/>
    <w:rsid w:val="3DFE4CB6"/>
    <w:rsid w:val="3E0B24F7"/>
    <w:rsid w:val="3E5C41A0"/>
    <w:rsid w:val="3EA2315F"/>
    <w:rsid w:val="3F135AFA"/>
    <w:rsid w:val="4224131E"/>
    <w:rsid w:val="422D34A0"/>
    <w:rsid w:val="441B0C05"/>
    <w:rsid w:val="459C63BF"/>
    <w:rsid w:val="45A55001"/>
    <w:rsid w:val="45E072A7"/>
    <w:rsid w:val="462A01A0"/>
    <w:rsid w:val="46333934"/>
    <w:rsid w:val="46A169FF"/>
    <w:rsid w:val="46F34D6A"/>
    <w:rsid w:val="480B4BB5"/>
    <w:rsid w:val="487D4171"/>
    <w:rsid w:val="488851C9"/>
    <w:rsid w:val="489D1235"/>
    <w:rsid w:val="48E21AEF"/>
    <w:rsid w:val="4A830B91"/>
    <w:rsid w:val="4AAF5236"/>
    <w:rsid w:val="4AB212D8"/>
    <w:rsid w:val="4B1A52D2"/>
    <w:rsid w:val="4B265D22"/>
    <w:rsid w:val="4BB85758"/>
    <w:rsid w:val="4C014C57"/>
    <w:rsid w:val="4C020555"/>
    <w:rsid w:val="4C1E0FC8"/>
    <w:rsid w:val="4C556F25"/>
    <w:rsid w:val="4C84793E"/>
    <w:rsid w:val="4D0E2637"/>
    <w:rsid w:val="4D6024B5"/>
    <w:rsid w:val="4D9C101F"/>
    <w:rsid w:val="4DF658A7"/>
    <w:rsid w:val="4EF8205F"/>
    <w:rsid w:val="4F444544"/>
    <w:rsid w:val="50410483"/>
    <w:rsid w:val="509818E5"/>
    <w:rsid w:val="51547108"/>
    <w:rsid w:val="51EF5E19"/>
    <w:rsid w:val="527A22D9"/>
    <w:rsid w:val="5289164F"/>
    <w:rsid w:val="52FF551A"/>
    <w:rsid w:val="53672784"/>
    <w:rsid w:val="539E26C0"/>
    <w:rsid w:val="53A91257"/>
    <w:rsid w:val="53F3326E"/>
    <w:rsid w:val="549878D9"/>
    <w:rsid w:val="54A06C67"/>
    <w:rsid w:val="54CC1D57"/>
    <w:rsid w:val="54EB364E"/>
    <w:rsid w:val="55CA28F1"/>
    <w:rsid w:val="55D26B9E"/>
    <w:rsid w:val="561D32CE"/>
    <w:rsid w:val="56AC67D2"/>
    <w:rsid w:val="573622C3"/>
    <w:rsid w:val="576D5BCE"/>
    <w:rsid w:val="58836DC8"/>
    <w:rsid w:val="58BA5B76"/>
    <w:rsid w:val="599C16F8"/>
    <w:rsid w:val="5A2A67F5"/>
    <w:rsid w:val="5A4F27F0"/>
    <w:rsid w:val="5A880128"/>
    <w:rsid w:val="5AAE4583"/>
    <w:rsid w:val="5B1D47FA"/>
    <w:rsid w:val="5D012421"/>
    <w:rsid w:val="5DD427BF"/>
    <w:rsid w:val="5DEC4365"/>
    <w:rsid w:val="5E7435BA"/>
    <w:rsid w:val="5E932ED8"/>
    <w:rsid w:val="60760873"/>
    <w:rsid w:val="60C214BD"/>
    <w:rsid w:val="60C265CF"/>
    <w:rsid w:val="617862AC"/>
    <w:rsid w:val="62A30EA1"/>
    <w:rsid w:val="62F60387"/>
    <w:rsid w:val="63181F99"/>
    <w:rsid w:val="6320789A"/>
    <w:rsid w:val="63D1618C"/>
    <w:rsid w:val="64661261"/>
    <w:rsid w:val="64932BAD"/>
    <w:rsid w:val="649B4982"/>
    <w:rsid w:val="64BC0286"/>
    <w:rsid w:val="650C2A2C"/>
    <w:rsid w:val="65CA54AC"/>
    <w:rsid w:val="669A3582"/>
    <w:rsid w:val="66F23252"/>
    <w:rsid w:val="67920D68"/>
    <w:rsid w:val="67E47875"/>
    <w:rsid w:val="681F4C63"/>
    <w:rsid w:val="68E055B0"/>
    <w:rsid w:val="69961E22"/>
    <w:rsid w:val="6A23123C"/>
    <w:rsid w:val="6A2842F5"/>
    <w:rsid w:val="6A6547A8"/>
    <w:rsid w:val="6A6B5660"/>
    <w:rsid w:val="6B685571"/>
    <w:rsid w:val="6C3309C1"/>
    <w:rsid w:val="6D1E32A1"/>
    <w:rsid w:val="6D322B1C"/>
    <w:rsid w:val="6D9B2F52"/>
    <w:rsid w:val="6E2576AE"/>
    <w:rsid w:val="6E290AB7"/>
    <w:rsid w:val="6EA45979"/>
    <w:rsid w:val="6EEB2130"/>
    <w:rsid w:val="700B2EC6"/>
    <w:rsid w:val="70754AA5"/>
    <w:rsid w:val="70B8083E"/>
    <w:rsid w:val="7171086E"/>
    <w:rsid w:val="719510A4"/>
    <w:rsid w:val="71A66548"/>
    <w:rsid w:val="71FA4772"/>
    <w:rsid w:val="71FC4DEA"/>
    <w:rsid w:val="728671BF"/>
    <w:rsid w:val="72C94CD5"/>
    <w:rsid w:val="73300DA4"/>
    <w:rsid w:val="744616E9"/>
    <w:rsid w:val="745A380B"/>
    <w:rsid w:val="74A02866"/>
    <w:rsid w:val="75580D0F"/>
    <w:rsid w:val="76440F92"/>
    <w:rsid w:val="772F3652"/>
    <w:rsid w:val="77AE1328"/>
    <w:rsid w:val="77B6383C"/>
    <w:rsid w:val="78423920"/>
    <w:rsid w:val="78A45D63"/>
    <w:rsid w:val="794D08AD"/>
    <w:rsid w:val="79661C63"/>
    <w:rsid w:val="79D25FC2"/>
    <w:rsid w:val="79EA2C4D"/>
    <w:rsid w:val="79F90BEF"/>
    <w:rsid w:val="7A774554"/>
    <w:rsid w:val="7A7F1400"/>
    <w:rsid w:val="7AD051DC"/>
    <w:rsid w:val="7ADB0A5E"/>
    <w:rsid w:val="7AE62B2D"/>
    <w:rsid w:val="7B28387D"/>
    <w:rsid w:val="7BA223D0"/>
    <w:rsid w:val="7C064AE8"/>
    <w:rsid w:val="7C29373A"/>
    <w:rsid w:val="7C6A3054"/>
    <w:rsid w:val="7CE44ECC"/>
    <w:rsid w:val="7CE571C4"/>
    <w:rsid w:val="7D0375F5"/>
    <w:rsid w:val="7D546905"/>
    <w:rsid w:val="7D6D7ABB"/>
    <w:rsid w:val="7D7234FB"/>
    <w:rsid w:val="7F173DB2"/>
    <w:rsid w:val="7F2266A0"/>
    <w:rsid w:val="7F2E17A9"/>
    <w:rsid w:val="7FAD2049"/>
    <w:rsid w:val="7FEE7A90"/>
    <w:rsid w:val="7FF23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2857</Words>
  <Characters>3061</Characters>
  <Lines>0</Lines>
  <Paragraphs>0</Paragraphs>
  <TotalTime>44</TotalTime>
  <ScaleCrop>false</ScaleCrop>
  <LinksUpToDate>false</LinksUpToDate>
  <CharactersWithSpaces>3127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2024-03-05T05:09:00Z</dcterms:created>
  <dc:creator>杨贵娇</dc:creator>
  <cp:lastModifiedBy>杨贵娇</cp:lastModifiedBy>
  <dcterms:modified xsi:type="dcterms:W3CDTF">2024-09-03T09:15:42Z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75D94A8A304D4A89A3EFDBE2CCDD83C6_13</vt:lpwstr>
  </property>
</Properties>
</file>