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F7F93">
      <w:pPr>
        <w:keepNext/>
        <w:keepLines/>
        <w:spacing w:before="260" w:after="260" w:line="360" w:lineRule="auto"/>
        <w:outlineLvl w:val="1"/>
        <w:rPr>
          <w:rFonts w:hint="eastAsia" w:ascii="宋体" w:hAnsi="宋体"/>
          <w:b/>
          <w:bCs/>
          <w:iCs/>
          <w:sz w:val="24"/>
          <w:szCs w:val="24"/>
        </w:rPr>
      </w:pPr>
      <w:r>
        <w:rPr>
          <w:rFonts w:hint="eastAsia" w:ascii="宋体" w:hAnsi="宋体"/>
          <w:b/>
          <w:bCs/>
          <w:iCs/>
          <w:sz w:val="24"/>
          <w:szCs w:val="24"/>
        </w:rPr>
        <w:t>证券代码：688621                                证券简称：阳光诺和</w:t>
      </w:r>
    </w:p>
    <w:p w14:paraId="193C9A26">
      <w:pPr>
        <w:keepNext/>
        <w:keepLines/>
        <w:spacing w:before="20" w:after="20"/>
        <w:jc w:val="center"/>
        <w:outlineLvl w:val="1"/>
        <w:rPr>
          <w:rFonts w:hint="eastAsia" w:ascii="宋体" w:hAnsi="宋体"/>
          <w:b/>
          <w:bCs/>
          <w:sz w:val="36"/>
          <w:szCs w:val="36"/>
        </w:rPr>
      </w:pPr>
      <w:r>
        <w:rPr>
          <w:rFonts w:hint="eastAsia" w:ascii="宋体" w:hAnsi="宋体"/>
          <w:b/>
          <w:sz w:val="36"/>
          <w:szCs w:val="36"/>
        </w:rPr>
        <w:t>北京阳光诺和药物研究</w:t>
      </w:r>
      <w:r>
        <w:rPr>
          <w:rFonts w:hint="eastAsia" w:ascii="宋体" w:hAnsi="宋体"/>
          <w:b/>
          <w:bCs/>
          <w:sz w:val="36"/>
          <w:szCs w:val="36"/>
        </w:rPr>
        <w:t>股份有限公司</w:t>
      </w:r>
    </w:p>
    <w:p w14:paraId="1DE76FD4">
      <w:pPr>
        <w:keepNext/>
        <w:keepLines/>
        <w:spacing w:before="20" w:after="20"/>
        <w:jc w:val="center"/>
        <w:outlineLvl w:val="1"/>
        <w:rPr>
          <w:rFonts w:ascii="宋体" w:hAnsi="宋体"/>
          <w:b/>
          <w:bCs/>
          <w:sz w:val="36"/>
          <w:szCs w:val="36"/>
        </w:rPr>
      </w:pPr>
      <w:r>
        <w:rPr>
          <w:rFonts w:hint="eastAsia" w:ascii="宋体" w:hAnsi="宋体"/>
          <w:b/>
          <w:bCs/>
          <w:sz w:val="36"/>
          <w:szCs w:val="36"/>
        </w:rPr>
        <w:t>投资者关系活动记录表</w:t>
      </w:r>
    </w:p>
    <w:p w14:paraId="1D3EAABF">
      <w:pPr>
        <w:spacing w:line="360" w:lineRule="auto"/>
        <w:jc w:val="center"/>
        <w:rPr>
          <w:rFonts w:ascii="宋体" w:hAnsi="宋体"/>
          <w:b/>
          <w:iCs/>
          <w:sz w:val="24"/>
          <w:szCs w:val="24"/>
        </w:rPr>
      </w:pPr>
      <w:r>
        <w:rPr>
          <w:rFonts w:hint="eastAsia" w:ascii="宋体" w:hAnsi="宋体"/>
          <w:b/>
          <w:iCs/>
          <w:sz w:val="24"/>
          <w:szCs w:val="24"/>
        </w:rPr>
        <w:t>（20</w:t>
      </w:r>
      <w:r>
        <w:rPr>
          <w:rFonts w:ascii="宋体" w:hAnsi="宋体"/>
          <w:b/>
          <w:iCs/>
          <w:sz w:val="24"/>
          <w:szCs w:val="24"/>
        </w:rPr>
        <w:t>2</w:t>
      </w:r>
      <w:r>
        <w:rPr>
          <w:rFonts w:hint="eastAsia" w:ascii="宋体" w:hAnsi="宋体"/>
          <w:b/>
          <w:iCs/>
          <w:sz w:val="24"/>
          <w:szCs w:val="24"/>
          <w:lang w:val="en-US" w:eastAsia="zh-CN"/>
        </w:rPr>
        <w:t>4</w:t>
      </w:r>
      <w:r>
        <w:rPr>
          <w:rFonts w:hint="eastAsia" w:ascii="宋体" w:hAnsi="宋体"/>
          <w:b/>
          <w:iCs/>
          <w:sz w:val="24"/>
          <w:szCs w:val="24"/>
        </w:rPr>
        <w:t>年</w:t>
      </w:r>
      <w:r>
        <w:rPr>
          <w:rFonts w:hint="eastAsia" w:ascii="宋体" w:hAnsi="宋体"/>
          <w:b/>
          <w:iCs/>
          <w:sz w:val="24"/>
          <w:szCs w:val="24"/>
          <w:lang w:val="en-US" w:eastAsia="zh-CN"/>
        </w:rPr>
        <w:t>8</w:t>
      </w:r>
      <w:r>
        <w:rPr>
          <w:rFonts w:hint="eastAsia" w:ascii="宋体" w:hAnsi="宋体"/>
          <w:b/>
          <w:iCs/>
          <w:sz w:val="24"/>
          <w:szCs w:val="24"/>
        </w:rPr>
        <w:t>月）</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203"/>
      </w:tblGrid>
      <w:tr w14:paraId="2F97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199D38DD">
            <w:pPr>
              <w:spacing w:line="360" w:lineRule="auto"/>
              <w:jc w:val="center"/>
              <w:rPr>
                <w:rFonts w:ascii="宋体" w:hAnsi="宋体"/>
                <w:b/>
                <w:bCs/>
                <w:iCs/>
                <w:sz w:val="24"/>
                <w:szCs w:val="24"/>
              </w:rPr>
            </w:pPr>
            <w:r>
              <w:rPr>
                <w:rFonts w:hint="eastAsia" w:ascii="宋体" w:hAnsi="宋体"/>
                <w:b/>
                <w:bCs/>
                <w:iCs/>
                <w:sz w:val="24"/>
                <w:szCs w:val="24"/>
              </w:rPr>
              <w:t>投资者关系活动类别</w:t>
            </w:r>
          </w:p>
        </w:tc>
        <w:tc>
          <w:tcPr>
            <w:tcW w:w="6203" w:type="dxa"/>
            <w:noWrap w:val="0"/>
            <w:vAlign w:val="center"/>
          </w:tcPr>
          <w:p w14:paraId="4936C92A">
            <w:pPr>
              <w:spacing w:line="360" w:lineRule="auto"/>
              <w:rPr>
                <w:rFonts w:ascii="宋体" w:hAnsi="宋体"/>
                <w:bCs/>
                <w:iCs/>
                <w:sz w:val="24"/>
                <w:szCs w:val="24"/>
              </w:rPr>
            </w:pPr>
            <w:r>
              <w:rPr>
                <w:rFonts w:hint="eastAsia" w:ascii="宋体" w:hAnsi="宋体"/>
                <w:bCs/>
                <w:iCs/>
                <w:sz w:val="24"/>
                <w:szCs w:val="24"/>
              </w:rPr>
              <w:sym w:font="Wingdings 2" w:char="0052"/>
            </w:r>
            <w:r>
              <w:rPr>
                <w:rFonts w:hint="eastAsia" w:ascii="宋体" w:hAnsi="宋体"/>
                <w:sz w:val="24"/>
                <w:szCs w:val="24"/>
              </w:rPr>
              <w:t xml:space="preserve">特定对象调研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bCs/>
                <w:iCs/>
                <w:sz w:val="24"/>
                <w:szCs w:val="24"/>
              </w:rPr>
              <w:sym w:font="Wingdings 2" w:char="00A3"/>
            </w:r>
            <w:r>
              <w:rPr>
                <w:rFonts w:hint="eastAsia" w:ascii="宋体" w:hAnsi="宋体"/>
                <w:sz w:val="24"/>
                <w:szCs w:val="24"/>
              </w:rPr>
              <w:t>分析师会议</w:t>
            </w:r>
          </w:p>
          <w:p w14:paraId="39B80EF3">
            <w:pPr>
              <w:spacing w:line="360" w:lineRule="auto"/>
              <w:rPr>
                <w:rFonts w:ascii="宋体" w:hAnsi="宋体"/>
                <w:bCs/>
                <w:iCs/>
                <w:sz w:val="24"/>
                <w:szCs w:val="24"/>
              </w:rPr>
            </w:pPr>
            <w:r>
              <w:rPr>
                <w:rFonts w:hint="eastAsia" w:ascii="宋体" w:hAnsi="宋体"/>
                <w:bCs/>
                <w:iCs/>
                <w:sz w:val="24"/>
                <w:szCs w:val="24"/>
              </w:rPr>
              <w:t>□</w:t>
            </w:r>
            <w:r>
              <w:rPr>
                <w:rFonts w:hint="eastAsia" w:ascii="宋体" w:hAnsi="宋体"/>
                <w:sz w:val="24"/>
                <w:szCs w:val="24"/>
              </w:rPr>
              <w:t xml:space="preserve">媒体采访            </w:t>
            </w:r>
            <w:r>
              <w:rPr>
                <w:rFonts w:hint="eastAsia" w:ascii="宋体" w:hAnsi="宋体"/>
                <w:bCs/>
                <w:iCs/>
                <w:sz w:val="24"/>
                <w:szCs w:val="24"/>
              </w:rPr>
              <w:sym w:font="Wingdings 2" w:char="00A3"/>
            </w:r>
            <w:r>
              <w:rPr>
                <w:rFonts w:hint="eastAsia" w:ascii="宋体" w:hAnsi="宋体"/>
                <w:sz w:val="24"/>
                <w:szCs w:val="24"/>
              </w:rPr>
              <w:t>业绩说明会</w:t>
            </w:r>
          </w:p>
          <w:p w14:paraId="7EBD013F">
            <w:pPr>
              <w:spacing w:line="360" w:lineRule="auto"/>
              <w:rPr>
                <w:rFonts w:ascii="宋体" w:hAnsi="宋体"/>
                <w:bCs/>
                <w:iCs/>
                <w:sz w:val="24"/>
                <w:szCs w:val="24"/>
              </w:rPr>
            </w:pPr>
            <w:r>
              <w:rPr>
                <w:rFonts w:hint="eastAsia" w:ascii="宋体" w:hAnsi="宋体"/>
                <w:bCs/>
                <w:iCs/>
                <w:sz w:val="24"/>
                <w:szCs w:val="24"/>
              </w:rPr>
              <w:t>□</w:t>
            </w:r>
            <w:r>
              <w:rPr>
                <w:rFonts w:hint="eastAsia" w:ascii="宋体" w:hAnsi="宋体"/>
                <w:sz w:val="24"/>
                <w:szCs w:val="24"/>
              </w:rPr>
              <w:t xml:space="preserve">新闻发布会          </w:t>
            </w:r>
            <w:r>
              <w:rPr>
                <w:rFonts w:hint="eastAsia" w:ascii="宋体" w:hAnsi="宋体"/>
                <w:bCs/>
                <w:iCs/>
                <w:sz w:val="24"/>
                <w:szCs w:val="24"/>
              </w:rPr>
              <w:t>□</w:t>
            </w:r>
            <w:r>
              <w:rPr>
                <w:rFonts w:hint="eastAsia" w:ascii="宋体" w:hAnsi="宋体"/>
                <w:sz w:val="24"/>
                <w:szCs w:val="24"/>
              </w:rPr>
              <w:t>路演活动</w:t>
            </w:r>
          </w:p>
          <w:p w14:paraId="51719483">
            <w:pPr>
              <w:tabs>
                <w:tab w:val="left" w:pos="3045"/>
                <w:tab w:val="center" w:pos="3199"/>
              </w:tabs>
              <w:spacing w:line="360" w:lineRule="auto"/>
              <w:rPr>
                <w:rFonts w:ascii="宋体" w:hAnsi="宋体"/>
                <w:bCs/>
                <w:iCs/>
                <w:sz w:val="24"/>
                <w:szCs w:val="24"/>
              </w:rPr>
            </w:pPr>
            <w:r>
              <w:rPr>
                <w:rFonts w:hint="eastAsia" w:ascii="宋体" w:hAnsi="宋体"/>
                <w:bCs/>
                <w:iCs/>
                <w:sz w:val="24"/>
                <w:szCs w:val="24"/>
              </w:rPr>
              <w:sym w:font="Wingdings 2" w:char="F0A3"/>
            </w:r>
            <w:r>
              <w:rPr>
                <w:rFonts w:hint="eastAsia" w:ascii="宋体" w:hAnsi="宋体"/>
                <w:sz w:val="24"/>
                <w:szCs w:val="24"/>
              </w:rPr>
              <w:t>现场参观</w:t>
            </w:r>
            <w:r>
              <w:rPr>
                <w:rFonts w:ascii="宋体" w:hAnsi="宋体"/>
                <w:bCs/>
                <w:iCs/>
                <w:sz w:val="24"/>
                <w:szCs w:val="24"/>
              </w:rPr>
              <w:tab/>
            </w:r>
          </w:p>
          <w:p w14:paraId="232496E4">
            <w:pPr>
              <w:tabs>
                <w:tab w:val="center" w:pos="3199"/>
              </w:tabs>
              <w:spacing w:line="360" w:lineRule="auto"/>
              <w:rPr>
                <w:rFonts w:hint="eastAsia" w:ascii="宋体" w:hAnsi="宋体"/>
                <w:bCs/>
                <w:iCs/>
                <w:sz w:val="24"/>
                <w:szCs w:val="24"/>
              </w:rPr>
            </w:pPr>
            <w:r>
              <w:rPr>
                <w:rFonts w:hint="eastAsia" w:ascii="宋体" w:hAnsi="宋体"/>
                <w:bCs/>
                <w:iCs/>
                <w:sz w:val="24"/>
                <w:szCs w:val="24"/>
              </w:rPr>
              <w:sym w:font="Wingdings 2" w:char="00A3"/>
            </w:r>
            <w:r>
              <w:rPr>
                <w:rFonts w:hint="eastAsia" w:ascii="宋体" w:hAnsi="宋体"/>
                <w:sz w:val="24"/>
                <w:szCs w:val="24"/>
              </w:rPr>
              <w:t>其他（电话会议）</w:t>
            </w:r>
          </w:p>
        </w:tc>
      </w:tr>
      <w:tr w14:paraId="622A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72B2D1EE">
            <w:pPr>
              <w:spacing w:line="360" w:lineRule="auto"/>
              <w:jc w:val="center"/>
              <w:rPr>
                <w:rFonts w:hint="eastAsia" w:ascii="宋体" w:hAnsi="宋体"/>
                <w:b/>
                <w:bCs/>
                <w:iCs/>
                <w:sz w:val="24"/>
                <w:szCs w:val="24"/>
              </w:rPr>
            </w:pPr>
            <w:r>
              <w:rPr>
                <w:rFonts w:hint="eastAsia" w:ascii="宋体" w:hAnsi="宋体"/>
                <w:b/>
                <w:bCs/>
                <w:iCs/>
                <w:sz w:val="24"/>
                <w:szCs w:val="24"/>
              </w:rPr>
              <w:t>参与单位名称</w:t>
            </w:r>
          </w:p>
        </w:tc>
        <w:tc>
          <w:tcPr>
            <w:tcW w:w="6203" w:type="dxa"/>
            <w:noWrap w:val="0"/>
            <w:vAlign w:val="top"/>
          </w:tcPr>
          <w:p w14:paraId="7CE61A69">
            <w:pPr>
              <w:spacing w:line="360" w:lineRule="auto"/>
              <w:rPr>
                <w:rFonts w:hint="default" w:ascii="宋体" w:hAnsi="宋体" w:cs="宋体"/>
                <w:sz w:val="24"/>
                <w:szCs w:val="24"/>
                <w:lang w:val="en-US" w:eastAsia="zh-CN"/>
              </w:rPr>
            </w:pPr>
            <w:bookmarkStart w:id="0" w:name="OLE_LINK1"/>
            <w:r>
              <w:rPr>
                <w:rFonts w:hint="eastAsia" w:ascii="宋体" w:hAnsi="宋体" w:cs="宋体"/>
                <w:sz w:val="24"/>
                <w:szCs w:val="24"/>
              </w:rPr>
              <w:t>广发证券、民生证券、中银证券、长江证券、兴业证券、开源证券、浙商证券、国盛证券、东吴证券、光大证券、招商证券、海通证券、华西证券、德邦证券、太平洋证券、东北证券、华安证券、国金证券、华创证券、信达证券</w:t>
            </w:r>
            <w:bookmarkEnd w:id="0"/>
            <w:bookmarkStart w:id="21" w:name="_GoBack"/>
            <w:bookmarkEnd w:id="21"/>
          </w:p>
        </w:tc>
      </w:tr>
      <w:tr w14:paraId="63BC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1A8094E6">
            <w:pPr>
              <w:spacing w:line="360" w:lineRule="auto"/>
              <w:jc w:val="center"/>
              <w:rPr>
                <w:rFonts w:ascii="宋体" w:hAnsi="宋体"/>
                <w:b/>
                <w:bCs/>
                <w:iCs/>
                <w:sz w:val="24"/>
                <w:szCs w:val="24"/>
              </w:rPr>
            </w:pPr>
            <w:r>
              <w:rPr>
                <w:rFonts w:hint="eastAsia" w:ascii="宋体" w:hAnsi="宋体"/>
                <w:b/>
                <w:bCs/>
                <w:iCs/>
                <w:sz w:val="24"/>
                <w:szCs w:val="24"/>
              </w:rPr>
              <w:t>时间</w:t>
            </w:r>
          </w:p>
        </w:tc>
        <w:tc>
          <w:tcPr>
            <w:tcW w:w="6203" w:type="dxa"/>
            <w:noWrap w:val="0"/>
            <w:vAlign w:val="top"/>
          </w:tcPr>
          <w:p w14:paraId="326BC5A2">
            <w:pPr>
              <w:spacing w:line="360" w:lineRule="auto"/>
              <w:rPr>
                <w:rFonts w:hint="default" w:ascii="宋体" w:hAnsi="宋体" w:eastAsia="宋体"/>
                <w:bCs/>
                <w:iCs/>
                <w:sz w:val="24"/>
                <w:szCs w:val="24"/>
                <w:lang w:val="en-US" w:eastAsia="zh-CN"/>
              </w:rPr>
            </w:pPr>
            <w:r>
              <w:rPr>
                <w:rFonts w:hint="eastAsia" w:ascii="宋体" w:hAnsi="宋体"/>
                <w:bCs/>
                <w:iCs/>
                <w:sz w:val="24"/>
                <w:szCs w:val="24"/>
              </w:rPr>
              <w:t>20</w:t>
            </w:r>
            <w:r>
              <w:rPr>
                <w:rFonts w:ascii="宋体" w:hAnsi="宋体"/>
                <w:bCs/>
                <w:iCs/>
                <w:sz w:val="24"/>
                <w:szCs w:val="24"/>
              </w:rPr>
              <w:t>2</w:t>
            </w:r>
            <w:r>
              <w:rPr>
                <w:rFonts w:hint="eastAsia" w:ascii="宋体" w:hAnsi="宋体"/>
                <w:bCs/>
                <w:iCs/>
                <w:sz w:val="24"/>
                <w:szCs w:val="24"/>
                <w:lang w:val="en-US" w:eastAsia="zh-CN"/>
              </w:rPr>
              <w:t>4</w:t>
            </w:r>
            <w:r>
              <w:rPr>
                <w:rFonts w:hint="eastAsia" w:ascii="宋体" w:hAnsi="宋体"/>
                <w:bCs/>
                <w:iCs/>
                <w:sz w:val="24"/>
                <w:szCs w:val="24"/>
              </w:rPr>
              <w:t>年</w:t>
            </w:r>
            <w:r>
              <w:rPr>
                <w:rFonts w:hint="eastAsia" w:ascii="宋体" w:hAnsi="宋体"/>
                <w:bCs/>
                <w:iCs/>
                <w:sz w:val="24"/>
                <w:szCs w:val="24"/>
                <w:lang w:val="en-US" w:eastAsia="zh-CN"/>
              </w:rPr>
              <w:t>8</w:t>
            </w:r>
            <w:r>
              <w:rPr>
                <w:rFonts w:hint="eastAsia" w:ascii="宋体" w:hAnsi="宋体"/>
                <w:bCs/>
                <w:iCs/>
                <w:sz w:val="24"/>
                <w:szCs w:val="24"/>
              </w:rPr>
              <w:t>月</w:t>
            </w:r>
            <w:r>
              <w:rPr>
                <w:rFonts w:hint="eastAsia" w:ascii="宋体" w:hAnsi="宋体"/>
                <w:bCs/>
                <w:iCs/>
                <w:sz w:val="24"/>
                <w:szCs w:val="24"/>
                <w:lang w:val="en-US" w:eastAsia="zh-CN"/>
              </w:rPr>
              <w:t>30</w:t>
            </w:r>
            <w:r>
              <w:rPr>
                <w:rFonts w:hint="eastAsia" w:ascii="宋体" w:hAnsi="宋体"/>
                <w:bCs/>
                <w:iCs/>
                <w:sz w:val="24"/>
                <w:szCs w:val="24"/>
              </w:rPr>
              <w:t>日</w:t>
            </w:r>
          </w:p>
        </w:tc>
      </w:tr>
      <w:tr w14:paraId="2448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3FEB7A8D">
            <w:pPr>
              <w:spacing w:line="360" w:lineRule="auto"/>
              <w:jc w:val="center"/>
              <w:rPr>
                <w:rFonts w:ascii="宋体" w:hAnsi="宋体"/>
                <w:b/>
                <w:bCs/>
                <w:iCs/>
                <w:sz w:val="24"/>
                <w:szCs w:val="24"/>
              </w:rPr>
            </w:pPr>
            <w:r>
              <w:rPr>
                <w:rFonts w:hint="eastAsia" w:ascii="宋体" w:hAnsi="宋体"/>
                <w:b/>
                <w:bCs/>
                <w:iCs/>
                <w:sz w:val="24"/>
                <w:szCs w:val="24"/>
              </w:rPr>
              <w:t>参会方式</w:t>
            </w:r>
          </w:p>
        </w:tc>
        <w:tc>
          <w:tcPr>
            <w:tcW w:w="6203" w:type="dxa"/>
            <w:noWrap w:val="0"/>
            <w:vAlign w:val="top"/>
          </w:tcPr>
          <w:p w14:paraId="4C5F5090">
            <w:pPr>
              <w:spacing w:line="360" w:lineRule="auto"/>
              <w:rPr>
                <w:rFonts w:hint="default" w:ascii="宋体" w:hAnsi="宋体" w:eastAsia="宋体"/>
                <w:bCs/>
                <w:iCs/>
                <w:sz w:val="24"/>
                <w:szCs w:val="24"/>
                <w:lang w:val="en-US" w:eastAsia="zh-CN"/>
              </w:rPr>
            </w:pPr>
            <w:r>
              <w:rPr>
                <w:rFonts w:hint="eastAsia" w:ascii="宋体" w:hAnsi="宋体"/>
                <w:bCs/>
                <w:iCs/>
                <w:sz w:val="24"/>
                <w:szCs w:val="24"/>
                <w:lang w:val="en-US" w:eastAsia="zh-CN"/>
              </w:rPr>
              <w:t>线上会议</w:t>
            </w:r>
          </w:p>
        </w:tc>
      </w:tr>
      <w:tr w14:paraId="2200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25249036">
            <w:pPr>
              <w:spacing w:line="360" w:lineRule="auto"/>
              <w:jc w:val="center"/>
              <w:rPr>
                <w:rFonts w:hint="eastAsia" w:ascii="宋体" w:hAnsi="宋体"/>
                <w:b/>
                <w:bCs/>
                <w:iCs/>
                <w:sz w:val="24"/>
                <w:szCs w:val="24"/>
              </w:rPr>
            </w:pPr>
            <w:r>
              <w:rPr>
                <w:rFonts w:hint="eastAsia" w:ascii="宋体" w:hAnsi="宋体"/>
                <w:b/>
                <w:bCs/>
                <w:iCs/>
                <w:sz w:val="24"/>
                <w:szCs w:val="24"/>
              </w:rPr>
              <w:t>上市公司接待人员姓名</w:t>
            </w:r>
          </w:p>
        </w:tc>
        <w:tc>
          <w:tcPr>
            <w:tcW w:w="6203" w:type="dxa"/>
            <w:noWrap w:val="0"/>
            <w:vAlign w:val="center"/>
          </w:tcPr>
          <w:p w14:paraId="64ED8782">
            <w:pPr>
              <w:spacing w:line="360" w:lineRule="auto"/>
              <w:rPr>
                <w:rFonts w:hint="default" w:ascii="宋体" w:hAnsi="宋体"/>
                <w:bCs/>
                <w:iCs/>
                <w:sz w:val="24"/>
                <w:szCs w:val="24"/>
                <w:lang w:val="en-US" w:eastAsia="zh-CN"/>
              </w:rPr>
            </w:pPr>
            <w:r>
              <w:rPr>
                <w:rFonts w:hint="eastAsia" w:ascii="宋体" w:hAnsi="宋体"/>
                <w:bCs/>
                <w:iCs/>
                <w:sz w:val="24"/>
                <w:szCs w:val="24"/>
                <w:lang w:val="en-US" w:eastAsia="zh-CN"/>
              </w:rPr>
              <w:t>董事长：利虔先生</w:t>
            </w:r>
          </w:p>
          <w:p w14:paraId="6FEB1A5F">
            <w:pPr>
              <w:spacing w:line="360" w:lineRule="auto"/>
              <w:rPr>
                <w:rFonts w:hint="eastAsia" w:ascii="宋体" w:hAnsi="宋体"/>
                <w:bCs/>
                <w:iCs/>
                <w:sz w:val="24"/>
                <w:szCs w:val="24"/>
                <w:lang w:val="en-US" w:eastAsia="zh-CN"/>
              </w:rPr>
            </w:pPr>
            <w:r>
              <w:rPr>
                <w:rFonts w:hint="eastAsia" w:ascii="宋体" w:hAnsi="宋体"/>
                <w:bCs/>
                <w:iCs/>
                <w:sz w:val="24"/>
                <w:szCs w:val="24"/>
                <w:lang w:val="en-US" w:eastAsia="zh-CN"/>
              </w:rPr>
              <w:t>董事、董事会秘书、财务总监：赵凌阳先生</w:t>
            </w:r>
          </w:p>
          <w:p w14:paraId="4AA6AA19">
            <w:pPr>
              <w:spacing w:line="360" w:lineRule="auto"/>
              <w:rPr>
                <w:rFonts w:hint="default" w:ascii="宋体" w:hAnsi="宋体"/>
                <w:bCs/>
                <w:iCs/>
                <w:sz w:val="24"/>
                <w:szCs w:val="24"/>
                <w:lang w:val="en-US" w:eastAsia="zh-CN"/>
              </w:rPr>
            </w:pPr>
            <w:r>
              <w:rPr>
                <w:rFonts w:hint="eastAsia" w:ascii="宋体" w:hAnsi="宋体"/>
                <w:bCs/>
                <w:iCs/>
                <w:sz w:val="24"/>
                <w:szCs w:val="24"/>
                <w:lang w:val="en-US" w:eastAsia="zh-CN"/>
              </w:rPr>
              <w:t>证券事务代表：魏丽萍女士</w:t>
            </w:r>
          </w:p>
        </w:tc>
      </w:tr>
      <w:tr w14:paraId="276D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0394FAC4">
            <w:pPr>
              <w:spacing w:line="360" w:lineRule="auto"/>
              <w:jc w:val="center"/>
              <w:rPr>
                <w:rFonts w:ascii="宋体" w:hAnsi="宋体"/>
                <w:b/>
                <w:bCs/>
                <w:iCs/>
                <w:sz w:val="24"/>
                <w:szCs w:val="24"/>
              </w:rPr>
            </w:pPr>
            <w:r>
              <w:rPr>
                <w:rFonts w:hint="eastAsia" w:ascii="宋体" w:hAnsi="宋体"/>
                <w:b/>
                <w:bCs/>
                <w:iCs/>
                <w:sz w:val="24"/>
                <w:szCs w:val="24"/>
              </w:rPr>
              <w:t>投资者关系活动主要内容介绍</w:t>
            </w:r>
          </w:p>
        </w:tc>
        <w:tc>
          <w:tcPr>
            <w:tcW w:w="6203" w:type="dxa"/>
            <w:noWrap w:val="0"/>
            <w:vAlign w:val="top"/>
          </w:tcPr>
          <w:p w14:paraId="7B75FDDC">
            <w:pPr>
              <w:numPr>
                <w:ilvl w:val="-1"/>
                <w:numId w:val="0"/>
              </w:numPr>
              <w:spacing w:before="156" w:beforeLines="50" w:line="360" w:lineRule="auto"/>
              <w:ind w:firstLine="480" w:firstLineChars="200"/>
              <w:rPr>
                <w:rFonts w:hint="eastAsia" w:ascii="Times New Roman" w:hAnsi="Times New Roman"/>
                <w:b w:val="0"/>
                <w:iCs w:val="0"/>
                <w:sz w:val="24"/>
                <w:szCs w:val="20"/>
                <w:highlight w:val="none"/>
              </w:rPr>
            </w:pPr>
            <w:r>
              <w:rPr>
                <w:rFonts w:hint="eastAsia" w:ascii="Times New Roman" w:hAnsi="Times New Roman"/>
                <w:b w:val="0"/>
                <w:iCs w:val="0"/>
                <w:sz w:val="24"/>
                <w:szCs w:val="20"/>
                <w:highlight w:val="none"/>
                <w:lang w:val="en-US" w:eastAsia="zh-CN"/>
              </w:rPr>
              <w:t>一、</w:t>
            </w:r>
            <w:r>
              <w:rPr>
                <w:rFonts w:hint="eastAsia" w:ascii="Times New Roman" w:hAnsi="Times New Roman"/>
                <w:b w:val="0"/>
                <w:iCs w:val="0"/>
                <w:sz w:val="24"/>
                <w:szCs w:val="20"/>
                <w:highlight w:val="none"/>
              </w:rPr>
              <w:t>公司介绍环节</w:t>
            </w:r>
          </w:p>
          <w:p w14:paraId="11490AD6">
            <w:pPr>
              <w:keepNext w:val="0"/>
              <w:keepLines w:val="0"/>
              <w:numPr>
                <w:ilvl w:val="-1"/>
                <w:numId w:val="0"/>
              </w:numPr>
              <w:suppressLineNumbers w:val="0"/>
              <w:spacing w:before="156" w:beforeLines="50" w:beforeAutospacing="0" w:after="0" w:afterLines="-2147483648" w:afterAutospacing="0" w:line="360" w:lineRule="auto"/>
              <w:ind w:left="0" w:right="0" w:firstLine="480" w:firstLineChars="200"/>
              <w:rPr>
                <w:rFonts w:hint="eastAsia" w:ascii="Times New Roman" w:hAnsi="Times New Roman" w:cs="Times New Roman"/>
                <w:kern w:val="2"/>
                <w:sz w:val="24"/>
                <w:highlight w:val="none"/>
              </w:rPr>
            </w:pPr>
            <w:r>
              <w:rPr>
                <w:rFonts w:hint="eastAsia" w:ascii="Times New Roman" w:hAnsi="Times New Roman" w:cs="Times New Roman"/>
                <w:kern w:val="2"/>
                <w:sz w:val="24"/>
                <w:highlight w:val="none"/>
              </w:rPr>
              <w:t>公司是一家专业的药物临床前及临床综合研发服务 CRO，为国内医药企业和科研机构提供全方位的一站式药物研发服务，致力于协助国内医药制造企业加速实现进口替代和自主创新。服务内容主要包括药物发现、药理药效、药学研究、临床研究和生物分析。</w:t>
            </w:r>
          </w:p>
          <w:p w14:paraId="20DA7A91">
            <w:pPr>
              <w:keepNext w:val="0"/>
              <w:keepLines w:val="0"/>
              <w:numPr>
                <w:ilvl w:val="-1"/>
                <w:numId w:val="0"/>
              </w:numPr>
              <w:suppressLineNumbers w:val="0"/>
              <w:spacing w:before="156" w:beforeLines="50" w:beforeAutospacing="0" w:after="0" w:afterLines="-2147483648" w:afterAutospacing="0" w:line="360" w:lineRule="auto"/>
              <w:ind w:left="0" w:right="0" w:firstLine="480" w:firstLineChars="200"/>
              <w:rPr>
                <w:rFonts w:hint="eastAsia" w:ascii="Times New Roman" w:hAnsi="Times New Roman" w:cs="Times New Roman"/>
                <w:kern w:val="2"/>
                <w:sz w:val="24"/>
                <w:highlight w:val="none"/>
              </w:rPr>
            </w:pPr>
            <w:r>
              <w:rPr>
                <w:rFonts w:hint="eastAsia" w:ascii="Times New Roman" w:hAnsi="Times New Roman" w:cs="Times New Roman"/>
                <w:kern w:val="2"/>
                <w:sz w:val="24"/>
                <w:highlight w:val="none"/>
              </w:rPr>
              <w:t>公司2024年1-6月实现营业收入5.63亿元，同比增长22.08%，实现归属于上市公司股东的净利润和归属于上市公司股东的扣除非经常性损益的净利润分别为1.49亿元和1.43亿元，同比增长分别为25.91%和24.49%，基本每股收益为1.33元/股，同比增长26.67%。业务结构方面，药学研究服务，实现营业收入34,285.14万元，同比增长8.29%；临床试验、生物分析及药理药效服务实现营业收入21,655.10万元，同比增长50.28%。权益分成服务实现营业收入333.91万元，同比增长100.00%。</w:t>
            </w:r>
          </w:p>
          <w:p w14:paraId="3870B36E">
            <w:pPr>
              <w:keepNext w:val="0"/>
              <w:keepLines w:val="0"/>
              <w:numPr>
                <w:ilvl w:val="-1"/>
                <w:numId w:val="0"/>
              </w:numPr>
              <w:suppressLineNumbers w:val="0"/>
              <w:spacing w:before="156" w:beforeLines="50" w:beforeAutospacing="0" w:after="0" w:afterLines="-2147483648" w:afterAutospacing="0" w:line="360" w:lineRule="auto"/>
              <w:ind w:left="0" w:right="0" w:firstLine="480" w:firstLineChars="200"/>
              <w:rPr>
                <w:rFonts w:hint="eastAsia" w:ascii="Times New Roman" w:hAnsi="Times New Roman" w:cs="Times New Roman"/>
                <w:kern w:val="2"/>
                <w:sz w:val="24"/>
                <w:highlight w:val="none"/>
              </w:rPr>
            </w:pPr>
            <w:r>
              <w:rPr>
                <w:rFonts w:hint="eastAsia" w:ascii="Times New Roman" w:hAnsi="Times New Roman" w:cs="Times New Roman"/>
                <w:kern w:val="2"/>
                <w:sz w:val="24"/>
                <w:highlight w:val="none"/>
              </w:rPr>
              <w:t>目前公司在创新药方面聚焦于多肽类和小核酸类药物的研发，研发标的的来源多为自主立项。截止2024上半年，控股子公司诺和晟泰在研创新药项目“STC007注射液”已经进入临床二期，其主要适应症为治疗接受血液透析（HD）的成人慢性肾脏疾病相关的中至重度瘙痒（CKD-aP）及治疗术后疼痛，“STC008注射液”已获得临床试验许可，其主要适应症为治疗晚期实体瘤的肿瘤恶液质。</w:t>
            </w:r>
          </w:p>
          <w:p w14:paraId="51784528">
            <w:pPr>
              <w:keepNext w:val="0"/>
              <w:keepLines w:val="0"/>
              <w:numPr>
                <w:ilvl w:val="-1"/>
                <w:numId w:val="0"/>
              </w:numPr>
              <w:suppressLineNumbers w:val="0"/>
              <w:spacing w:before="156" w:beforeLines="50" w:beforeAutospacing="0" w:after="0" w:afterLines="-2147483648" w:afterAutospacing="0" w:line="360" w:lineRule="auto"/>
              <w:ind w:left="0" w:right="0" w:firstLine="480" w:firstLineChars="200"/>
              <w:rPr>
                <w:rFonts w:hint="eastAsia" w:ascii="Times New Roman" w:hAnsi="Times New Roman" w:cs="Times New Roman"/>
                <w:kern w:val="2"/>
                <w:sz w:val="24"/>
                <w:highlight w:val="none"/>
              </w:rPr>
            </w:pPr>
            <w:r>
              <w:rPr>
                <w:rFonts w:hint="eastAsia" w:ascii="Times New Roman" w:hAnsi="Times New Roman" w:cs="Times New Roman"/>
                <w:kern w:val="2"/>
                <w:sz w:val="24"/>
                <w:highlight w:val="none"/>
              </w:rPr>
              <w:t>截止2024上半年，公司参与研发和自主立项研发的项目中，共8项新药项目已通过NMPA批准进入临床试验，70项药品申报上市注册受理，8项一致性评价注册受理；取得39项药品生产注册批件；7项通过一致性评价；6项原料药通过审评获批。</w:t>
            </w:r>
          </w:p>
          <w:p w14:paraId="0947F98A">
            <w:pPr>
              <w:numPr>
                <w:ilvl w:val="-1"/>
                <w:numId w:val="0"/>
              </w:numPr>
              <w:spacing w:before="156" w:beforeLines="50" w:line="360" w:lineRule="auto"/>
              <w:ind w:firstLine="480" w:firstLineChars="200"/>
              <w:rPr>
                <w:rFonts w:hint="eastAsia"/>
                <w:kern w:val="2"/>
                <w:sz w:val="24"/>
                <w:szCs w:val="20"/>
                <w:highlight w:val="none"/>
              </w:rPr>
            </w:pPr>
            <w:r>
              <w:rPr>
                <w:rFonts w:hint="eastAsia" w:ascii="Times New Roman" w:hAnsi="Times New Roman" w:cs="Times New Roman"/>
                <w:kern w:val="2"/>
                <w:sz w:val="24"/>
                <w:highlight w:val="none"/>
              </w:rPr>
              <w:t>公司规模逐渐扩大，研发人员团队持续增长。公司目前在北京、上海、南京、无锡、成都、武汉均有子公司覆盖，共计拥有 3.79 万平方米的研发实验室。公司员工1,394人，其中研发人员1,163人，占员工总数的比例为83.43%。</w:t>
            </w:r>
          </w:p>
          <w:p w14:paraId="1692C965">
            <w:pPr>
              <w:numPr>
                <w:ilvl w:val="-1"/>
                <w:numId w:val="0"/>
              </w:numPr>
              <w:spacing w:before="156" w:beforeLines="50" w:line="360" w:lineRule="auto"/>
              <w:ind w:firstLine="480" w:firstLineChars="200"/>
              <w:rPr>
                <w:rFonts w:hint="eastAsia" w:ascii="Times New Roman" w:hAnsi="Times New Roman"/>
                <w:b w:val="0"/>
                <w:iCs w:val="0"/>
                <w:sz w:val="24"/>
                <w:szCs w:val="20"/>
                <w:highlight w:val="none"/>
              </w:rPr>
            </w:pPr>
            <w:r>
              <w:rPr>
                <w:rFonts w:hint="eastAsia" w:ascii="Times New Roman" w:hAnsi="Times New Roman"/>
                <w:b w:val="0"/>
                <w:iCs w:val="0"/>
                <w:sz w:val="24"/>
                <w:szCs w:val="20"/>
                <w:highlight w:val="none"/>
                <w:lang w:val="en-US" w:eastAsia="zh-CN"/>
              </w:rPr>
              <w:t>二、</w:t>
            </w:r>
            <w:r>
              <w:rPr>
                <w:rFonts w:hint="eastAsia" w:ascii="Times New Roman" w:hAnsi="Times New Roman"/>
                <w:b w:val="0"/>
                <w:iCs w:val="0"/>
                <w:sz w:val="24"/>
                <w:szCs w:val="20"/>
                <w:highlight w:val="none"/>
              </w:rPr>
              <w:t>问答环节</w:t>
            </w:r>
          </w:p>
          <w:p w14:paraId="3E217233">
            <w:pPr>
              <w:numPr>
                <w:ilvl w:val="-1"/>
                <w:numId w:val="0"/>
              </w:numPr>
              <w:spacing w:before="156" w:beforeLines="50" w:line="360" w:lineRule="auto"/>
              <w:ind w:firstLine="482" w:firstLineChars="200"/>
              <w:rPr>
                <w:rFonts w:hint="eastAsia" w:ascii="Times New Roman" w:hAnsi="Times New Roman"/>
                <w:b/>
                <w:bCs/>
                <w:iCs w:val="0"/>
                <w:sz w:val="24"/>
                <w:szCs w:val="20"/>
                <w:highlight w:val="none"/>
              </w:rPr>
            </w:pPr>
            <w:r>
              <w:rPr>
                <w:rFonts w:hint="eastAsia" w:ascii="Times New Roman" w:hAnsi="Times New Roman"/>
                <w:b/>
                <w:bCs/>
                <w:iCs w:val="0"/>
                <w:sz w:val="24"/>
                <w:szCs w:val="20"/>
                <w:highlight w:val="none"/>
                <w:lang w:val="en-US" w:eastAsia="zh-CN"/>
              </w:rPr>
              <w:t>1.</w:t>
            </w:r>
            <w:r>
              <w:rPr>
                <w:rFonts w:hint="eastAsia" w:ascii="Times New Roman" w:hAnsi="Times New Roman"/>
                <w:b/>
                <w:bCs/>
                <w:iCs w:val="0"/>
                <w:sz w:val="24"/>
                <w:szCs w:val="20"/>
                <w:highlight w:val="none"/>
              </w:rPr>
              <w:t>权益分成主要是哪些产品贡献的收入？下半年如何展望？</w:t>
            </w:r>
          </w:p>
          <w:p w14:paraId="07E263AF">
            <w:pPr>
              <w:numPr>
                <w:ilvl w:val="-1"/>
                <w:numId w:val="0"/>
              </w:numPr>
              <w:spacing w:before="156" w:beforeLines="50" w:line="360" w:lineRule="auto"/>
              <w:ind w:firstLine="480" w:firstLineChars="200"/>
              <w:rPr>
                <w:rFonts w:hint="eastAsia" w:ascii="Times New Roman" w:hAnsi="Times New Roman" w:eastAsia="宋体"/>
                <w:bCs w:val="0"/>
                <w:iCs w:val="0"/>
                <w:sz w:val="24"/>
                <w:szCs w:val="20"/>
                <w:highlight w:val="none"/>
                <w:lang w:val="en-US" w:eastAsia="zh-CN"/>
              </w:rPr>
            </w:pPr>
            <w:r>
              <w:rPr>
                <w:rFonts w:hint="eastAsia" w:ascii="Times New Roman" w:hAnsi="Times New Roman"/>
                <w:b w:val="0"/>
                <w:bCs w:val="0"/>
                <w:iCs w:val="0"/>
                <w:sz w:val="24"/>
                <w:szCs w:val="20"/>
                <w:highlight w:val="none"/>
              </w:rPr>
              <w:t>公司</w:t>
            </w:r>
            <w:bookmarkStart w:id="1" w:name="OLE_LINK2"/>
            <w:r>
              <w:rPr>
                <w:rFonts w:hint="eastAsia" w:ascii="Times New Roman" w:hAnsi="Times New Roman"/>
                <w:b w:val="0"/>
                <w:bCs w:val="0"/>
                <w:iCs w:val="0"/>
                <w:sz w:val="24"/>
                <w:szCs w:val="20"/>
                <w:highlight w:val="none"/>
              </w:rPr>
              <w:t>在无客户委托的情况下会自行储备一些自主立项项目，由公司选择市场前景良好的研发标的，前期先自行投入并计入研发费用，待开发到一定阶段后择机推荐给客户，并接受客户委托继续提供研发服务，公司和部分客户会在合同中约定保留了药品上市后的销售权益分成，在</w:t>
            </w:r>
            <w:bookmarkEnd w:id="1"/>
            <w:r>
              <w:rPr>
                <w:rFonts w:hint="eastAsia" w:ascii="Times New Roman" w:hAnsi="Times New Roman"/>
                <w:b w:val="0"/>
                <w:bCs w:val="0"/>
                <w:iCs w:val="0"/>
                <w:sz w:val="24"/>
                <w:szCs w:val="20"/>
                <w:highlight w:val="none"/>
              </w:rPr>
              <w:t>药品的有效生命周期内公司可以通过销售权益分成的形式持续稳</w:t>
            </w:r>
            <w:bookmarkStart w:id="2" w:name="OLE_LINK3"/>
            <w:r>
              <w:rPr>
                <w:rFonts w:hint="eastAsia" w:ascii="Times New Roman" w:hAnsi="Times New Roman"/>
                <w:b w:val="0"/>
                <w:bCs w:val="0"/>
                <w:iCs w:val="0"/>
                <w:sz w:val="24"/>
                <w:szCs w:val="20"/>
                <w:highlight w:val="none"/>
              </w:rPr>
              <w:t>定的获得收益，公司实现更大市场价值，达到公司和客户共融共享的目的。截止</w:t>
            </w:r>
            <w:r>
              <w:rPr>
                <w:rFonts w:hint="eastAsia" w:ascii="Times New Roman" w:hAnsi="Times New Roman"/>
                <w:b w:val="0"/>
                <w:bCs w:val="0"/>
                <w:iCs w:val="0"/>
                <w:sz w:val="24"/>
                <w:szCs w:val="20"/>
                <w:highlight w:val="none"/>
                <w:lang w:eastAsia="zh-CN"/>
              </w:rPr>
              <w:t>2</w:t>
            </w:r>
            <w:r>
              <w:rPr>
                <w:rFonts w:hint="eastAsia" w:ascii="Times New Roman" w:hAnsi="Times New Roman"/>
                <w:b w:val="0"/>
                <w:bCs w:val="0"/>
                <w:iCs w:val="0"/>
                <w:sz w:val="24"/>
                <w:szCs w:val="20"/>
                <w:highlight w:val="none"/>
                <w:lang w:val="en-US" w:eastAsia="zh-CN"/>
              </w:rPr>
              <w:t>024上半年</w:t>
            </w:r>
            <w:r>
              <w:rPr>
                <w:rFonts w:hint="eastAsia" w:ascii="Times New Roman" w:hAnsi="Times New Roman"/>
                <w:b w:val="0"/>
                <w:bCs w:val="0"/>
                <w:iCs w:val="0"/>
                <w:sz w:val="24"/>
                <w:szCs w:val="20"/>
                <w:highlight w:val="none"/>
              </w:rPr>
              <w:t>，公司取得生产批件的权益分成项目共5项，权益分成实现营业收入333.91万元，</w:t>
            </w:r>
            <w:bookmarkEnd w:id="2"/>
            <w:r>
              <w:rPr>
                <w:rFonts w:hint="eastAsia" w:ascii="Times New Roman" w:hAnsi="Times New Roman"/>
                <w:bCs w:val="0"/>
                <w:iCs w:val="0"/>
                <w:sz w:val="24"/>
                <w:szCs w:val="20"/>
                <w:highlight w:val="none"/>
              </w:rPr>
              <w:t>上半年主要</w:t>
            </w:r>
            <w:r>
              <w:rPr>
                <w:rFonts w:hint="eastAsia"/>
                <w:bCs w:val="0"/>
                <w:iCs w:val="0"/>
                <w:sz w:val="24"/>
                <w:szCs w:val="20"/>
                <w:highlight w:val="none"/>
                <w:lang w:val="en-US" w:eastAsia="zh-CN"/>
              </w:rPr>
              <w:t>涉及分成结算的有</w:t>
            </w:r>
            <w:r>
              <w:rPr>
                <w:rFonts w:hint="eastAsia" w:ascii="Times New Roman" w:hAnsi="Times New Roman"/>
                <w:bCs w:val="0"/>
                <w:iCs w:val="0"/>
                <w:sz w:val="24"/>
                <w:szCs w:val="20"/>
                <w:highlight w:val="none"/>
              </w:rPr>
              <w:t>两个产品</w:t>
            </w:r>
            <w:r>
              <w:rPr>
                <w:rFonts w:hint="eastAsia"/>
                <w:bCs w:val="0"/>
                <w:iCs w:val="0"/>
                <w:sz w:val="24"/>
                <w:szCs w:val="20"/>
                <w:highlight w:val="none"/>
                <w:lang w:eastAsia="zh-CN"/>
              </w:rPr>
              <w:t>，</w:t>
            </w:r>
            <w:r>
              <w:rPr>
                <w:rFonts w:hint="eastAsia" w:ascii="Times New Roman" w:hAnsi="Times New Roman"/>
                <w:bCs w:val="0"/>
                <w:iCs w:val="0"/>
                <w:sz w:val="24"/>
                <w:szCs w:val="20"/>
                <w:highlight w:val="none"/>
              </w:rPr>
              <w:t>吡美莫司乳膏</w:t>
            </w:r>
            <w:r>
              <w:rPr>
                <w:rFonts w:hint="eastAsia" w:ascii="Times New Roman" w:hAnsi="Times New Roman"/>
                <w:bCs w:val="0"/>
                <w:iCs w:val="0"/>
                <w:sz w:val="24"/>
                <w:szCs w:val="20"/>
                <w:highlight w:val="none"/>
                <w:lang w:val="en-US" w:eastAsia="zh-CN"/>
              </w:rPr>
              <w:t>（公司</w:t>
            </w:r>
            <w:r>
              <w:rPr>
                <w:rFonts w:hint="eastAsia"/>
                <w:bCs w:val="0"/>
                <w:iCs w:val="0"/>
                <w:sz w:val="24"/>
                <w:szCs w:val="20"/>
                <w:highlight w:val="none"/>
                <w:lang w:val="en-US" w:eastAsia="zh-CN"/>
              </w:rPr>
              <w:t>持有</w:t>
            </w:r>
            <w:r>
              <w:rPr>
                <w:rFonts w:hint="eastAsia" w:ascii="Times New Roman" w:hAnsi="Times New Roman"/>
                <w:bCs w:val="0"/>
                <w:iCs w:val="0"/>
                <w:sz w:val="24"/>
                <w:szCs w:val="20"/>
                <w:highlight w:val="none"/>
                <w:lang w:val="en-US" w:eastAsia="zh-CN"/>
              </w:rPr>
              <w:t>80%的权益）以及卡贝缩宫素注射液（公司持有50%的权益），公司</w:t>
            </w:r>
            <w:bookmarkStart w:id="3" w:name="OLE_LINK12"/>
            <w:r>
              <w:rPr>
                <w:rFonts w:hint="eastAsia" w:ascii="Times New Roman" w:hAnsi="Times New Roman"/>
                <w:bCs w:val="0"/>
                <w:iCs w:val="0"/>
                <w:sz w:val="24"/>
                <w:szCs w:val="20"/>
                <w:highlight w:val="none"/>
                <w:lang w:val="en-US" w:eastAsia="zh-CN"/>
              </w:rPr>
              <w:t>未来</w:t>
            </w:r>
            <w:r>
              <w:rPr>
                <w:rFonts w:hint="eastAsia" w:ascii="Times New Roman" w:hAnsi="Times New Roman"/>
                <w:bCs w:val="0"/>
                <w:iCs w:val="0"/>
                <w:sz w:val="24"/>
                <w:szCs w:val="20"/>
                <w:highlight w:val="none"/>
              </w:rPr>
              <w:t>每年还会增加几个带权益品种获批上市，自研项目带权益品种数量会不断滚动增加</w:t>
            </w:r>
            <w:r>
              <w:rPr>
                <w:rFonts w:hint="eastAsia" w:ascii="Times New Roman" w:hAnsi="Times New Roman"/>
                <w:bCs w:val="0"/>
                <w:iCs w:val="0"/>
                <w:sz w:val="24"/>
                <w:szCs w:val="20"/>
                <w:highlight w:val="none"/>
                <w:lang w:eastAsia="zh-CN"/>
              </w:rPr>
              <w:t>，</w:t>
            </w:r>
            <w:r>
              <w:rPr>
                <w:rFonts w:hint="eastAsia" w:ascii="Times New Roman" w:hAnsi="Times New Roman"/>
                <w:bCs w:val="0"/>
                <w:iCs w:val="0"/>
                <w:sz w:val="24"/>
                <w:szCs w:val="20"/>
                <w:highlight w:val="none"/>
                <w:lang w:val="en-US" w:eastAsia="zh-CN"/>
              </w:rPr>
              <w:t>该部分</w:t>
            </w:r>
            <w:r>
              <w:rPr>
                <w:rFonts w:hint="eastAsia" w:ascii="Times New Roman" w:hAnsi="Times New Roman"/>
                <w:b w:val="0"/>
                <w:bCs w:val="0"/>
                <w:iCs w:val="0"/>
                <w:sz w:val="24"/>
                <w:szCs w:val="20"/>
                <w:highlight w:val="none"/>
              </w:rPr>
              <w:t>会为公司带来研发期后收入，延长项目盈利周期。</w:t>
            </w:r>
            <w:bookmarkEnd w:id="3"/>
            <w:bookmarkStart w:id="4" w:name="OLE_LINK13"/>
          </w:p>
          <w:bookmarkEnd w:id="4"/>
          <w:p w14:paraId="1D51688C">
            <w:pPr>
              <w:numPr>
                <w:ilvl w:val="-1"/>
                <w:numId w:val="0"/>
              </w:numPr>
              <w:spacing w:before="156" w:beforeLines="50" w:line="360" w:lineRule="auto"/>
              <w:ind w:firstLine="482" w:firstLineChars="200"/>
              <w:rPr>
                <w:rFonts w:hint="eastAsia"/>
                <w:b/>
                <w:bCs/>
                <w:sz w:val="24"/>
                <w:highlight w:val="none"/>
              </w:rPr>
            </w:pPr>
            <w:r>
              <w:rPr>
                <w:rFonts w:hint="eastAsia" w:cs="Times New Roman"/>
                <w:b/>
                <w:bCs/>
                <w:iCs w:val="0"/>
                <w:sz w:val="24"/>
                <w:szCs w:val="20"/>
                <w:highlight w:val="none"/>
                <w:lang w:val="en-US" w:eastAsia="zh-CN"/>
              </w:rPr>
              <w:t>2</w:t>
            </w:r>
            <w:r>
              <w:rPr>
                <w:rFonts w:hint="eastAsia" w:ascii="Times New Roman" w:hAnsi="Times New Roman" w:cs="Times New Roman"/>
                <w:b/>
                <w:bCs/>
                <w:iCs w:val="0"/>
                <w:sz w:val="24"/>
                <w:szCs w:val="20"/>
                <w:highlight w:val="none"/>
                <w:lang w:val="en-US" w:eastAsia="zh-CN"/>
              </w:rPr>
              <w:t>.</w:t>
            </w:r>
            <w:r>
              <w:rPr>
                <w:rFonts w:hint="eastAsia"/>
                <w:b/>
                <w:bCs/>
                <w:iCs w:val="0"/>
                <w:sz w:val="24"/>
                <w:szCs w:val="20"/>
                <w:highlight w:val="none"/>
                <w:lang w:eastAsia="zh-CN"/>
              </w:rPr>
              <w:t>公司</w:t>
            </w:r>
            <w:r>
              <w:rPr>
                <w:rFonts w:hint="eastAsia"/>
                <w:b/>
                <w:bCs/>
                <w:iCs w:val="0"/>
                <w:sz w:val="24"/>
                <w:szCs w:val="20"/>
                <w:highlight w:val="none"/>
              </w:rPr>
              <w:t>自研项目进展的情况？</w:t>
            </w:r>
          </w:p>
          <w:p w14:paraId="6735A7CC">
            <w:pPr>
              <w:numPr>
                <w:ilvl w:val="-1"/>
                <w:numId w:val="0"/>
              </w:numPr>
              <w:spacing w:before="156" w:beforeLines="50" w:line="360" w:lineRule="auto"/>
              <w:ind w:left="0" w:firstLine="480" w:firstLineChars="200"/>
              <w:rPr>
                <w:rFonts w:hint="eastAsia"/>
                <w:bCs w:val="0"/>
                <w:sz w:val="24"/>
                <w:highlight w:val="none"/>
                <w:lang w:eastAsia="zh-CN"/>
              </w:rPr>
            </w:pPr>
            <w:bookmarkStart w:id="5" w:name="OLE_LINK17"/>
            <w:r>
              <w:rPr>
                <w:rFonts w:hint="eastAsia"/>
                <w:bCs w:val="0"/>
                <w:sz w:val="24"/>
                <w:highlight w:val="none"/>
                <w:lang w:eastAsia="zh-CN"/>
              </w:rPr>
              <w:t>本公司目前正在进行的研究项目已超过450项，其中包括创新药物“STC007注射液”已进入第二阶段临床试验。该药物主要针对接受血液透析治疗的成人慢性肾脏疾病患者所伴随的中度至重度瘙痒症状（CKD-aP）以及术后疼痛。另一创新药物“STC008注射液”已获得临床试验批准，其主要适应症为治疗晚期实体瘤引起的肿瘤恶液质。</w:t>
            </w:r>
          </w:p>
          <w:p w14:paraId="0D2165B0">
            <w:pPr>
              <w:numPr>
                <w:ilvl w:val="-1"/>
                <w:numId w:val="0"/>
              </w:numPr>
              <w:spacing w:before="156" w:beforeLines="50" w:line="360" w:lineRule="auto"/>
              <w:ind w:left="0" w:firstLine="480" w:firstLineChars="200"/>
              <w:rPr>
                <w:rFonts w:hint="eastAsia"/>
                <w:bCs w:val="0"/>
                <w:sz w:val="24"/>
                <w:highlight w:val="none"/>
                <w:lang w:val="en-US" w:eastAsia="zh-CN"/>
              </w:rPr>
            </w:pPr>
            <w:r>
              <w:rPr>
                <w:rFonts w:hint="eastAsia"/>
                <w:bCs w:val="0"/>
                <w:sz w:val="24"/>
                <w:highlight w:val="none"/>
                <w:lang w:eastAsia="zh-CN"/>
              </w:rPr>
              <w:t>随着公司不断深化自研药物的储备，我们期望能够孕育出更多创新药物、改良型新药以及特色仿制药项目。我们计划在确保研究效率、合规性以及数据可靠性的同时，稳步推进这些项目至临床试验的关键阶段。同时，公司正审慎地评估与外部合作伙伴的潜在合作机会，旨在通过部分产品管线的商业化转让和权益分成，最大化产品市场潜力，并优化资源配置策略。</w:t>
            </w:r>
          </w:p>
          <w:bookmarkEnd w:id="5"/>
          <w:p w14:paraId="06568A23">
            <w:pPr>
              <w:numPr>
                <w:ilvl w:val="-1"/>
                <w:numId w:val="0"/>
              </w:numPr>
              <w:spacing w:before="156" w:beforeLines="50" w:line="360" w:lineRule="auto"/>
              <w:ind w:left="0" w:leftChars="0" w:firstLine="482" w:firstLineChars="200"/>
              <w:rPr>
                <w:rFonts w:hint="eastAsia" w:ascii="Times New Roman" w:hAnsi="Times New Roman"/>
                <w:b/>
                <w:bCs/>
                <w:iCs w:val="0"/>
                <w:sz w:val="24"/>
                <w:szCs w:val="20"/>
                <w:highlight w:val="none"/>
              </w:rPr>
            </w:pPr>
            <w:r>
              <w:rPr>
                <w:rFonts w:hint="eastAsia" w:ascii="Times New Roman" w:hAnsi="Times New Roman"/>
                <w:b/>
                <w:bCs/>
                <w:iCs w:val="0"/>
                <w:sz w:val="24"/>
                <w:szCs w:val="20"/>
                <w:highlight w:val="none"/>
                <w:lang w:val="en-US" w:eastAsia="zh-CN"/>
              </w:rPr>
              <w:t>3.公司</w:t>
            </w:r>
            <w:r>
              <w:rPr>
                <w:rFonts w:hint="eastAsia" w:ascii="Times New Roman" w:hAnsi="Times New Roman"/>
                <w:b/>
                <w:bCs/>
                <w:iCs w:val="0"/>
                <w:sz w:val="24"/>
                <w:szCs w:val="20"/>
                <w:highlight w:val="none"/>
              </w:rPr>
              <w:t>临床业务价格情况及后续展望</w:t>
            </w:r>
            <w:r>
              <w:rPr>
                <w:rFonts w:hint="eastAsia" w:ascii="Times New Roman" w:hAnsi="Times New Roman"/>
                <w:b/>
                <w:bCs/>
                <w:iCs w:val="0"/>
                <w:sz w:val="24"/>
                <w:szCs w:val="20"/>
                <w:highlight w:val="none"/>
                <w:lang w:val="en-US" w:eastAsia="zh-CN"/>
              </w:rPr>
              <w:t>如何?</w:t>
            </w:r>
          </w:p>
          <w:p w14:paraId="40DFBDC7">
            <w:pPr>
              <w:numPr>
                <w:ilvl w:val="-1"/>
                <w:numId w:val="0"/>
              </w:numPr>
              <w:spacing w:before="156" w:beforeLines="50" w:line="360" w:lineRule="auto"/>
              <w:ind w:left="0" w:leftChars="0" w:firstLine="480" w:firstLineChars="200"/>
              <w:rPr>
                <w:rFonts w:hint="eastAsia"/>
                <w:b w:val="0"/>
                <w:bCs w:val="0"/>
                <w:iCs w:val="0"/>
                <w:sz w:val="24"/>
                <w:szCs w:val="20"/>
                <w:highlight w:val="none"/>
                <w:lang w:eastAsia="zh-CN"/>
              </w:rPr>
            </w:pPr>
            <w:r>
              <w:rPr>
                <w:rFonts w:hint="eastAsia" w:ascii="Times New Roman" w:hAnsi="Times New Roman"/>
                <w:b w:val="0"/>
                <w:bCs w:val="0"/>
                <w:iCs w:val="0"/>
                <w:sz w:val="24"/>
                <w:szCs w:val="20"/>
                <w:highlight w:val="none"/>
              </w:rPr>
              <w:t>答：</w:t>
            </w:r>
            <w:r>
              <w:rPr>
                <w:rFonts w:hint="eastAsia"/>
                <w:b w:val="0"/>
                <w:bCs w:val="0"/>
                <w:iCs w:val="0"/>
                <w:sz w:val="24"/>
                <w:szCs w:val="20"/>
                <w:highlight w:val="none"/>
                <w:lang w:eastAsia="zh-CN"/>
              </w:rPr>
              <w:t>在临床业务方面，我们公司主要专注于我们的优势领域，包括内分泌、减重、呼吸、部分肿瘤适应症、心内科、镇痛等多个适应症领域。在这些领域中，我们已经开展了大量的临床项目合作，积累了丰富的临床研究方案设计经验。我们的客户对我们的要求主要集中在项目进度和质量上，对于价格方面并没有过于苛刻的要求。</w:t>
            </w:r>
          </w:p>
          <w:p w14:paraId="058E6168">
            <w:pPr>
              <w:numPr>
                <w:ilvl w:val="-1"/>
                <w:numId w:val="0"/>
              </w:numPr>
              <w:spacing w:before="156" w:beforeLines="50" w:line="360" w:lineRule="auto"/>
              <w:ind w:left="0" w:leftChars="0" w:firstLine="480" w:firstLineChars="200"/>
              <w:rPr>
                <w:rFonts w:hint="eastAsia"/>
                <w:b w:val="0"/>
                <w:bCs w:val="0"/>
                <w:iCs w:val="0"/>
                <w:sz w:val="24"/>
                <w:szCs w:val="20"/>
                <w:highlight w:val="none"/>
                <w:lang w:val="en-US" w:eastAsia="zh-CN"/>
              </w:rPr>
            </w:pPr>
            <w:r>
              <w:rPr>
                <w:rFonts w:hint="eastAsia"/>
                <w:b w:val="0"/>
                <w:bCs w:val="0"/>
                <w:iCs w:val="0"/>
                <w:sz w:val="24"/>
                <w:szCs w:val="20"/>
                <w:highlight w:val="none"/>
                <w:lang w:eastAsia="zh-CN"/>
              </w:rPr>
              <w:t>同时，我们也在持续推动自研品种的储备工作。公司会通过研发到一定进度的自研产品的转让，并锁定后续的临床业务。客户在意的是产品未来的预期，公司出售的是产品整体，并不是单独的临床服务，所以相对价格没那么敏感。这种策略使得我们在市场竞争中具有一定的优势，能够更好地满足客户的需求，同时也为公司带来了更多的发展机会。</w:t>
            </w:r>
          </w:p>
          <w:p w14:paraId="7CD93CE4">
            <w:pPr>
              <w:numPr>
                <w:ilvl w:val="-1"/>
                <w:numId w:val="0"/>
              </w:numPr>
              <w:spacing w:before="156" w:beforeLines="50" w:line="360" w:lineRule="auto"/>
              <w:ind w:left="0" w:leftChars="0" w:firstLine="482" w:firstLineChars="200"/>
              <w:rPr>
                <w:rFonts w:hint="eastAsia" w:eastAsia="宋体"/>
                <w:b/>
                <w:bCs/>
                <w:sz w:val="24"/>
                <w:highlight w:val="none"/>
                <w:lang w:val="en-US" w:eastAsia="zh-CN"/>
              </w:rPr>
            </w:pPr>
            <w:r>
              <w:rPr>
                <w:rFonts w:hint="eastAsia" w:ascii="Times New Roman" w:hAnsi="Times New Roman"/>
                <w:b/>
                <w:bCs/>
                <w:iCs w:val="0"/>
                <w:sz w:val="24"/>
                <w:szCs w:val="20"/>
                <w:highlight w:val="none"/>
                <w:lang w:val="en-US" w:eastAsia="zh-CN"/>
              </w:rPr>
              <w:t>4.</w:t>
            </w:r>
            <w:r>
              <w:rPr>
                <w:rFonts w:hint="eastAsia"/>
                <w:b/>
                <w:bCs/>
                <w:sz w:val="24"/>
                <w:highlight w:val="none"/>
                <w:lang w:val="en-US" w:eastAsia="zh-CN"/>
              </w:rPr>
              <w:t>公司</w:t>
            </w:r>
            <w:r>
              <w:rPr>
                <w:rFonts w:hint="eastAsia"/>
                <w:b/>
                <w:bCs/>
                <w:sz w:val="24"/>
                <w:highlight w:val="none"/>
              </w:rPr>
              <w:t>各类订单的价格如何？如何看待行业未来走势？</w:t>
            </w:r>
          </w:p>
          <w:p w14:paraId="533BF944">
            <w:pPr>
              <w:numPr>
                <w:ilvl w:val="-1"/>
                <w:numId w:val="0"/>
              </w:numPr>
              <w:spacing w:before="156" w:beforeLines="50" w:line="360" w:lineRule="auto"/>
              <w:ind w:firstLine="480" w:firstLineChars="200"/>
              <w:rPr>
                <w:rFonts w:hint="eastAsia"/>
                <w:sz w:val="24"/>
                <w:highlight w:val="none"/>
                <w:lang w:val="en-US" w:eastAsia="zh-CN"/>
              </w:rPr>
            </w:pPr>
            <w:bookmarkStart w:id="6" w:name="OLE_LINK24"/>
            <w:bookmarkStart w:id="7" w:name="OLE_LINK22"/>
            <w:r>
              <w:rPr>
                <w:rFonts w:hint="eastAsia"/>
                <w:sz w:val="24"/>
                <w:highlight w:val="none"/>
                <w:lang w:eastAsia="zh-CN"/>
              </w:rPr>
              <w:t>随</w:t>
            </w:r>
            <w:bookmarkStart w:id="8" w:name="OLE_LINK23"/>
            <w:r>
              <w:rPr>
                <w:rFonts w:hint="eastAsia"/>
                <w:sz w:val="24"/>
                <w:highlight w:val="none"/>
                <w:lang w:eastAsia="zh-CN"/>
              </w:rPr>
              <w:t>着市场竞争的加剧，仿制药的受托服务行业受到了显著影响。然而，随着行业的持续优化，预计仿制药受托业务的合同金额将适度反弹。</w:t>
            </w:r>
            <w:bookmarkEnd w:id="6"/>
            <w:bookmarkEnd w:id="8"/>
            <w:r>
              <w:rPr>
                <w:rFonts w:hint="eastAsia"/>
                <w:sz w:val="24"/>
                <w:highlight w:val="none"/>
                <w:lang w:val="en-US" w:eastAsia="zh-CN"/>
              </w:rPr>
              <w:t>相较受托服务有研发进度的</w:t>
            </w:r>
            <w:r>
              <w:rPr>
                <w:rFonts w:hint="eastAsia"/>
                <w:sz w:val="24"/>
                <w:highlight w:val="none"/>
              </w:rPr>
              <w:t>仿制</w:t>
            </w:r>
            <w:r>
              <w:rPr>
                <w:rFonts w:hint="eastAsia"/>
                <w:sz w:val="24"/>
                <w:highlight w:val="none"/>
                <w:lang w:val="en-US" w:eastAsia="zh-CN"/>
              </w:rPr>
              <w:t>药、</w:t>
            </w:r>
            <w:r>
              <w:rPr>
                <w:rFonts w:hint="eastAsia"/>
                <w:sz w:val="24"/>
                <w:highlight w:val="none"/>
              </w:rPr>
              <w:t>改良</w:t>
            </w:r>
            <w:r>
              <w:rPr>
                <w:rFonts w:hint="eastAsia"/>
                <w:sz w:val="24"/>
                <w:highlight w:val="none"/>
                <w:lang w:val="en-US" w:eastAsia="zh-CN"/>
              </w:rPr>
              <w:t>型新药、</w:t>
            </w:r>
            <w:r>
              <w:rPr>
                <w:rFonts w:hint="eastAsia"/>
                <w:sz w:val="24"/>
                <w:highlight w:val="none"/>
              </w:rPr>
              <w:t>创新药的</w:t>
            </w:r>
            <w:r>
              <w:rPr>
                <w:rFonts w:hint="eastAsia"/>
                <w:sz w:val="24"/>
                <w:highlight w:val="none"/>
                <w:lang w:val="en-US" w:eastAsia="zh-CN"/>
              </w:rPr>
              <w:t>项目</w:t>
            </w:r>
            <w:r>
              <w:rPr>
                <w:rFonts w:hint="eastAsia"/>
                <w:sz w:val="24"/>
                <w:highlight w:val="none"/>
              </w:rPr>
              <w:t>价格</w:t>
            </w:r>
            <w:r>
              <w:rPr>
                <w:rFonts w:hint="eastAsia"/>
                <w:sz w:val="24"/>
                <w:highlight w:val="none"/>
                <w:lang w:val="en-US" w:eastAsia="zh-CN"/>
              </w:rPr>
              <w:t>有较高的溢价性</w:t>
            </w:r>
            <w:r>
              <w:rPr>
                <w:rFonts w:hint="eastAsia"/>
                <w:sz w:val="24"/>
                <w:highlight w:val="none"/>
                <w:lang w:eastAsia="zh-CN"/>
              </w:rPr>
              <w:t>，</w:t>
            </w:r>
            <w:r>
              <w:rPr>
                <w:rFonts w:hint="eastAsia"/>
                <w:sz w:val="24"/>
                <w:highlight w:val="none"/>
                <w:lang w:val="en-US" w:eastAsia="zh-CN"/>
              </w:rPr>
              <w:t>这也是公司持续投入研发费用的原因之一。</w:t>
            </w:r>
            <w:bookmarkStart w:id="9" w:name="OLE_LINK32"/>
            <w:r>
              <w:rPr>
                <w:rFonts w:hint="eastAsia"/>
                <w:sz w:val="24"/>
                <w:highlight w:val="none"/>
                <w:lang w:val="en-US" w:eastAsia="zh-CN"/>
              </w:rPr>
              <w:t>鉴于行业未来的发展趋势，仿制药受托研发正面临一个瓶颈期。公司一直在推进仿制药、改良型新药和创新药的多元化发展策略。从公司2024年上半年新增订单的情况来看，创新药服务的占比正在稳步上升。</w:t>
            </w:r>
            <w:bookmarkEnd w:id="7"/>
          </w:p>
          <w:bookmarkEnd w:id="9"/>
          <w:p w14:paraId="46D872FD">
            <w:pPr>
              <w:numPr>
                <w:ilvl w:val="-1"/>
                <w:numId w:val="0"/>
              </w:numPr>
              <w:spacing w:before="156" w:beforeLines="50" w:line="360" w:lineRule="auto"/>
              <w:ind w:firstLine="482" w:firstLineChars="200"/>
              <w:rPr>
                <w:rFonts w:hint="eastAsia"/>
                <w:b/>
                <w:bCs/>
                <w:sz w:val="24"/>
                <w:highlight w:val="none"/>
                <w:lang w:eastAsia="zh-CN"/>
              </w:rPr>
            </w:pPr>
            <w:r>
              <w:rPr>
                <w:rFonts w:hint="eastAsia"/>
                <w:b/>
                <w:bCs/>
                <w:sz w:val="24"/>
                <w:highlight w:val="none"/>
                <w:lang w:val="en-US" w:eastAsia="zh-CN"/>
              </w:rPr>
              <w:t>5.公司</w:t>
            </w:r>
            <w:r>
              <w:rPr>
                <w:rFonts w:hint="eastAsia"/>
                <w:b/>
                <w:bCs/>
                <w:sz w:val="24"/>
                <w:highlight w:val="none"/>
              </w:rPr>
              <w:t>临床业务优势，展望以及未来</w:t>
            </w:r>
            <w:bookmarkStart w:id="10" w:name="OLE_LINK33"/>
            <w:bookmarkStart w:id="11" w:name="OLE_LINK34"/>
            <w:r>
              <w:rPr>
                <w:rFonts w:hint="eastAsia"/>
                <w:b/>
                <w:bCs/>
                <w:sz w:val="24"/>
                <w:highlight w:val="none"/>
              </w:rPr>
              <w:t>海外拓</w:t>
            </w:r>
            <w:bookmarkEnd w:id="10"/>
            <w:r>
              <w:rPr>
                <w:rFonts w:hint="eastAsia"/>
                <w:b/>
                <w:bCs/>
                <w:sz w:val="24"/>
                <w:highlight w:val="none"/>
              </w:rPr>
              <w:t>展</w:t>
            </w:r>
            <w:bookmarkEnd w:id="11"/>
            <w:r>
              <w:rPr>
                <w:rFonts w:hint="eastAsia"/>
                <w:b/>
                <w:bCs/>
                <w:sz w:val="24"/>
                <w:highlight w:val="none"/>
              </w:rPr>
              <w:t>计划</w:t>
            </w:r>
            <w:r>
              <w:rPr>
                <w:rFonts w:hint="eastAsia"/>
                <w:b/>
                <w:bCs/>
                <w:sz w:val="24"/>
                <w:highlight w:val="none"/>
                <w:lang w:eastAsia="zh-CN"/>
              </w:rPr>
              <w:t>？</w:t>
            </w:r>
          </w:p>
          <w:p w14:paraId="4D4EEB31">
            <w:pPr>
              <w:numPr>
                <w:ilvl w:val="-1"/>
                <w:numId w:val="0"/>
              </w:numPr>
              <w:spacing w:before="156" w:beforeLines="50" w:line="360" w:lineRule="auto"/>
              <w:ind w:firstLine="480" w:firstLineChars="200"/>
              <w:rPr>
                <w:rFonts w:hint="eastAsia"/>
                <w:sz w:val="24"/>
                <w:highlight w:val="none"/>
              </w:rPr>
            </w:pPr>
            <w:bookmarkStart w:id="12" w:name="OLE_LINK25"/>
            <w:r>
              <w:rPr>
                <w:rFonts w:hint="eastAsia"/>
                <w:sz w:val="24"/>
                <w:highlight w:val="none"/>
              </w:rPr>
              <w:t>临床</w:t>
            </w:r>
            <w:r>
              <w:rPr>
                <w:rFonts w:hint="eastAsia"/>
                <w:sz w:val="24"/>
                <w:highlight w:val="none"/>
                <w:lang w:val="en-US" w:eastAsia="zh-CN"/>
              </w:rPr>
              <w:t>方面，</w:t>
            </w:r>
            <w:r>
              <w:rPr>
                <w:rFonts w:hint="eastAsia"/>
                <w:sz w:val="24"/>
                <w:highlight w:val="none"/>
              </w:rPr>
              <w:t>我们</w:t>
            </w:r>
            <w:r>
              <w:rPr>
                <w:rFonts w:hint="eastAsia" w:ascii="Times New Roman" w:hAnsi="Times New Roman"/>
                <w:b w:val="0"/>
                <w:bCs w:val="0"/>
                <w:iCs w:val="0"/>
                <w:sz w:val="24"/>
                <w:szCs w:val="20"/>
                <w:highlight w:val="none"/>
                <w:lang w:val="en-US" w:eastAsia="zh-CN"/>
              </w:rPr>
              <w:t>在</w:t>
            </w:r>
            <w:r>
              <w:rPr>
                <w:rFonts w:hint="eastAsia" w:ascii="Times New Roman" w:hAnsi="Times New Roman"/>
                <w:b w:val="0"/>
                <w:bCs w:val="0"/>
                <w:iCs w:val="0"/>
                <w:sz w:val="24"/>
                <w:szCs w:val="20"/>
                <w:highlight w:val="none"/>
              </w:rPr>
              <w:t>内分泌</w:t>
            </w:r>
            <w:r>
              <w:rPr>
                <w:rFonts w:hint="eastAsia" w:ascii="Times New Roman" w:hAnsi="Times New Roman"/>
                <w:b w:val="0"/>
                <w:bCs w:val="0"/>
                <w:iCs w:val="0"/>
                <w:sz w:val="24"/>
                <w:szCs w:val="20"/>
                <w:highlight w:val="none"/>
                <w:lang w:eastAsia="zh-CN"/>
              </w:rPr>
              <w:t>、</w:t>
            </w:r>
            <w:r>
              <w:rPr>
                <w:rFonts w:hint="eastAsia" w:ascii="Times New Roman" w:hAnsi="Times New Roman"/>
                <w:b w:val="0"/>
                <w:bCs w:val="0"/>
                <w:iCs w:val="0"/>
                <w:sz w:val="24"/>
                <w:szCs w:val="20"/>
                <w:highlight w:val="none"/>
              </w:rPr>
              <w:t>减重</w:t>
            </w:r>
            <w:r>
              <w:rPr>
                <w:rFonts w:hint="eastAsia" w:ascii="Times New Roman" w:hAnsi="Times New Roman"/>
                <w:b w:val="0"/>
                <w:bCs w:val="0"/>
                <w:iCs w:val="0"/>
                <w:sz w:val="24"/>
                <w:szCs w:val="20"/>
                <w:highlight w:val="none"/>
                <w:lang w:eastAsia="zh-CN"/>
              </w:rPr>
              <w:t>、</w:t>
            </w:r>
            <w:r>
              <w:rPr>
                <w:rFonts w:hint="eastAsia" w:ascii="Times New Roman" w:hAnsi="Times New Roman"/>
                <w:b w:val="0"/>
                <w:bCs w:val="0"/>
                <w:iCs w:val="0"/>
                <w:sz w:val="24"/>
                <w:szCs w:val="20"/>
                <w:highlight w:val="none"/>
              </w:rPr>
              <w:t>呼吸</w:t>
            </w:r>
            <w:r>
              <w:rPr>
                <w:rFonts w:hint="eastAsia" w:ascii="Times New Roman" w:hAnsi="Times New Roman"/>
                <w:b w:val="0"/>
                <w:bCs w:val="0"/>
                <w:iCs w:val="0"/>
                <w:sz w:val="24"/>
                <w:szCs w:val="20"/>
                <w:highlight w:val="none"/>
                <w:lang w:eastAsia="zh-CN"/>
              </w:rPr>
              <w:t>、</w:t>
            </w:r>
            <w:r>
              <w:rPr>
                <w:rFonts w:hint="eastAsia" w:ascii="Times New Roman" w:hAnsi="Times New Roman"/>
                <w:b w:val="0"/>
                <w:bCs w:val="0"/>
                <w:iCs w:val="0"/>
                <w:sz w:val="24"/>
                <w:szCs w:val="20"/>
                <w:highlight w:val="none"/>
              </w:rPr>
              <w:t>部分肿瘤适应症</w:t>
            </w:r>
            <w:r>
              <w:rPr>
                <w:rFonts w:hint="eastAsia" w:ascii="Times New Roman" w:hAnsi="Times New Roman"/>
                <w:b w:val="0"/>
                <w:bCs w:val="0"/>
                <w:iCs w:val="0"/>
                <w:sz w:val="24"/>
                <w:szCs w:val="20"/>
                <w:highlight w:val="none"/>
                <w:lang w:eastAsia="zh-CN"/>
              </w:rPr>
              <w:t>、</w:t>
            </w:r>
            <w:r>
              <w:rPr>
                <w:rFonts w:hint="eastAsia" w:ascii="Times New Roman" w:hAnsi="Times New Roman"/>
                <w:b w:val="0"/>
                <w:bCs w:val="0"/>
                <w:iCs w:val="0"/>
                <w:sz w:val="24"/>
                <w:szCs w:val="20"/>
                <w:highlight w:val="none"/>
              </w:rPr>
              <w:t>心内科</w:t>
            </w:r>
            <w:r>
              <w:rPr>
                <w:rFonts w:hint="eastAsia" w:ascii="Times New Roman" w:hAnsi="Times New Roman"/>
                <w:b w:val="0"/>
                <w:bCs w:val="0"/>
                <w:iCs w:val="0"/>
                <w:sz w:val="24"/>
                <w:szCs w:val="20"/>
                <w:highlight w:val="none"/>
                <w:lang w:eastAsia="zh-CN"/>
              </w:rPr>
              <w:t>、</w:t>
            </w:r>
            <w:r>
              <w:rPr>
                <w:rFonts w:hint="eastAsia" w:ascii="Times New Roman" w:hAnsi="Times New Roman"/>
                <w:b w:val="0"/>
                <w:bCs w:val="0"/>
                <w:iCs w:val="0"/>
                <w:sz w:val="24"/>
                <w:szCs w:val="20"/>
                <w:highlight w:val="none"/>
                <w:lang w:val="en-US" w:eastAsia="zh-CN"/>
              </w:rPr>
              <w:t>镇痛等适应症领域</w:t>
            </w:r>
            <w:r>
              <w:rPr>
                <w:rFonts w:hint="eastAsia"/>
                <w:sz w:val="24"/>
                <w:highlight w:val="none"/>
              </w:rPr>
              <w:t>有着很多的</w:t>
            </w:r>
            <w:r>
              <w:rPr>
                <w:rFonts w:hint="eastAsia"/>
                <w:sz w:val="24"/>
                <w:highlight w:val="none"/>
                <w:lang w:val="en-US" w:eastAsia="zh-CN"/>
              </w:rPr>
              <w:t>项目执行案例</w:t>
            </w:r>
            <w:r>
              <w:rPr>
                <w:rFonts w:hint="eastAsia"/>
                <w:sz w:val="24"/>
                <w:highlight w:val="none"/>
              </w:rPr>
              <w:t>，</w:t>
            </w:r>
            <w:r>
              <w:rPr>
                <w:rFonts w:hint="eastAsia"/>
                <w:sz w:val="24"/>
                <w:highlight w:val="none"/>
                <w:lang w:val="en-US" w:eastAsia="zh-CN"/>
              </w:rPr>
              <w:t>积累了丰富的研发经验，</w:t>
            </w:r>
            <w:bookmarkStart w:id="13" w:name="OLE_LINK26"/>
            <w:r>
              <w:rPr>
                <w:rFonts w:hint="eastAsia"/>
                <w:sz w:val="24"/>
                <w:highlight w:val="none"/>
              </w:rPr>
              <w:t>全国设立19个常驻点，已与超260家医院建立长期临床合作。</w:t>
            </w:r>
            <w:r>
              <w:rPr>
                <w:rFonts w:hint="eastAsia"/>
                <w:sz w:val="24"/>
                <w:highlight w:val="none"/>
                <w:lang w:val="en-US" w:eastAsia="zh-CN"/>
              </w:rPr>
              <w:t>公司目前在研的GLP-1一类创新药的临床试验共6项，涉及减重及降糖适应症，分别处于临床I-III期研究中。</w:t>
            </w:r>
            <w:bookmarkEnd w:id="13"/>
            <w:bookmarkStart w:id="14" w:name="OLE_LINK35"/>
            <w:r>
              <w:rPr>
                <w:rFonts w:hint="eastAsia"/>
                <w:sz w:val="24"/>
                <w:highlight w:val="none"/>
                <w:lang w:val="en-US" w:eastAsia="zh-CN"/>
              </w:rPr>
              <w:t>关于</w:t>
            </w:r>
            <w:r>
              <w:rPr>
                <w:rFonts w:hint="eastAsia"/>
                <w:sz w:val="24"/>
                <w:highlight w:val="none"/>
              </w:rPr>
              <w:t>海外拓展</w:t>
            </w:r>
            <w:bookmarkEnd w:id="14"/>
            <w:r>
              <w:rPr>
                <w:rFonts w:hint="eastAsia"/>
                <w:sz w:val="24"/>
                <w:highlight w:val="none"/>
                <w:lang w:val="en-US" w:eastAsia="zh-CN"/>
              </w:rPr>
              <w:t>公司希望未来在</w:t>
            </w:r>
            <w:r>
              <w:rPr>
                <w:rFonts w:hint="eastAsia"/>
                <w:sz w:val="24"/>
                <w:highlight w:val="none"/>
              </w:rPr>
              <w:t>自研品种</w:t>
            </w:r>
            <w:r>
              <w:rPr>
                <w:rFonts w:hint="eastAsia"/>
                <w:sz w:val="24"/>
                <w:highlight w:val="none"/>
                <w:lang w:val="en-US" w:eastAsia="zh-CN"/>
              </w:rPr>
              <w:t>中筛选</w:t>
            </w:r>
            <w:r>
              <w:rPr>
                <w:rFonts w:hint="eastAsia"/>
                <w:sz w:val="24"/>
                <w:highlight w:val="none"/>
              </w:rPr>
              <w:t>4-5个有</w:t>
            </w:r>
            <w:r>
              <w:rPr>
                <w:rFonts w:hint="eastAsia"/>
                <w:sz w:val="24"/>
                <w:highlight w:val="none"/>
                <w:lang w:val="en-US" w:eastAsia="zh-CN"/>
              </w:rPr>
              <w:t>较高收益</w:t>
            </w:r>
            <w:r>
              <w:rPr>
                <w:rFonts w:hint="eastAsia"/>
                <w:sz w:val="24"/>
                <w:highlight w:val="none"/>
              </w:rPr>
              <w:t>价值的产品</w:t>
            </w:r>
            <w:r>
              <w:rPr>
                <w:rFonts w:hint="eastAsia"/>
                <w:sz w:val="24"/>
                <w:highlight w:val="none"/>
                <w:lang w:val="en-US" w:eastAsia="zh-CN"/>
              </w:rPr>
              <w:t>海外申报</w:t>
            </w:r>
            <w:r>
              <w:rPr>
                <w:rFonts w:hint="eastAsia"/>
                <w:sz w:val="24"/>
                <w:highlight w:val="none"/>
              </w:rPr>
              <w:t>，</w:t>
            </w:r>
            <w:r>
              <w:rPr>
                <w:rFonts w:hint="eastAsia"/>
                <w:sz w:val="24"/>
                <w:highlight w:val="none"/>
                <w:lang w:val="en-US" w:eastAsia="zh-CN"/>
              </w:rPr>
              <w:t>目前</w:t>
            </w:r>
            <w:r>
              <w:rPr>
                <w:rFonts w:hint="eastAsia"/>
                <w:sz w:val="24"/>
                <w:highlight w:val="none"/>
                <w:lang w:eastAsia="zh-CN"/>
              </w:rPr>
              <w:t>我们</w:t>
            </w:r>
            <w:r>
              <w:rPr>
                <w:rFonts w:hint="eastAsia"/>
                <w:sz w:val="24"/>
                <w:highlight w:val="none"/>
                <w:lang w:val="en-US" w:eastAsia="zh-CN"/>
              </w:rPr>
              <w:t>正</w:t>
            </w:r>
            <w:r>
              <w:rPr>
                <w:rFonts w:hint="eastAsia"/>
                <w:sz w:val="24"/>
                <w:highlight w:val="none"/>
              </w:rPr>
              <w:t>在做全球专利的布局，</w:t>
            </w:r>
            <w:r>
              <w:rPr>
                <w:rFonts w:hint="eastAsia"/>
                <w:sz w:val="24"/>
                <w:highlight w:val="none"/>
                <w:lang w:val="en-US" w:eastAsia="zh-CN"/>
              </w:rPr>
              <w:t>待产品</w:t>
            </w:r>
            <w:r>
              <w:rPr>
                <w:rFonts w:hint="eastAsia"/>
                <w:sz w:val="24"/>
                <w:highlight w:val="none"/>
              </w:rPr>
              <w:t>在中国一期结束后，将</w:t>
            </w:r>
            <w:r>
              <w:rPr>
                <w:rFonts w:hint="eastAsia"/>
                <w:sz w:val="24"/>
                <w:highlight w:val="none"/>
                <w:lang w:val="en-US" w:eastAsia="zh-CN"/>
              </w:rPr>
              <w:t>同时</w:t>
            </w:r>
            <w:r>
              <w:rPr>
                <w:rFonts w:hint="eastAsia"/>
                <w:sz w:val="24"/>
                <w:highlight w:val="none"/>
              </w:rPr>
              <w:t>考虑海外的临床及授权。</w:t>
            </w:r>
          </w:p>
          <w:bookmarkEnd w:id="12"/>
          <w:p w14:paraId="37D24295">
            <w:pPr>
              <w:numPr>
                <w:ilvl w:val="-1"/>
                <w:numId w:val="0"/>
              </w:numPr>
              <w:spacing w:before="156" w:beforeLines="50" w:line="360" w:lineRule="auto"/>
              <w:ind w:firstLine="482" w:firstLineChars="200"/>
              <w:rPr>
                <w:rFonts w:hint="eastAsia"/>
                <w:b/>
                <w:bCs/>
                <w:sz w:val="24"/>
                <w:highlight w:val="none"/>
              </w:rPr>
            </w:pPr>
            <w:bookmarkStart w:id="15" w:name="OLE_LINK41"/>
            <w:r>
              <w:rPr>
                <w:rFonts w:hint="eastAsia"/>
                <w:b/>
                <w:bCs/>
                <w:sz w:val="24"/>
                <w:highlight w:val="none"/>
                <w:lang w:val="en-US" w:eastAsia="zh-CN"/>
              </w:rPr>
              <w:t>6</w:t>
            </w:r>
            <w:r>
              <w:rPr>
                <w:rFonts w:hint="eastAsia"/>
                <w:b/>
                <w:bCs/>
                <w:sz w:val="24"/>
                <w:highlight w:val="none"/>
                <w:lang w:eastAsia="zh-CN"/>
              </w:rPr>
              <w:t>、</w:t>
            </w:r>
            <w:r>
              <w:rPr>
                <w:rFonts w:hint="eastAsia"/>
                <w:b/>
                <w:bCs/>
                <w:sz w:val="24"/>
                <w:highlight w:val="none"/>
                <w:lang w:val="en-US" w:eastAsia="zh-CN"/>
              </w:rPr>
              <w:t>请</w:t>
            </w:r>
            <w:r>
              <w:rPr>
                <w:rFonts w:hint="eastAsia"/>
                <w:b/>
                <w:bCs/>
                <w:sz w:val="24"/>
                <w:highlight w:val="none"/>
              </w:rPr>
              <w:t>展望一下后续行业发展对我们盈利能力的影响。</w:t>
            </w:r>
          </w:p>
          <w:bookmarkEnd w:id="15"/>
          <w:p w14:paraId="505DD09C">
            <w:pPr>
              <w:numPr>
                <w:ilvl w:val="-1"/>
                <w:numId w:val="0"/>
              </w:numPr>
              <w:spacing w:before="156" w:beforeLines="50" w:line="360" w:lineRule="auto"/>
              <w:ind w:firstLine="480" w:firstLineChars="200"/>
              <w:rPr>
                <w:rFonts w:hint="eastAsia"/>
                <w:sz w:val="24"/>
                <w:highlight w:val="none"/>
              </w:rPr>
            </w:pPr>
            <w:r>
              <w:rPr>
                <w:rFonts w:hint="eastAsia"/>
                <w:sz w:val="24"/>
                <w:highlight w:val="none"/>
                <w:lang w:eastAsia="zh-CN"/>
              </w:rPr>
              <w:t>公司</w:t>
            </w:r>
            <w:r>
              <w:rPr>
                <w:rFonts w:hint="eastAsia"/>
                <w:sz w:val="24"/>
                <w:highlight w:val="none"/>
                <w:lang w:val="en-US" w:eastAsia="zh-CN"/>
              </w:rPr>
              <w:t>将继续延续自研储备战略，</w:t>
            </w:r>
            <w:r>
              <w:rPr>
                <w:rFonts w:hint="eastAsia"/>
                <w:sz w:val="24"/>
                <w:highlight w:val="none"/>
                <w:lang w:eastAsia="zh-CN"/>
              </w:rPr>
              <w:t>将自行储备</w:t>
            </w:r>
            <w:r>
              <w:rPr>
                <w:rFonts w:hint="eastAsia"/>
                <w:sz w:val="24"/>
                <w:highlight w:val="none"/>
                <w:lang w:val="en-US" w:eastAsia="zh-CN"/>
              </w:rPr>
              <w:t>一些</w:t>
            </w:r>
            <w:r>
              <w:rPr>
                <w:rFonts w:hint="eastAsia"/>
                <w:sz w:val="24"/>
                <w:highlight w:val="none"/>
                <w:lang w:eastAsia="zh-CN"/>
              </w:rPr>
              <w:t>前景看、供应紧张、开发难度较高的品种，</w:t>
            </w:r>
            <w:r>
              <w:rPr>
                <w:rFonts w:hint="eastAsia"/>
                <w:sz w:val="24"/>
                <w:highlight w:val="none"/>
                <w:lang w:val="en-US" w:eastAsia="zh-CN"/>
              </w:rPr>
              <w:t>从而换取高溢价收益</w:t>
            </w:r>
            <w:r>
              <w:rPr>
                <w:rFonts w:hint="eastAsia"/>
                <w:sz w:val="24"/>
                <w:highlight w:val="none"/>
                <w:lang w:eastAsia="zh-CN"/>
              </w:rPr>
              <w:t>。目前内部研发项目累计已超过450项。</w:t>
            </w:r>
            <w:bookmarkStart w:id="16" w:name="OLE_LINK48"/>
            <w:r>
              <w:rPr>
                <w:rFonts w:hint="eastAsia"/>
                <w:sz w:val="24"/>
                <w:highlight w:val="none"/>
                <w:lang w:eastAsia="zh-CN"/>
              </w:rPr>
              <w:t>公司</w:t>
            </w:r>
            <w:bookmarkEnd w:id="16"/>
            <w:r>
              <w:rPr>
                <w:rFonts w:hint="eastAsia"/>
                <w:sz w:val="24"/>
                <w:highlight w:val="none"/>
                <w:lang w:val="en-US" w:eastAsia="zh-CN"/>
              </w:rPr>
              <w:t>计划</w:t>
            </w:r>
            <w:r>
              <w:rPr>
                <w:rFonts w:hint="eastAsia"/>
                <w:sz w:val="24"/>
                <w:highlight w:val="none"/>
                <w:lang w:eastAsia="zh-CN"/>
              </w:rPr>
              <w:t>当自研项目达到适当的开发阶段时，将与客户展开技术转让合作，从而获得技术转让收入以及部分上市后的权益分成。此外，公司自研品种在与客户合作转让后，将确保</w:t>
            </w:r>
            <w:r>
              <w:rPr>
                <w:rFonts w:hint="eastAsia"/>
                <w:sz w:val="24"/>
                <w:highlight w:val="none"/>
                <w:lang w:val="en-US" w:eastAsia="zh-CN"/>
              </w:rPr>
              <w:t>锁定</w:t>
            </w:r>
            <w:r>
              <w:rPr>
                <w:rFonts w:hint="eastAsia"/>
                <w:sz w:val="24"/>
                <w:highlight w:val="none"/>
                <w:lang w:eastAsia="zh-CN"/>
              </w:rPr>
              <w:t>后续的临床服务</w:t>
            </w:r>
            <w:r>
              <w:rPr>
                <w:rFonts w:hint="eastAsia"/>
                <w:sz w:val="24"/>
                <w:highlight w:val="none"/>
                <w:lang w:val="en-US" w:eastAsia="zh-CN"/>
              </w:rPr>
              <w:t>订单</w:t>
            </w:r>
            <w:r>
              <w:rPr>
                <w:rFonts w:hint="eastAsia"/>
                <w:sz w:val="24"/>
                <w:highlight w:val="none"/>
                <w:lang w:eastAsia="zh-CN"/>
              </w:rPr>
              <w:t>，这将有助于提升公司的盈利能力。</w:t>
            </w:r>
          </w:p>
          <w:p w14:paraId="0E93F996">
            <w:pPr>
              <w:numPr>
                <w:ilvl w:val="-1"/>
                <w:numId w:val="0"/>
              </w:numPr>
              <w:spacing w:before="156" w:beforeLines="50" w:line="360" w:lineRule="auto"/>
              <w:ind w:firstLine="482" w:firstLineChars="200"/>
              <w:rPr>
                <w:rFonts w:hint="eastAsia"/>
                <w:b/>
                <w:bCs/>
                <w:sz w:val="24"/>
                <w:highlight w:val="none"/>
              </w:rPr>
            </w:pPr>
            <w:bookmarkStart w:id="17" w:name="OLE_LINK43"/>
            <w:bookmarkStart w:id="18" w:name="OLE_LINK20"/>
            <w:r>
              <w:rPr>
                <w:rFonts w:hint="eastAsia"/>
                <w:b/>
                <w:bCs/>
                <w:sz w:val="24"/>
                <w:highlight w:val="none"/>
                <w:lang w:val="en-US" w:eastAsia="zh-CN"/>
              </w:rPr>
              <w:t>7、</w:t>
            </w:r>
            <w:bookmarkStart w:id="19" w:name="OLE_LINK42"/>
            <w:r>
              <w:rPr>
                <w:rFonts w:hint="eastAsia"/>
                <w:b/>
                <w:bCs/>
                <w:sz w:val="24"/>
                <w:highlight w:val="none"/>
              </w:rPr>
              <w:t>公司在多肽及核药领</w:t>
            </w:r>
            <w:bookmarkStart w:id="20" w:name="OLE_LINK6"/>
            <w:r>
              <w:rPr>
                <w:rFonts w:hint="eastAsia"/>
                <w:b/>
                <w:bCs/>
                <w:sz w:val="24"/>
                <w:highlight w:val="none"/>
              </w:rPr>
              <w:t>域的能力和项目布局？</w:t>
            </w:r>
            <w:bookmarkEnd w:id="17"/>
            <w:bookmarkEnd w:id="18"/>
            <w:bookmarkEnd w:id="19"/>
            <w:bookmarkEnd w:id="20"/>
          </w:p>
          <w:p w14:paraId="69EB43BF">
            <w:pPr>
              <w:numPr>
                <w:ilvl w:val="-1"/>
                <w:numId w:val="0"/>
              </w:numPr>
              <w:spacing w:before="156" w:beforeLines="50" w:line="360" w:lineRule="auto"/>
              <w:ind w:firstLine="480" w:firstLineChars="200"/>
              <w:rPr>
                <w:rFonts w:hint="eastAsia" w:cs="Times New Roman"/>
                <w:sz w:val="24"/>
                <w:highlight w:val="none"/>
                <w:lang w:val="en-US" w:eastAsia="zh-CN"/>
              </w:rPr>
            </w:pPr>
            <w:r>
              <w:rPr>
                <w:rFonts w:hint="eastAsia"/>
                <w:sz w:val="24"/>
                <w:highlight w:val="none"/>
                <w:lang w:val="en-US" w:eastAsia="zh-CN"/>
              </w:rPr>
              <w:t>公司在自研立项的多肽类创新药领域进度最快的项目是“STC007注射液”，</w:t>
            </w:r>
            <w:r>
              <w:rPr>
                <w:rFonts w:hint="eastAsia" w:ascii="Times New Roman" w:hAnsi="Times New Roman" w:eastAsia="宋体" w:cs="Times New Roman"/>
                <w:i w:val="0"/>
                <w:iCs w:val="0"/>
                <w:caps w:val="0"/>
                <w:spacing w:val="0"/>
                <w:sz w:val="24"/>
                <w:szCs w:val="20"/>
                <w:highlight w:val="none"/>
                <w:shd w:val="clear"/>
              </w:rPr>
              <w:t>主要适应症为治疗接受血液透析（HD）的成人慢性肾脏疾病相关的中至重度瘙痒（CKD-aP）及治疗术后疼痛</w:t>
            </w:r>
            <w:r>
              <w:rPr>
                <w:rFonts w:hint="eastAsia"/>
                <w:sz w:val="24"/>
                <w:highlight w:val="none"/>
                <w:lang w:val="en-US" w:eastAsia="zh-CN"/>
              </w:rPr>
              <w:t>。在镇痛领域，公司除了多肽类产品，还在经皮给药方面有所布局，比如公司正在研发的洛索洛芬钠凝胶贴膏、氟比洛芬凝胶贴膏（目前都处于临床阶段）等产品。</w:t>
            </w:r>
            <w:r>
              <w:rPr>
                <w:rFonts w:hint="eastAsia" w:ascii="Times New Roman" w:hAnsi="Times New Roman" w:eastAsia="宋体" w:cs="Times New Roman"/>
                <w:sz w:val="24"/>
                <w:highlight w:val="none"/>
                <w:lang w:val="en-US" w:eastAsia="zh-CN"/>
              </w:rPr>
              <w:t>公司目前在研的GLP-1一类创新药的临床试验共6项，涉及减重及降糖适应症，分别处于临床I-III期研究中。公司从审评要求、产品进度、质量的把控</w:t>
            </w:r>
            <w:r>
              <w:rPr>
                <w:rFonts w:hint="eastAsia" w:cs="Times New Roman"/>
                <w:sz w:val="24"/>
                <w:highlight w:val="none"/>
                <w:lang w:val="en-US" w:eastAsia="zh-CN"/>
              </w:rPr>
              <w:t>方面</w:t>
            </w:r>
            <w:r>
              <w:rPr>
                <w:rFonts w:hint="eastAsia" w:ascii="Times New Roman" w:hAnsi="Times New Roman" w:eastAsia="宋体" w:cs="Times New Roman"/>
                <w:sz w:val="24"/>
                <w:highlight w:val="none"/>
                <w:lang w:val="en-US" w:eastAsia="zh-CN"/>
              </w:rPr>
              <w:t>，都积累了丰富的项目经验，</w:t>
            </w:r>
            <w:r>
              <w:rPr>
                <w:rFonts w:hint="eastAsia" w:cs="Times New Roman"/>
                <w:sz w:val="24"/>
                <w:highlight w:val="none"/>
                <w:lang w:val="en-US" w:eastAsia="zh-CN"/>
              </w:rPr>
              <w:t>能够快速推进自研项目的研发进度。</w:t>
            </w:r>
          </w:p>
          <w:p w14:paraId="0D139CAA">
            <w:pPr>
              <w:numPr>
                <w:ilvl w:val="-1"/>
                <w:numId w:val="0"/>
              </w:numPr>
              <w:spacing w:before="156" w:beforeLines="50" w:line="360" w:lineRule="auto"/>
              <w:ind w:firstLine="482" w:firstLineChars="200"/>
              <w:rPr>
                <w:rFonts w:hint="eastAsia" w:cs="Times New Roman"/>
                <w:b/>
                <w:bCs/>
                <w:sz w:val="24"/>
                <w:highlight w:val="none"/>
                <w:lang w:val="en-US" w:eastAsia="zh-CN"/>
              </w:rPr>
            </w:pPr>
            <w:r>
              <w:rPr>
                <w:rFonts w:hint="eastAsia" w:cs="Times New Roman"/>
                <w:b/>
                <w:bCs/>
                <w:sz w:val="24"/>
                <w:highlight w:val="none"/>
                <w:lang w:val="en-US" w:eastAsia="zh-CN"/>
              </w:rPr>
              <w:t>8、临床数统、SMO、稽查等相关服务平台的进展？</w:t>
            </w:r>
          </w:p>
          <w:p w14:paraId="49359EB3">
            <w:pPr>
              <w:numPr>
                <w:ilvl w:val="-1"/>
                <w:numId w:val="0"/>
              </w:numPr>
              <w:spacing w:before="156" w:beforeLines="50" w:line="360" w:lineRule="auto"/>
              <w:ind w:firstLine="480" w:firstLineChars="200"/>
              <w:rPr>
                <w:rFonts w:hint="default"/>
                <w:b/>
                <w:bCs/>
                <w:sz w:val="24"/>
                <w:highlight w:val="none"/>
                <w:lang w:val="en-US" w:eastAsia="zh-CN"/>
              </w:rPr>
            </w:pPr>
            <w:r>
              <w:rPr>
                <w:rFonts w:hint="eastAsia" w:cs="Times New Roman"/>
                <w:sz w:val="24"/>
                <w:highlight w:val="none"/>
                <w:lang w:val="en-US" w:eastAsia="zh-CN"/>
              </w:rPr>
              <w:t>随着临床研究项目的不断增长，公司在现有基础上将进一步扩大在统计分析、监察、SMO等领域的布局。目前公司临床方面的研发能力已经能够覆盖仿制药、改良型新药到创新药物，以及细胞治疗等核心适应症的研发。随着产品线的扩展，预计临床团队规模将逐步扩增，以便更有效地配合我们的项目需求。</w:t>
            </w:r>
          </w:p>
        </w:tc>
      </w:tr>
      <w:tr w14:paraId="4A63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093" w:type="dxa"/>
            <w:noWrap w:val="0"/>
            <w:vAlign w:val="center"/>
          </w:tcPr>
          <w:p w14:paraId="49E359F1">
            <w:pPr>
              <w:spacing w:line="360" w:lineRule="auto"/>
              <w:jc w:val="left"/>
              <w:rPr>
                <w:rFonts w:ascii="宋体" w:hAnsi="宋体"/>
                <w:b/>
                <w:bCs/>
                <w:iCs/>
                <w:sz w:val="24"/>
                <w:szCs w:val="24"/>
              </w:rPr>
            </w:pPr>
            <w:r>
              <w:rPr>
                <w:rFonts w:hint="eastAsia" w:ascii="宋体" w:hAnsi="宋体"/>
                <w:b/>
                <w:bCs/>
                <w:iCs/>
                <w:sz w:val="24"/>
                <w:szCs w:val="24"/>
              </w:rPr>
              <w:t>附件清单（如有）</w:t>
            </w:r>
          </w:p>
        </w:tc>
        <w:tc>
          <w:tcPr>
            <w:tcW w:w="6203" w:type="dxa"/>
            <w:noWrap w:val="0"/>
            <w:vAlign w:val="top"/>
          </w:tcPr>
          <w:p w14:paraId="41A52917">
            <w:pPr>
              <w:spacing w:line="360" w:lineRule="auto"/>
              <w:rPr>
                <w:rFonts w:hint="eastAsia" w:ascii="宋体" w:hAnsi="宋体" w:cs="宋体"/>
                <w:sz w:val="24"/>
                <w:szCs w:val="24"/>
              </w:rPr>
            </w:pPr>
            <w:r>
              <w:rPr>
                <w:rFonts w:hint="eastAsia" w:ascii="宋体" w:hAnsi="宋体"/>
                <w:bCs/>
                <w:iCs/>
                <w:sz w:val="24"/>
                <w:szCs w:val="24"/>
              </w:rPr>
              <w:t>无</w:t>
            </w:r>
          </w:p>
        </w:tc>
      </w:tr>
      <w:tr w14:paraId="5D6C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717A6FD2">
            <w:pPr>
              <w:spacing w:line="360" w:lineRule="auto"/>
              <w:jc w:val="left"/>
              <w:rPr>
                <w:rFonts w:ascii="宋体" w:hAnsi="宋体"/>
                <w:b/>
                <w:bCs/>
                <w:iCs/>
                <w:sz w:val="24"/>
                <w:szCs w:val="24"/>
              </w:rPr>
            </w:pPr>
            <w:r>
              <w:rPr>
                <w:rFonts w:hint="eastAsia" w:ascii="宋体" w:hAnsi="宋体"/>
                <w:b/>
                <w:bCs/>
                <w:iCs/>
                <w:sz w:val="24"/>
                <w:szCs w:val="24"/>
              </w:rPr>
              <w:t>日期</w:t>
            </w:r>
          </w:p>
        </w:tc>
        <w:tc>
          <w:tcPr>
            <w:tcW w:w="6203" w:type="dxa"/>
            <w:noWrap w:val="0"/>
            <w:vAlign w:val="top"/>
          </w:tcPr>
          <w:p w14:paraId="1087953D">
            <w:pPr>
              <w:spacing w:line="360" w:lineRule="auto"/>
              <w:rPr>
                <w:rFonts w:hint="eastAsia" w:ascii="宋体" w:hAnsi="宋体"/>
                <w:bCs/>
                <w:iCs/>
                <w:sz w:val="24"/>
                <w:szCs w:val="24"/>
              </w:rPr>
            </w:pPr>
            <w:r>
              <w:rPr>
                <w:rFonts w:hint="eastAsia" w:ascii="宋体" w:hAnsi="宋体"/>
                <w:bCs/>
                <w:iCs/>
                <w:sz w:val="24"/>
                <w:szCs w:val="24"/>
              </w:rPr>
              <w:t>20</w:t>
            </w:r>
            <w:r>
              <w:rPr>
                <w:rFonts w:ascii="宋体" w:hAnsi="宋体"/>
                <w:bCs/>
                <w:iCs/>
                <w:sz w:val="24"/>
                <w:szCs w:val="24"/>
              </w:rPr>
              <w:t>2</w:t>
            </w:r>
            <w:r>
              <w:rPr>
                <w:rFonts w:hint="eastAsia" w:ascii="宋体" w:hAnsi="宋体"/>
                <w:bCs/>
                <w:iCs/>
                <w:sz w:val="24"/>
                <w:szCs w:val="24"/>
                <w:lang w:val="en-US" w:eastAsia="zh-CN"/>
              </w:rPr>
              <w:t>4</w:t>
            </w:r>
            <w:r>
              <w:rPr>
                <w:rFonts w:hint="eastAsia" w:ascii="宋体" w:hAnsi="宋体"/>
                <w:bCs/>
                <w:iCs/>
                <w:sz w:val="24"/>
                <w:szCs w:val="24"/>
              </w:rPr>
              <w:t>年</w:t>
            </w:r>
            <w:r>
              <w:rPr>
                <w:rFonts w:hint="eastAsia" w:ascii="宋体" w:hAnsi="宋体"/>
                <w:bCs/>
                <w:iCs/>
                <w:sz w:val="24"/>
                <w:szCs w:val="24"/>
                <w:lang w:val="en-US" w:eastAsia="zh-CN"/>
              </w:rPr>
              <w:t>8</w:t>
            </w:r>
            <w:r>
              <w:rPr>
                <w:rFonts w:hint="eastAsia" w:ascii="宋体" w:hAnsi="宋体"/>
                <w:bCs/>
                <w:iCs/>
                <w:sz w:val="24"/>
                <w:szCs w:val="24"/>
              </w:rPr>
              <w:t>月</w:t>
            </w:r>
            <w:r>
              <w:rPr>
                <w:rFonts w:hint="eastAsia" w:ascii="宋体" w:hAnsi="宋体"/>
                <w:bCs/>
                <w:iCs/>
                <w:sz w:val="24"/>
                <w:szCs w:val="24"/>
                <w:lang w:val="en-US" w:eastAsia="zh-CN"/>
              </w:rPr>
              <w:t>30</w:t>
            </w:r>
            <w:r>
              <w:rPr>
                <w:rFonts w:hint="eastAsia" w:ascii="宋体" w:hAnsi="宋体"/>
                <w:bCs/>
                <w:iCs/>
                <w:sz w:val="24"/>
                <w:szCs w:val="24"/>
              </w:rPr>
              <w:t>日</w:t>
            </w:r>
          </w:p>
        </w:tc>
      </w:tr>
    </w:tbl>
    <w:p w14:paraId="3B62B9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MTRlOTE5NzU3Y2FhZmJjMTA4ODAwNjMyZWVhZDcifQ=="/>
  </w:docVars>
  <w:rsids>
    <w:rsidRoot w:val="52FF551A"/>
    <w:rsid w:val="00E31C19"/>
    <w:rsid w:val="01AC06BF"/>
    <w:rsid w:val="01CC4519"/>
    <w:rsid w:val="02290130"/>
    <w:rsid w:val="025F5A5E"/>
    <w:rsid w:val="02BD318C"/>
    <w:rsid w:val="02DB7D7F"/>
    <w:rsid w:val="039A53E7"/>
    <w:rsid w:val="03D87218"/>
    <w:rsid w:val="051E3483"/>
    <w:rsid w:val="05537D54"/>
    <w:rsid w:val="05A32FB5"/>
    <w:rsid w:val="05BF4B6E"/>
    <w:rsid w:val="05F444DC"/>
    <w:rsid w:val="077953F5"/>
    <w:rsid w:val="07A52A97"/>
    <w:rsid w:val="08446DEB"/>
    <w:rsid w:val="09FE6266"/>
    <w:rsid w:val="0A414CDC"/>
    <w:rsid w:val="0A6D3DFC"/>
    <w:rsid w:val="0B5E16A9"/>
    <w:rsid w:val="0C612D69"/>
    <w:rsid w:val="0D174ABA"/>
    <w:rsid w:val="0DBE3551"/>
    <w:rsid w:val="0DCC4700"/>
    <w:rsid w:val="0E086001"/>
    <w:rsid w:val="0EB77202"/>
    <w:rsid w:val="0F824FAF"/>
    <w:rsid w:val="0FE77118"/>
    <w:rsid w:val="11866453"/>
    <w:rsid w:val="122E5DAC"/>
    <w:rsid w:val="12527029"/>
    <w:rsid w:val="12B62932"/>
    <w:rsid w:val="12DB5893"/>
    <w:rsid w:val="134A000D"/>
    <w:rsid w:val="13CF5910"/>
    <w:rsid w:val="144F54F1"/>
    <w:rsid w:val="14EC5248"/>
    <w:rsid w:val="14ED4281"/>
    <w:rsid w:val="15930D03"/>
    <w:rsid w:val="15AA2CEE"/>
    <w:rsid w:val="15B14D16"/>
    <w:rsid w:val="16DA51E9"/>
    <w:rsid w:val="17345A11"/>
    <w:rsid w:val="1839393F"/>
    <w:rsid w:val="190E77ED"/>
    <w:rsid w:val="1A0F1E47"/>
    <w:rsid w:val="1A2C70A7"/>
    <w:rsid w:val="1A547590"/>
    <w:rsid w:val="1B2D550F"/>
    <w:rsid w:val="1C524E00"/>
    <w:rsid w:val="1D0C17E5"/>
    <w:rsid w:val="1D74016F"/>
    <w:rsid w:val="1E121C15"/>
    <w:rsid w:val="1EBC241A"/>
    <w:rsid w:val="1F792F8D"/>
    <w:rsid w:val="1F983F69"/>
    <w:rsid w:val="1FAE3E0B"/>
    <w:rsid w:val="20BE1BE1"/>
    <w:rsid w:val="210274BB"/>
    <w:rsid w:val="216347EC"/>
    <w:rsid w:val="22F83CD2"/>
    <w:rsid w:val="233D0856"/>
    <w:rsid w:val="2362320E"/>
    <w:rsid w:val="23910C76"/>
    <w:rsid w:val="23D01B44"/>
    <w:rsid w:val="23D06D2E"/>
    <w:rsid w:val="23EB5621"/>
    <w:rsid w:val="241427AF"/>
    <w:rsid w:val="249D14E3"/>
    <w:rsid w:val="24BB0950"/>
    <w:rsid w:val="256D51A0"/>
    <w:rsid w:val="26D51ECB"/>
    <w:rsid w:val="271625E5"/>
    <w:rsid w:val="273725B6"/>
    <w:rsid w:val="28582B16"/>
    <w:rsid w:val="29093405"/>
    <w:rsid w:val="29706363"/>
    <w:rsid w:val="29DE4401"/>
    <w:rsid w:val="2AC65169"/>
    <w:rsid w:val="2AD401BA"/>
    <w:rsid w:val="2B061EFA"/>
    <w:rsid w:val="2B9F7FE4"/>
    <w:rsid w:val="2C535356"/>
    <w:rsid w:val="2CA85D23"/>
    <w:rsid w:val="2CB67043"/>
    <w:rsid w:val="2CE05AC2"/>
    <w:rsid w:val="2DCD4D3B"/>
    <w:rsid w:val="2EA00B62"/>
    <w:rsid w:val="2EA9018A"/>
    <w:rsid w:val="2F4F0EF9"/>
    <w:rsid w:val="2FA368BA"/>
    <w:rsid w:val="308E0410"/>
    <w:rsid w:val="30A2064A"/>
    <w:rsid w:val="31060FA7"/>
    <w:rsid w:val="31093612"/>
    <w:rsid w:val="31BF300D"/>
    <w:rsid w:val="32A42B73"/>
    <w:rsid w:val="32D27F68"/>
    <w:rsid w:val="33231F8D"/>
    <w:rsid w:val="33260499"/>
    <w:rsid w:val="332F655B"/>
    <w:rsid w:val="34E872B4"/>
    <w:rsid w:val="350D634B"/>
    <w:rsid w:val="36952F4E"/>
    <w:rsid w:val="36B70E22"/>
    <w:rsid w:val="36D92FB2"/>
    <w:rsid w:val="37467413"/>
    <w:rsid w:val="37787510"/>
    <w:rsid w:val="381776BB"/>
    <w:rsid w:val="387520F0"/>
    <w:rsid w:val="39D2147A"/>
    <w:rsid w:val="3A8D04C3"/>
    <w:rsid w:val="3A9F5F2A"/>
    <w:rsid w:val="3B237CC2"/>
    <w:rsid w:val="3B3C7B22"/>
    <w:rsid w:val="3B91445B"/>
    <w:rsid w:val="3C1E2FE5"/>
    <w:rsid w:val="3D3C6638"/>
    <w:rsid w:val="3D437946"/>
    <w:rsid w:val="3D81311B"/>
    <w:rsid w:val="3DFE4CB6"/>
    <w:rsid w:val="3E0B24F7"/>
    <w:rsid w:val="3E5C41A0"/>
    <w:rsid w:val="3EA2315F"/>
    <w:rsid w:val="3F135AFA"/>
    <w:rsid w:val="4224131E"/>
    <w:rsid w:val="422D34A0"/>
    <w:rsid w:val="441B0C05"/>
    <w:rsid w:val="459C63BF"/>
    <w:rsid w:val="45A55001"/>
    <w:rsid w:val="45E072A7"/>
    <w:rsid w:val="462A01A0"/>
    <w:rsid w:val="46333934"/>
    <w:rsid w:val="46A169FF"/>
    <w:rsid w:val="46F34D6A"/>
    <w:rsid w:val="480B4BB5"/>
    <w:rsid w:val="487D4171"/>
    <w:rsid w:val="489D1235"/>
    <w:rsid w:val="48E21AEF"/>
    <w:rsid w:val="4A830B91"/>
    <w:rsid w:val="4AAF5236"/>
    <w:rsid w:val="4AB212D8"/>
    <w:rsid w:val="4B1A52D2"/>
    <w:rsid w:val="4B265D22"/>
    <w:rsid w:val="4BB85758"/>
    <w:rsid w:val="4C014C57"/>
    <w:rsid w:val="4C020555"/>
    <w:rsid w:val="4C1E0FC8"/>
    <w:rsid w:val="4C556F25"/>
    <w:rsid w:val="4C84793E"/>
    <w:rsid w:val="4D0E2637"/>
    <w:rsid w:val="4D6024B5"/>
    <w:rsid w:val="4D9C101F"/>
    <w:rsid w:val="4DF658A7"/>
    <w:rsid w:val="4EF8205F"/>
    <w:rsid w:val="4F444544"/>
    <w:rsid w:val="50410483"/>
    <w:rsid w:val="509818E5"/>
    <w:rsid w:val="51547108"/>
    <w:rsid w:val="51EF5E19"/>
    <w:rsid w:val="527A22D9"/>
    <w:rsid w:val="5289164F"/>
    <w:rsid w:val="52AB1739"/>
    <w:rsid w:val="52FF551A"/>
    <w:rsid w:val="53672784"/>
    <w:rsid w:val="539E26C0"/>
    <w:rsid w:val="53A91257"/>
    <w:rsid w:val="53F3326E"/>
    <w:rsid w:val="549878D9"/>
    <w:rsid w:val="54A06C67"/>
    <w:rsid w:val="54CC1D57"/>
    <w:rsid w:val="54EB364E"/>
    <w:rsid w:val="55CA28F1"/>
    <w:rsid w:val="561D32CE"/>
    <w:rsid w:val="56AC67D2"/>
    <w:rsid w:val="573622C3"/>
    <w:rsid w:val="576D5BCE"/>
    <w:rsid w:val="58836DC8"/>
    <w:rsid w:val="58BA5B76"/>
    <w:rsid w:val="599C16F8"/>
    <w:rsid w:val="5A2A67F5"/>
    <w:rsid w:val="5A4F27F0"/>
    <w:rsid w:val="5A880128"/>
    <w:rsid w:val="5AAE4583"/>
    <w:rsid w:val="5B1D47FA"/>
    <w:rsid w:val="5D012421"/>
    <w:rsid w:val="5DD427BF"/>
    <w:rsid w:val="5DEC4365"/>
    <w:rsid w:val="5E7435BA"/>
    <w:rsid w:val="5E932ED8"/>
    <w:rsid w:val="60760873"/>
    <w:rsid w:val="60C214BD"/>
    <w:rsid w:val="60C265CF"/>
    <w:rsid w:val="617862AC"/>
    <w:rsid w:val="62A30EA1"/>
    <w:rsid w:val="62F60387"/>
    <w:rsid w:val="63181F99"/>
    <w:rsid w:val="6320789A"/>
    <w:rsid w:val="63D1618C"/>
    <w:rsid w:val="64661261"/>
    <w:rsid w:val="64932BAD"/>
    <w:rsid w:val="649B4982"/>
    <w:rsid w:val="64BC0286"/>
    <w:rsid w:val="650C2A2C"/>
    <w:rsid w:val="65CA54AC"/>
    <w:rsid w:val="669A3582"/>
    <w:rsid w:val="66F23252"/>
    <w:rsid w:val="67920D68"/>
    <w:rsid w:val="67E47875"/>
    <w:rsid w:val="681F4C63"/>
    <w:rsid w:val="68AD09A1"/>
    <w:rsid w:val="68E055B0"/>
    <w:rsid w:val="69961E22"/>
    <w:rsid w:val="6A23123C"/>
    <w:rsid w:val="6A2842F5"/>
    <w:rsid w:val="6A6547A8"/>
    <w:rsid w:val="6A6B5660"/>
    <w:rsid w:val="6B685571"/>
    <w:rsid w:val="6C3309C1"/>
    <w:rsid w:val="6D1E32A1"/>
    <w:rsid w:val="6D322B1C"/>
    <w:rsid w:val="6D9B2F52"/>
    <w:rsid w:val="6E2576AE"/>
    <w:rsid w:val="6E290AB7"/>
    <w:rsid w:val="6EA45979"/>
    <w:rsid w:val="6EEB2130"/>
    <w:rsid w:val="700B2EC6"/>
    <w:rsid w:val="70754AA5"/>
    <w:rsid w:val="70B8083E"/>
    <w:rsid w:val="7171086E"/>
    <w:rsid w:val="719510A4"/>
    <w:rsid w:val="71A66548"/>
    <w:rsid w:val="71FA4772"/>
    <w:rsid w:val="71FC4DEA"/>
    <w:rsid w:val="728671BF"/>
    <w:rsid w:val="72C94CD5"/>
    <w:rsid w:val="73300DA4"/>
    <w:rsid w:val="744616E9"/>
    <w:rsid w:val="745A380B"/>
    <w:rsid w:val="74A02866"/>
    <w:rsid w:val="75580D0F"/>
    <w:rsid w:val="76440F92"/>
    <w:rsid w:val="772F3652"/>
    <w:rsid w:val="77AE1328"/>
    <w:rsid w:val="77B6383C"/>
    <w:rsid w:val="78423920"/>
    <w:rsid w:val="78A45D63"/>
    <w:rsid w:val="794D08AD"/>
    <w:rsid w:val="79D25FC2"/>
    <w:rsid w:val="79EA2C4D"/>
    <w:rsid w:val="79F90BEF"/>
    <w:rsid w:val="7A7F1400"/>
    <w:rsid w:val="7AB27F5F"/>
    <w:rsid w:val="7AD051DC"/>
    <w:rsid w:val="7ADB0A5E"/>
    <w:rsid w:val="7AE62B2D"/>
    <w:rsid w:val="7B28387D"/>
    <w:rsid w:val="7BA223D0"/>
    <w:rsid w:val="7C064AE8"/>
    <w:rsid w:val="7C29373A"/>
    <w:rsid w:val="7C6A3054"/>
    <w:rsid w:val="7CE44ECC"/>
    <w:rsid w:val="7CE571C4"/>
    <w:rsid w:val="7D0375F5"/>
    <w:rsid w:val="7D546905"/>
    <w:rsid w:val="7D6D7ABB"/>
    <w:rsid w:val="7D7234FB"/>
    <w:rsid w:val="7F173DB2"/>
    <w:rsid w:val="7F2266A0"/>
    <w:rsid w:val="7F2E17A9"/>
    <w:rsid w:val="7FAD2049"/>
    <w:rsid w:val="7FEE7A90"/>
    <w:rsid w:val="7FF23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2980</Words>
  <Characters>3193</Characters>
  <Lines>0</Lines>
  <Paragraphs>0</Paragraphs>
  <TotalTime>0</TotalTime>
  <ScaleCrop>false</ScaleCrop>
  <LinksUpToDate>false</LinksUpToDate>
  <CharactersWithSpaces>3259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2024-03-05T05:09:00Z</dcterms:created>
  <dc:creator>杨贵娇</dc:creator>
  <cp:lastModifiedBy>杨贵娇</cp:lastModifiedBy>
  <dcterms:modified xsi:type="dcterms:W3CDTF">2024-09-03T07:01:08Z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D4466EC1863D4B5C8B524BCFFFA2D892_13</vt:lpwstr>
  </property>
</Properties>
</file>