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86" w:rsidRDefault="00EF0D1B">
      <w:pPr>
        <w:adjustRightInd w:val="0"/>
        <w:snapToGrid w:val="0"/>
        <w:spacing w:line="600" w:lineRule="exact"/>
        <w:rPr>
          <w:sz w:val="24"/>
          <w:szCs w:val="24"/>
        </w:rPr>
      </w:pPr>
      <w:r>
        <w:rPr>
          <w:sz w:val="24"/>
          <w:szCs w:val="24"/>
        </w:rPr>
        <w:t>证券代码：</w:t>
      </w:r>
      <w:r>
        <w:rPr>
          <w:sz w:val="24"/>
          <w:szCs w:val="24"/>
        </w:rPr>
        <w:t>688</w:t>
      </w:r>
      <w:r>
        <w:rPr>
          <w:rFonts w:hint="eastAsia"/>
          <w:sz w:val="24"/>
          <w:szCs w:val="24"/>
        </w:rPr>
        <w:t>067</w:t>
      </w:r>
      <w:r>
        <w:rPr>
          <w:sz w:val="24"/>
          <w:szCs w:val="24"/>
        </w:rPr>
        <w:t xml:space="preserve">          </w:t>
      </w:r>
      <w:r>
        <w:rPr>
          <w:sz w:val="24"/>
          <w:szCs w:val="24"/>
        </w:rPr>
        <w:t>证券简称：</w:t>
      </w:r>
      <w:r>
        <w:rPr>
          <w:rFonts w:hint="eastAsia"/>
          <w:sz w:val="24"/>
          <w:szCs w:val="24"/>
        </w:rPr>
        <w:t>爱威科技</w:t>
      </w:r>
      <w:r>
        <w:rPr>
          <w:sz w:val="24"/>
          <w:szCs w:val="24"/>
        </w:rPr>
        <w:t xml:space="preserve">          </w:t>
      </w:r>
      <w:r>
        <w:rPr>
          <w:sz w:val="24"/>
          <w:szCs w:val="24"/>
        </w:rPr>
        <w:t>编号：</w:t>
      </w:r>
      <w:r>
        <w:rPr>
          <w:sz w:val="24"/>
          <w:szCs w:val="24"/>
        </w:rPr>
        <w:t>20</w:t>
      </w:r>
      <w:r>
        <w:rPr>
          <w:rFonts w:hint="eastAsia"/>
          <w:sz w:val="24"/>
          <w:szCs w:val="24"/>
        </w:rPr>
        <w:t>24</w:t>
      </w:r>
      <w:r>
        <w:rPr>
          <w:sz w:val="24"/>
          <w:szCs w:val="24"/>
        </w:rPr>
        <w:t>-00</w:t>
      </w:r>
      <w:r w:rsidR="00FC589E">
        <w:rPr>
          <w:rFonts w:hint="eastAsia"/>
          <w:sz w:val="24"/>
          <w:szCs w:val="24"/>
        </w:rPr>
        <w:t>4</w:t>
      </w:r>
    </w:p>
    <w:p w:rsidR="00ED5886" w:rsidRDefault="00ED5886">
      <w:pPr>
        <w:adjustRightInd w:val="0"/>
        <w:snapToGrid w:val="0"/>
        <w:spacing w:line="600" w:lineRule="exact"/>
        <w:rPr>
          <w:sz w:val="24"/>
          <w:szCs w:val="24"/>
        </w:rPr>
      </w:pPr>
    </w:p>
    <w:p w:rsidR="00ED5886" w:rsidRDefault="00EF0D1B">
      <w:pPr>
        <w:autoSpaceDE w:val="0"/>
        <w:autoSpaceDN w:val="0"/>
        <w:adjustRightInd w:val="0"/>
        <w:snapToGrid w:val="0"/>
        <w:spacing w:line="600" w:lineRule="exact"/>
        <w:jc w:val="center"/>
        <w:rPr>
          <w:rFonts w:ascii="黑体" w:eastAsia="黑体" w:hAnsi="黑体"/>
          <w:bCs/>
          <w:sz w:val="32"/>
          <w:szCs w:val="32"/>
        </w:rPr>
      </w:pPr>
      <w:r>
        <w:rPr>
          <w:rFonts w:ascii="黑体" w:eastAsia="黑体" w:hAnsi="黑体" w:hint="eastAsia"/>
          <w:bCs/>
          <w:sz w:val="32"/>
          <w:szCs w:val="32"/>
        </w:rPr>
        <w:t>爱威科技</w:t>
      </w:r>
      <w:r>
        <w:rPr>
          <w:rFonts w:ascii="黑体" w:eastAsia="黑体" w:hAnsi="黑体"/>
          <w:bCs/>
          <w:sz w:val="32"/>
          <w:szCs w:val="32"/>
        </w:rPr>
        <w:t>股份有限公司</w:t>
      </w:r>
    </w:p>
    <w:p w:rsidR="00ED5886" w:rsidRDefault="00EF0D1B">
      <w:pPr>
        <w:autoSpaceDE w:val="0"/>
        <w:autoSpaceDN w:val="0"/>
        <w:adjustRightInd w:val="0"/>
        <w:snapToGrid w:val="0"/>
        <w:spacing w:line="600" w:lineRule="exact"/>
        <w:jc w:val="center"/>
        <w:rPr>
          <w:rFonts w:ascii="黑体" w:eastAsia="黑体" w:hAnsi="黑体"/>
          <w:bCs/>
          <w:sz w:val="32"/>
          <w:szCs w:val="32"/>
        </w:rPr>
      </w:pPr>
      <w:r>
        <w:rPr>
          <w:rFonts w:ascii="黑体" w:eastAsia="黑体" w:hAnsi="黑体" w:hint="eastAsia"/>
          <w:bCs/>
          <w:sz w:val="32"/>
          <w:szCs w:val="32"/>
        </w:rPr>
        <w:t>投资者关系活动记录表</w:t>
      </w:r>
    </w:p>
    <w:p w:rsidR="00ED5886" w:rsidRDefault="00ED5886">
      <w:pPr>
        <w:autoSpaceDE w:val="0"/>
        <w:autoSpaceDN w:val="0"/>
        <w:adjustRightInd w:val="0"/>
        <w:snapToGrid w:val="0"/>
        <w:spacing w:line="600" w:lineRule="exact"/>
        <w:jc w:val="center"/>
        <w:rPr>
          <w:rFonts w:ascii="黑体" w:eastAsiaTheme="minorEastAsia" w:hAnsi="黑体"/>
          <w:bCs/>
          <w:sz w:val="32"/>
          <w:szCs w:val="32"/>
        </w:rPr>
      </w:pPr>
    </w:p>
    <w:tbl>
      <w:tblPr>
        <w:tblStyle w:val="a8"/>
        <w:tblW w:w="8687" w:type="dxa"/>
        <w:jc w:val="center"/>
        <w:tblInd w:w="-187" w:type="dxa"/>
        <w:tblLayout w:type="fixed"/>
        <w:tblLook w:val="04A0" w:firstRow="1" w:lastRow="0" w:firstColumn="1" w:lastColumn="0" w:noHBand="0" w:noVBand="1"/>
      </w:tblPr>
      <w:tblGrid>
        <w:gridCol w:w="1883"/>
        <w:gridCol w:w="2198"/>
        <w:gridCol w:w="4606"/>
      </w:tblGrid>
      <w:tr w:rsidR="00ED5886" w:rsidTr="00B77777">
        <w:trPr>
          <w:trHeight w:val="1662"/>
          <w:jc w:val="center"/>
        </w:trPr>
        <w:tc>
          <w:tcPr>
            <w:tcW w:w="1883" w:type="dxa"/>
            <w:vAlign w:val="center"/>
          </w:tcPr>
          <w:p w:rsidR="00ED5886" w:rsidRDefault="00EF0D1B">
            <w:pPr>
              <w:autoSpaceDE w:val="0"/>
              <w:autoSpaceDN w:val="0"/>
              <w:adjustRightInd w:val="0"/>
              <w:snapToGrid w:val="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投资者关系活动类别</w:t>
            </w:r>
          </w:p>
        </w:tc>
        <w:tc>
          <w:tcPr>
            <w:tcW w:w="2198" w:type="dxa"/>
            <w:tcBorders>
              <w:right w:val="nil"/>
            </w:tcBorders>
          </w:tcPr>
          <w:p w:rsidR="00ED5886" w:rsidRDefault="00EF0D1B">
            <w:pPr>
              <w:autoSpaceDE w:val="0"/>
              <w:autoSpaceDN w:val="0"/>
              <w:adjustRightInd w:val="0"/>
              <w:snapToGrid w:val="0"/>
              <w:jc w:val="left"/>
              <w:rPr>
                <w:rFonts w:asciiTheme="minorEastAsia" w:eastAsiaTheme="minorEastAsia" w:hAnsiTheme="minorEastAsia"/>
                <w:bCs/>
                <w:sz w:val="24"/>
                <w:szCs w:val="24"/>
              </w:rPr>
            </w:pPr>
            <w:r>
              <w:rPr>
                <w:rFonts w:asciiTheme="minorEastAsia" w:hAnsiTheme="minorEastAsia"/>
                <w:bCs/>
                <w:sz w:val="24"/>
                <w:szCs w:val="24"/>
              </w:rPr>
              <w:object w:dxaOrig="2160"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 style="width:108.3pt;height:19.4pt" o:ole="">
                  <v:imagedata r:id="rId6" o:title=""/>
                </v:shape>
                <w:control r:id="rId7" w:name="CheckBox1" w:shapeid="_x0000_i1041"/>
              </w:object>
            </w:r>
            <w:r>
              <w:rPr>
                <w:rFonts w:asciiTheme="minorEastAsia" w:hAnsiTheme="minorEastAsia"/>
                <w:bCs/>
                <w:sz w:val="24"/>
                <w:szCs w:val="24"/>
              </w:rPr>
              <w:object w:dxaOrig="2160" w:dyaOrig="390">
                <v:shape id="_x0000_i1043" type="#_x0000_t75" alt="" style="width:108.3pt;height:19.4pt" o:ole="">
                  <v:imagedata r:id="rId8" o:title=""/>
                </v:shape>
                <w:control r:id="rId9" w:name="CheckBox2" w:shapeid="_x0000_i1043"/>
              </w:object>
            </w:r>
            <w:r>
              <w:rPr>
                <w:rFonts w:asciiTheme="minorEastAsia" w:hAnsiTheme="minorEastAsia"/>
                <w:bCs/>
                <w:sz w:val="24"/>
                <w:szCs w:val="24"/>
              </w:rPr>
              <w:object w:dxaOrig="2160" w:dyaOrig="390">
                <v:shape id="_x0000_i1045" type="#_x0000_t75" alt="" style="width:108.3pt;height:19.4pt" o:ole="">
                  <v:imagedata r:id="rId10" o:title=""/>
                </v:shape>
                <w:control r:id="rId11" w:name="CheckBox3" w:shapeid="_x0000_i1045"/>
              </w:object>
            </w:r>
            <w:r>
              <w:rPr>
                <w:rFonts w:asciiTheme="minorEastAsia" w:hAnsiTheme="minorEastAsia"/>
                <w:bCs/>
                <w:sz w:val="24"/>
                <w:szCs w:val="24"/>
              </w:rPr>
              <w:object w:dxaOrig="2160" w:dyaOrig="390">
                <v:shape id="_x0000_i1047" type="#_x0000_t75" alt="" style="width:108.3pt;height:19.4pt" o:ole="">
                  <v:imagedata r:id="rId12" o:title=""/>
                </v:shape>
                <w:control r:id="rId13" w:name="CheckBox4" w:shapeid="_x0000_i1047"/>
              </w:object>
            </w:r>
          </w:p>
        </w:tc>
        <w:tc>
          <w:tcPr>
            <w:tcW w:w="4606" w:type="dxa"/>
            <w:tcBorders>
              <w:left w:val="nil"/>
            </w:tcBorders>
          </w:tcPr>
          <w:p w:rsidR="00ED5886" w:rsidRDefault="00EF0D1B">
            <w:pPr>
              <w:autoSpaceDE w:val="0"/>
              <w:autoSpaceDN w:val="0"/>
              <w:adjustRightInd w:val="0"/>
              <w:snapToGrid w:val="0"/>
              <w:jc w:val="left"/>
              <w:rPr>
                <w:rFonts w:asciiTheme="minorEastAsia" w:eastAsiaTheme="minorEastAsia" w:hAnsiTheme="minorEastAsia"/>
                <w:bCs/>
                <w:sz w:val="24"/>
                <w:szCs w:val="24"/>
              </w:rPr>
            </w:pPr>
            <w:r>
              <w:rPr>
                <w:rFonts w:asciiTheme="minorEastAsia" w:hAnsiTheme="minorEastAsia"/>
                <w:bCs/>
                <w:sz w:val="24"/>
                <w:szCs w:val="24"/>
              </w:rPr>
              <w:object w:dxaOrig="2160" w:dyaOrig="390">
                <v:shape id="_x0000_i1049" type="#_x0000_t75" alt="" style="width:108.3pt;height:19.4pt" o:ole="">
                  <v:imagedata r:id="rId14" o:title=""/>
                </v:shape>
                <w:control r:id="rId15" w:name="CheckBox51" w:shapeid="_x0000_i1049"/>
              </w:object>
            </w:r>
          </w:p>
          <w:p w:rsidR="00ED5886" w:rsidRDefault="00EF0D1B">
            <w:pPr>
              <w:autoSpaceDE w:val="0"/>
              <w:autoSpaceDN w:val="0"/>
              <w:adjustRightInd w:val="0"/>
              <w:snapToGrid w:val="0"/>
              <w:jc w:val="left"/>
              <w:rPr>
                <w:rFonts w:asciiTheme="minorEastAsia" w:eastAsiaTheme="minorEastAsia" w:hAnsiTheme="minorEastAsia"/>
                <w:bCs/>
                <w:sz w:val="24"/>
                <w:szCs w:val="24"/>
              </w:rPr>
            </w:pPr>
            <w:r>
              <w:rPr>
                <w:rFonts w:asciiTheme="minorEastAsia" w:hAnsiTheme="minorEastAsia"/>
                <w:bCs/>
                <w:sz w:val="24"/>
                <w:szCs w:val="24"/>
              </w:rPr>
              <w:object w:dxaOrig="2160" w:dyaOrig="390">
                <v:shape id="_x0000_i1051" type="#_x0000_t75" alt="" style="width:108.3pt;height:19.4pt" o:ole="">
                  <v:imagedata r:id="rId16" o:title=""/>
                </v:shape>
                <w:control r:id="rId17" w:name="CheckBox61" w:shapeid="_x0000_i1051"/>
              </w:object>
            </w:r>
          </w:p>
          <w:p w:rsidR="00ED5886" w:rsidRDefault="00EF0D1B">
            <w:pPr>
              <w:autoSpaceDE w:val="0"/>
              <w:autoSpaceDN w:val="0"/>
              <w:adjustRightInd w:val="0"/>
              <w:snapToGrid w:val="0"/>
              <w:jc w:val="left"/>
              <w:rPr>
                <w:rFonts w:asciiTheme="minorEastAsia" w:eastAsiaTheme="minorEastAsia" w:hAnsiTheme="minorEastAsia"/>
                <w:bCs/>
                <w:sz w:val="24"/>
                <w:szCs w:val="24"/>
              </w:rPr>
            </w:pPr>
            <w:r>
              <w:rPr>
                <w:rFonts w:asciiTheme="minorEastAsia" w:hAnsiTheme="minorEastAsia"/>
                <w:bCs/>
                <w:sz w:val="24"/>
                <w:szCs w:val="24"/>
              </w:rPr>
              <w:object w:dxaOrig="2160" w:dyaOrig="390">
                <v:shape id="_x0000_i1053" type="#_x0000_t75" alt="" style="width:108.3pt;height:19.4pt" o:ole="">
                  <v:imagedata r:id="rId18" o:title=""/>
                </v:shape>
                <w:control r:id="rId19" w:name="CheckBox71" w:shapeid="_x0000_i1053"/>
              </w:object>
            </w:r>
          </w:p>
          <w:p w:rsidR="00ED5886" w:rsidRDefault="00EF0D1B">
            <w:pPr>
              <w:autoSpaceDE w:val="0"/>
              <w:autoSpaceDN w:val="0"/>
              <w:adjustRightInd w:val="0"/>
              <w:snapToGrid w:val="0"/>
              <w:jc w:val="left"/>
              <w:rPr>
                <w:rFonts w:asciiTheme="minorEastAsia" w:eastAsiaTheme="minorEastAsia" w:hAnsiTheme="minorEastAsia"/>
                <w:bCs/>
                <w:sz w:val="24"/>
                <w:szCs w:val="24"/>
              </w:rPr>
            </w:pPr>
            <w:r>
              <w:rPr>
                <w:rFonts w:asciiTheme="minorEastAsia" w:hAnsiTheme="minorEastAsia"/>
                <w:bCs/>
                <w:sz w:val="24"/>
                <w:szCs w:val="24"/>
              </w:rPr>
              <w:object w:dxaOrig="2160" w:dyaOrig="390">
                <v:shape id="_x0000_i1055" type="#_x0000_t75" alt="" style="width:131.5pt;height:19.4pt" o:ole="">
                  <v:imagedata r:id="rId20" o:title=""/>
                </v:shape>
                <w:control r:id="rId21" w:name="CheckBox81" w:shapeid="_x0000_i1055"/>
              </w:object>
            </w:r>
          </w:p>
        </w:tc>
      </w:tr>
      <w:tr w:rsidR="00ED5886" w:rsidTr="00B77777">
        <w:trPr>
          <w:trHeight w:val="387"/>
          <w:jc w:val="center"/>
        </w:trPr>
        <w:tc>
          <w:tcPr>
            <w:tcW w:w="1883" w:type="dxa"/>
            <w:vAlign w:val="center"/>
          </w:tcPr>
          <w:p w:rsidR="00ED5886" w:rsidRDefault="00EF0D1B">
            <w:pPr>
              <w:autoSpaceDE w:val="0"/>
              <w:autoSpaceDN w:val="0"/>
              <w:adjustRightInd w:val="0"/>
              <w:snapToGrid w:val="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参与单位名称及人员姓名</w:t>
            </w:r>
          </w:p>
        </w:tc>
        <w:tc>
          <w:tcPr>
            <w:tcW w:w="6804" w:type="dxa"/>
            <w:gridSpan w:val="2"/>
            <w:vAlign w:val="center"/>
          </w:tcPr>
          <w:p w:rsidR="00ED5886" w:rsidRDefault="00ED5886">
            <w:pPr>
              <w:autoSpaceDE w:val="0"/>
              <w:autoSpaceDN w:val="0"/>
              <w:adjustRightInd w:val="0"/>
              <w:snapToGrid w:val="0"/>
              <w:spacing w:line="360" w:lineRule="auto"/>
              <w:rPr>
                <w:rFonts w:asciiTheme="majorEastAsia" w:eastAsiaTheme="majorEastAsia" w:hAnsiTheme="majorEastAsia"/>
                <w:sz w:val="24"/>
                <w:szCs w:val="24"/>
              </w:rPr>
            </w:pPr>
          </w:p>
          <w:p w:rsidR="00ED5886" w:rsidRDefault="00B77777" w:rsidP="00FC589E">
            <w:pPr>
              <w:autoSpaceDE w:val="0"/>
              <w:autoSpaceDN w:val="0"/>
              <w:adjustRightInd w:val="0"/>
              <w:snapToGrid w:val="0"/>
              <w:spacing w:line="360" w:lineRule="auto"/>
              <w:rPr>
                <w:rFonts w:asciiTheme="minorEastAsia" w:eastAsiaTheme="minorEastAsia" w:hAnsiTheme="minorEastAsia"/>
                <w:bCs/>
                <w:sz w:val="24"/>
                <w:szCs w:val="24"/>
              </w:rPr>
            </w:pPr>
            <w:r w:rsidRPr="00B77777">
              <w:rPr>
                <w:rFonts w:asciiTheme="majorEastAsia" w:eastAsiaTheme="majorEastAsia" w:hAnsiTheme="majorEastAsia" w:hint="eastAsia"/>
                <w:sz w:val="24"/>
                <w:szCs w:val="24"/>
              </w:rPr>
              <w:t>线上参与公司202</w:t>
            </w:r>
            <w:r w:rsidR="00FC589E">
              <w:rPr>
                <w:rFonts w:asciiTheme="majorEastAsia" w:eastAsiaTheme="majorEastAsia" w:hAnsiTheme="majorEastAsia" w:hint="eastAsia"/>
                <w:sz w:val="24"/>
                <w:szCs w:val="24"/>
              </w:rPr>
              <w:t>4年半年</w:t>
            </w:r>
            <w:r w:rsidRPr="00B77777">
              <w:rPr>
                <w:rFonts w:asciiTheme="majorEastAsia" w:eastAsiaTheme="majorEastAsia" w:hAnsiTheme="majorEastAsia" w:hint="eastAsia"/>
                <w:sz w:val="24"/>
                <w:szCs w:val="24"/>
              </w:rPr>
              <w:t>度业绩说明会的投资者</w:t>
            </w:r>
          </w:p>
        </w:tc>
      </w:tr>
      <w:tr w:rsidR="00ED5886" w:rsidTr="00B77777">
        <w:trPr>
          <w:trHeight w:val="387"/>
          <w:jc w:val="center"/>
        </w:trPr>
        <w:tc>
          <w:tcPr>
            <w:tcW w:w="1883" w:type="dxa"/>
            <w:vAlign w:val="center"/>
          </w:tcPr>
          <w:p w:rsidR="00ED5886" w:rsidRDefault="00EF0D1B">
            <w:pPr>
              <w:autoSpaceDE w:val="0"/>
              <w:autoSpaceDN w:val="0"/>
              <w:adjustRightInd w:val="0"/>
              <w:snapToGrid w:val="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时间</w:t>
            </w:r>
          </w:p>
        </w:tc>
        <w:tc>
          <w:tcPr>
            <w:tcW w:w="6804" w:type="dxa"/>
            <w:gridSpan w:val="2"/>
            <w:vAlign w:val="center"/>
          </w:tcPr>
          <w:p w:rsidR="00ED5886" w:rsidRDefault="00EF0D1B" w:rsidP="00FC589E">
            <w:pPr>
              <w:autoSpaceDE w:val="0"/>
              <w:autoSpaceDN w:val="0"/>
              <w:adjustRightInd w:val="0"/>
              <w:snapToGrid w:val="0"/>
              <w:spacing w:beforeLines="50" w:before="156" w:line="360" w:lineRule="auto"/>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2</w:t>
            </w:r>
            <w:r>
              <w:rPr>
                <w:rFonts w:asciiTheme="minorEastAsia" w:eastAsiaTheme="minorEastAsia" w:hAnsiTheme="minorEastAsia"/>
                <w:bCs/>
                <w:sz w:val="24"/>
                <w:szCs w:val="24"/>
              </w:rPr>
              <w:t>02</w:t>
            </w:r>
            <w:r>
              <w:rPr>
                <w:rFonts w:asciiTheme="minorEastAsia" w:eastAsiaTheme="minorEastAsia" w:hAnsiTheme="minorEastAsia" w:hint="eastAsia"/>
                <w:bCs/>
                <w:sz w:val="24"/>
                <w:szCs w:val="24"/>
              </w:rPr>
              <w:t>4年</w:t>
            </w:r>
            <w:r w:rsidR="00FC589E">
              <w:rPr>
                <w:rFonts w:asciiTheme="minorEastAsia" w:eastAsiaTheme="minorEastAsia" w:hAnsiTheme="minorEastAsia" w:hint="eastAsia"/>
                <w:bCs/>
                <w:sz w:val="24"/>
                <w:szCs w:val="24"/>
              </w:rPr>
              <w:t>9</w:t>
            </w:r>
            <w:r>
              <w:rPr>
                <w:rFonts w:asciiTheme="minorEastAsia" w:eastAsiaTheme="minorEastAsia" w:hAnsiTheme="minorEastAsia" w:hint="eastAsia"/>
                <w:bCs/>
                <w:sz w:val="24"/>
                <w:szCs w:val="24"/>
              </w:rPr>
              <w:t>月</w:t>
            </w:r>
            <w:r w:rsidR="00FC589E">
              <w:rPr>
                <w:rFonts w:asciiTheme="minorEastAsia" w:eastAsiaTheme="minorEastAsia" w:hAnsiTheme="minorEastAsia" w:hint="eastAsia"/>
                <w:bCs/>
                <w:sz w:val="24"/>
                <w:szCs w:val="24"/>
              </w:rPr>
              <w:t>5</w:t>
            </w:r>
            <w:r>
              <w:rPr>
                <w:rFonts w:asciiTheme="minorEastAsia" w:eastAsiaTheme="minorEastAsia" w:hAnsiTheme="minorEastAsia" w:hint="eastAsia"/>
                <w:bCs/>
                <w:sz w:val="24"/>
                <w:szCs w:val="24"/>
              </w:rPr>
              <w:t xml:space="preserve">日 </w:t>
            </w:r>
            <w:r>
              <w:rPr>
                <w:rFonts w:asciiTheme="minorEastAsia" w:eastAsiaTheme="minorEastAsia" w:hAnsiTheme="minorEastAsia"/>
                <w:bCs/>
                <w:sz w:val="24"/>
                <w:szCs w:val="24"/>
              </w:rPr>
              <w:t>1</w:t>
            </w:r>
            <w:r w:rsidR="00B77777">
              <w:rPr>
                <w:rFonts w:asciiTheme="minorEastAsia" w:eastAsiaTheme="minorEastAsia" w:hAnsiTheme="minorEastAsia" w:hint="eastAsia"/>
                <w:bCs/>
                <w:sz w:val="24"/>
                <w:szCs w:val="24"/>
              </w:rPr>
              <w:t>5</w:t>
            </w:r>
            <w:r>
              <w:rPr>
                <w:rFonts w:asciiTheme="minorEastAsia" w:eastAsiaTheme="minorEastAsia" w:hAnsiTheme="minorEastAsia"/>
                <w:bCs/>
                <w:sz w:val="24"/>
                <w:szCs w:val="24"/>
              </w:rPr>
              <w:t>:</w:t>
            </w:r>
            <w:r w:rsidR="00B77777">
              <w:rPr>
                <w:rFonts w:asciiTheme="minorEastAsia" w:eastAsiaTheme="minorEastAsia" w:hAnsiTheme="minorEastAsia" w:hint="eastAsia"/>
                <w:bCs/>
                <w:sz w:val="24"/>
                <w:szCs w:val="24"/>
              </w:rPr>
              <w:t>0</w:t>
            </w:r>
            <w:r>
              <w:rPr>
                <w:rFonts w:asciiTheme="minorEastAsia" w:eastAsiaTheme="minorEastAsia" w:hAnsiTheme="minorEastAsia"/>
                <w:bCs/>
                <w:sz w:val="24"/>
                <w:szCs w:val="24"/>
              </w:rPr>
              <w:t>0-</w:t>
            </w:r>
            <w:r>
              <w:rPr>
                <w:rFonts w:asciiTheme="minorEastAsia" w:eastAsiaTheme="minorEastAsia" w:hAnsiTheme="minorEastAsia" w:hint="eastAsia"/>
                <w:bCs/>
                <w:sz w:val="24"/>
                <w:szCs w:val="24"/>
              </w:rPr>
              <w:t>1</w:t>
            </w:r>
            <w:r w:rsidR="00B77777">
              <w:rPr>
                <w:rFonts w:asciiTheme="minorEastAsia" w:eastAsiaTheme="minorEastAsia" w:hAnsiTheme="minorEastAsia" w:hint="eastAsia"/>
                <w:bCs/>
                <w:sz w:val="24"/>
                <w:szCs w:val="24"/>
              </w:rPr>
              <w:t>6</w:t>
            </w:r>
            <w:r>
              <w:rPr>
                <w:rFonts w:asciiTheme="minorEastAsia" w:eastAsiaTheme="minorEastAsia" w:hAnsiTheme="minorEastAsia"/>
                <w:bCs/>
                <w:sz w:val="24"/>
                <w:szCs w:val="24"/>
              </w:rPr>
              <w:t>:</w:t>
            </w:r>
            <w:r w:rsidR="00B77777">
              <w:rPr>
                <w:rFonts w:asciiTheme="minorEastAsia" w:eastAsiaTheme="minorEastAsia" w:hAnsiTheme="minorEastAsia" w:hint="eastAsia"/>
                <w:bCs/>
                <w:sz w:val="24"/>
                <w:szCs w:val="24"/>
              </w:rPr>
              <w:t>0</w:t>
            </w:r>
            <w:r>
              <w:rPr>
                <w:rFonts w:asciiTheme="minorEastAsia" w:eastAsiaTheme="minorEastAsia" w:hAnsiTheme="minorEastAsia"/>
                <w:bCs/>
                <w:sz w:val="24"/>
                <w:szCs w:val="24"/>
              </w:rPr>
              <w:t>0</w:t>
            </w:r>
          </w:p>
        </w:tc>
      </w:tr>
      <w:tr w:rsidR="00ED5886" w:rsidTr="00B77777">
        <w:trPr>
          <w:jc w:val="center"/>
        </w:trPr>
        <w:tc>
          <w:tcPr>
            <w:tcW w:w="1883" w:type="dxa"/>
            <w:vAlign w:val="center"/>
          </w:tcPr>
          <w:p w:rsidR="00ED5886" w:rsidRDefault="00EF0D1B">
            <w:pPr>
              <w:autoSpaceDE w:val="0"/>
              <w:autoSpaceDN w:val="0"/>
              <w:adjustRightInd w:val="0"/>
              <w:snapToGrid w:val="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地点</w:t>
            </w:r>
          </w:p>
        </w:tc>
        <w:tc>
          <w:tcPr>
            <w:tcW w:w="6804" w:type="dxa"/>
            <w:gridSpan w:val="2"/>
            <w:vAlign w:val="center"/>
          </w:tcPr>
          <w:p w:rsidR="00ED5886" w:rsidRDefault="00B77777">
            <w:pPr>
              <w:autoSpaceDE w:val="0"/>
              <w:autoSpaceDN w:val="0"/>
              <w:adjustRightInd w:val="0"/>
              <w:snapToGrid w:val="0"/>
              <w:spacing w:beforeLines="50" w:before="156" w:line="360" w:lineRule="auto"/>
              <w:jc w:val="left"/>
              <w:rPr>
                <w:rFonts w:asciiTheme="minorEastAsia" w:eastAsiaTheme="minorEastAsia" w:hAnsiTheme="minorEastAsia"/>
                <w:bCs/>
                <w:sz w:val="24"/>
                <w:szCs w:val="24"/>
              </w:rPr>
            </w:pPr>
            <w:r w:rsidRPr="00B77777">
              <w:rPr>
                <w:rFonts w:asciiTheme="minorEastAsia" w:eastAsiaTheme="minorEastAsia" w:hAnsiTheme="minorEastAsia" w:hint="eastAsia"/>
                <w:bCs/>
                <w:sz w:val="24"/>
                <w:szCs w:val="24"/>
              </w:rPr>
              <w:t>上海证券交易所</w:t>
            </w:r>
            <w:proofErr w:type="gramStart"/>
            <w:r w:rsidRPr="00B77777">
              <w:rPr>
                <w:rFonts w:asciiTheme="minorEastAsia" w:eastAsiaTheme="minorEastAsia" w:hAnsiTheme="minorEastAsia" w:hint="eastAsia"/>
                <w:bCs/>
                <w:sz w:val="24"/>
                <w:szCs w:val="24"/>
              </w:rPr>
              <w:t>上证路演</w:t>
            </w:r>
            <w:proofErr w:type="gramEnd"/>
            <w:r w:rsidRPr="00B77777">
              <w:rPr>
                <w:rFonts w:asciiTheme="minorEastAsia" w:eastAsiaTheme="minorEastAsia" w:hAnsiTheme="minorEastAsia" w:hint="eastAsia"/>
                <w:bCs/>
                <w:sz w:val="24"/>
                <w:szCs w:val="24"/>
              </w:rPr>
              <w:t>中心（http://roadshow.sseinfo.com）</w:t>
            </w:r>
          </w:p>
        </w:tc>
      </w:tr>
      <w:tr w:rsidR="00ED5886" w:rsidTr="00B77777">
        <w:trPr>
          <w:jc w:val="center"/>
        </w:trPr>
        <w:tc>
          <w:tcPr>
            <w:tcW w:w="1883" w:type="dxa"/>
            <w:vAlign w:val="center"/>
          </w:tcPr>
          <w:p w:rsidR="00ED5886" w:rsidRDefault="00EF0D1B">
            <w:pPr>
              <w:autoSpaceDE w:val="0"/>
              <w:autoSpaceDN w:val="0"/>
              <w:adjustRightInd w:val="0"/>
              <w:snapToGrid w:val="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公司接待人员姓名</w:t>
            </w:r>
          </w:p>
        </w:tc>
        <w:tc>
          <w:tcPr>
            <w:tcW w:w="6804" w:type="dxa"/>
            <w:gridSpan w:val="2"/>
            <w:vAlign w:val="center"/>
          </w:tcPr>
          <w:p w:rsidR="00B77777" w:rsidRDefault="00B77777">
            <w:pPr>
              <w:autoSpaceDE w:val="0"/>
              <w:autoSpaceDN w:val="0"/>
              <w:adjustRightInd w:val="0"/>
              <w:snapToGrid w:val="0"/>
              <w:spacing w:beforeLines="50" w:before="156"/>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董事长兼总经理</w:t>
            </w:r>
            <w:r w:rsidR="00F47089">
              <w:rPr>
                <w:rFonts w:asciiTheme="minorEastAsia" w:eastAsiaTheme="minorEastAsia" w:hAnsiTheme="minorEastAsia" w:hint="eastAsia"/>
                <w:bCs/>
                <w:sz w:val="24"/>
                <w:szCs w:val="24"/>
              </w:rPr>
              <w:t>：</w:t>
            </w:r>
            <w:bookmarkStart w:id="0" w:name="_GoBack"/>
            <w:bookmarkEnd w:id="0"/>
            <w:r>
              <w:rPr>
                <w:rFonts w:asciiTheme="minorEastAsia" w:eastAsiaTheme="minorEastAsia" w:hAnsiTheme="minorEastAsia" w:hint="eastAsia"/>
                <w:bCs/>
                <w:sz w:val="24"/>
                <w:szCs w:val="24"/>
              </w:rPr>
              <w:t>丁建文</w:t>
            </w:r>
          </w:p>
          <w:p w:rsidR="00ED5886" w:rsidRDefault="00B77777">
            <w:pPr>
              <w:autoSpaceDE w:val="0"/>
              <w:autoSpaceDN w:val="0"/>
              <w:adjustRightInd w:val="0"/>
              <w:snapToGrid w:val="0"/>
              <w:spacing w:beforeLines="50" w:before="156"/>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董事、</w:t>
            </w:r>
            <w:r w:rsidR="00EF0D1B">
              <w:rPr>
                <w:rFonts w:asciiTheme="minorEastAsia" w:eastAsiaTheme="minorEastAsia" w:hAnsiTheme="minorEastAsia" w:hint="eastAsia"/>
                <w:bCs/>
                <w:sz w:val="24"/>
                <w:szCs w:val="24"/>
              </w:rPr>
              <w:t>副总经理</w:t>
            </w:r>
            <w:r w:rsidR="00FC589E">
              <w:rPr>
                <w:rFonts w:asciiTheme="minorEastAsia" w:eastAsiaTheme="minorEastAsia" w:hAnsiTheme="minorEastAsia" w:hint="eastAsia"/>
                <w:bCs/>
                <w:sz w:val="24"/>
                <w:szCs w:val="24"/>
              </w:rPr>
              <w:t>、董事会秘书（代）</w:t>
            </w:r>
            <w:r w:rsidR="00EF0D1B">
              <w:rPr>
                <w:rFonts w:asciiTheme="minorEastAsia" w:eastAsiaTheme="minorEastAsia" w:hAnsiTheme="minorEastAsia" w:hint="eastAsia"/>
                <w:bCs/>
                <w:sz w:val="24"/>
                <w:szCs w:val="24"/>
              </w:rPr>
              <w:t>:林常青</w:t>
            </w:r>
          </w:p>
          <w:p w:rsidR="00ED5886" w:rsidRDefault="00B77777">
            <w:pPr>
              <w:autoSpaceDE w:val="0"/>
              <w:autoSpaceDN w:val="0"/>
              <w:adjustRightInd w:val="0"/>
              <w:snapToGrid w:val="0"/>
              <w:spacing w:beforeLines="50" w:before="156"/>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财务总监</w:t>
            </w:r>
            <w:r w:rsidR="00EF0D1B">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龙坤祥</w:t>
            </w:r>
          </w:p>
          <w:p w:rsidR="00ED5886" w:rsidRDefault="00B77777" w:rsidP="00FC589E">
            <w:pPr>
              <w:autoSpaceDE w:val="0"/>
              <w:autoSpaceDN w:val="0"/>
              <w:adjustRightInd w:val="0"/>
              <w:snapToGrid w:val="0"/>
              <w:spacing w:beforeLines="50" w:before="156"/>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独立董事：王先</w:t>
            </w:r>
            <w:proofErr w:type="gramStart"/>
            <w:r>
              <w:rPr>
                <w:rFonts w:asciiTheme="minorEastAsia" w:eastAsiaTheme="minorEastAsia" w:hAnsiTheme="minorEastAsia" w:hint="eastAsia"/>
                <w:bCs/>
                <w:sz w:val="24"/>
                <w:szCs w:val="24"/>
              </w:rPr>
              <w:t>酉</w:t>
            </w:r>
            <w:proofErr w:type="gramEnd"/>
          </w:p>
        </w:tc>
      </w:tr>
      <w:tr w:rsidR="00ED5886" w:rsidTr="00B77777">
        <w:trPr>
          <w:jc w:val="center"/>
        </w:trPr>
        <w:tc>
          <w:tcPr>
            <w:tcW w:w="1883" w:type="dxa"/>
            <w:vAlign w:val="center"/>
          </w:tcPr>
          <w:p w:rsidR="00ED5886" w:rsidRDefault="00EF0D1B" w:rsidP="00B77777">
            <w:pPr>
              <w:autoSpaceDE w:val="0"/>
              <w:autoSpaceDN w:val="0"/>
              <w:adjustRightInd w:val="0"/>
              <w:snapToGrid w:val="0"/>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投资者关系活动主要内容介绍</w:t>
            </w:r>
          </w:p>
        </w:tc>
        <w:tc>
          <w:tcPr>
            <w:tcW w:w="6804" w:type="dxa"/>
            <w:gridSpan w:val="2"/>
            <w:vAlign w:val="center"/>
          </w:tcPr>
          <w:p w:rsidR="00ED5886" w:rsidRDefault="00EF0D1B">
            <w:pPr>
              <w:autoSpaceDE w:val="0"/>
              <w:autoSpaceDN w:val="0"/>
              <w:adjustRightInd w:val="0"/>
              <w:snapToGrid w:val="0"/>
              <w:spacing w:line="360" w:lineRule="auto"/>
              <w:rPr>
                <w:rFonts w:asciiTheme="majorEastAsia" w:eastAsiaTheme="majorEastAsia" w:hAnsiTheme="majorEastAsia"/>
                <w:bCs/>
                <w:sz w:val="24"/>
                <w:szCs w:val="24"/>
              </w:rPr>
            </w:pPr>
            <w:r>
              <w:rPr>
                <w:rFonts w:asciiTheme="majorEastAsia" w:eastAsiaTheme="majorEastAsia" w:hAnsiTheme="majorEastAsia" w:hint="eastAsia"/>
                <w:bCs/>
                <w:sz w:val="24"/>
                <w:szCs w:val="24"/>
              </w:rPr>
              <w:t>互动问答</w:t>
            </w:r>
          </w:p>
          <w:p w:rsidR="00B77777" w:rsidRPr="00791974" w:rsidRDefault="00B77777" w:rsidP="00B77777">
            <w:pPr>
              <w:spacing w:line="360" w:lineRule="auto"/>
              <w:rPr>
                <w:rFonts w:asciiTheme="minorEastAsia" w:hAnsiTheme="minorEastAsia"/>
                <w:sz w:val="24"/>
                <w:szCs w:val="24"/>
              </w:rPr>
            </w:pPr>
            <w:r>
              <w:rPr>
                <w:rFonts w:asciiTheme="minorEastAsia" w:hAnsiTheme="minorEastAsia" w:hint="eastAsia"/>
                <w:sz w:val="24"/>
                <w:szCs w:val="24"/>
              </w:rPr>
              <w:t>1</w:t>
            </w:r>
            <w:r w:rsidR="004E4A88">
              <w:rPr>
                <w:rFonts w:asciiTheme="minorEastAsia" w:hAnsiTheme="minorEastAsia" w:hint="eastAsia"/>
                <w:sz w:val="24"/>
                <w:szCs w:val="24"/>
              </w:rPr>
              <w:t>．</w:t>
            </w:r>
            <w:r w:rsidR="004E4A88" w:rsidRPr="004E4A88">
              <w:rPr>
                <w:rFonts w:asciiTheme="minorEastAsia" w:hAnsiTheme="minorEastAsia" w:hint="eastAsia"/>
                <w:sz w:val="24"/>
                <w:szCs w:val="24"/>
              </w:rPr>
              <w:t>请问公司的核心技术平台有哪些，其技术先进性体现在哪些方面？除了目前的应用场景外，还有哪些医学检验领域可进行拓展？</w:t>
            </w:r>
          </w:p>
          <w:p w:rsidR="00ED5886" w:rsidRDefault="00B77777" w:rsidP="004E4A88">
            <w:pPr>
              <w:autoSpaceDE w:val="0"/>
              <w:autoSpaceDN w:val="0"/>
              <w:adjustRightInd w:val="0"/>
              <w:snapToGrid w:val="0"/>
              <w:spacing w:line="360" w:lineRule="auto"/>
              <w:rPr>
                <w:rFonts w:asciiTheme="minorEastAsia" w:hAnsiTheme="minorEastAsia"/>
                <w:sz w:val="24"/>
                <w:szCs w:val="24"/>
              </w:rPr>
            </w:pPr>
            <w:r w:rsidRPr="00791974">
              <w:rPr>
                <w:rFonts w:asciiTheme="minorEastAsia" w:hAnsiTheme="minorEastAsia" w:hint="eastAsia"/>
                <w:sz w:val="24"/>
                <w:szCs w:val="24"/>
              </w:rPr>
              <w:t>答：</w:t>
            </w:r>
            <w:r w:rsidR="004E4A88" w:rsidRPr="004E4A88">
              <w:rPr>
                <w:rFonts w:asciiTheme="minorEastAsia" w:hAnsiTheme="minorEastAsia" w:hint="eastAsia"/>
                <w:sz w:val="24"/>
                <w:szCs w:val="24"/>
              </w:rPr>
              <w:t>公司始终专注于临床标本有形成分显微镜检验自动化领域，在该细分行业形成了自己的竞争优势。公司在行业中较早进入该技术领域研发，原创性地将机器视觉技术应用到该领域，解决了显微镜检验自动化中一系列关键共性技术难题，实现了临床标本有形成分显微镜检验的自动化。公司依托自主建立的全</w:t>
            </w:r>
            <w:r w:rsidR="004E4A88" w:rsidRPr="004E4A88">
              <w:rPr>
                <w:rFonts w:asciiTheme="minorEastAsia" w:hAnsiTheme="minorEastAsia" w:hint="eastAsia"/>
                <w:sz w:val="24"/>
                <w:szCs w:val="24"/>
              </w:rPr>
              <w:lastRenderedPageBreak/>
              <w:t>自动显微镜细胞形态学检测技术平台，开发出了仪器、试剂、耗材三大产品线，广泛应用于医疗卫生机构临床标本的形态学检验中，填补了医学显微镜形态学检验自动化领域的技术空白。同时，为满足临床的综合性检测需求，公司还建立了化学免疫学检测技术平台及全自动理学检测技术平台，并开发出相应的仪器、试剂、耗材产品，为临床提供形态学、化学免疫学及理学检测的综合性解决方案，有效提高了相关临床标本的检验速度，降低了单位检验成本，同时为临床诊断提供更丰富、更准确的检测指标，让临床检验更好的服务于患者。公司基于现有技术平台不断拓展产品应用领域，产品线始终围绕医疗检验仪器领域逐渐多元化，已经从最初的尿液检验拓展到体液、粪便、生殖道分泌物、血液检验领域，未来计划将上述核心技术应用于病理切片检验、微生物检验等相关领域，将公司打造为医疗检验实验室设备及配套产品一体化综合服务提供商。</w:t>
            </w:r>
          </w:p>
          <w:p w:rsidR="00B77777" w:rsidRPr="00F5483C" w:rsidRDefault="00B77777" w:rsidP="00B77777">
            <w:pPr>
              <w:spacing w:line="360" w:lineRule="auto"/>
              <w:rPr>
                <w:rFonts w:asciiTheme="minorEastAsia" w:hAnsiTheme="minorEastAsia"/>
                <w:sz w:val="24"/>
                <w:szCs w:val="24"/>
              </w:rPr>
            </w:pPr>
            <w:r>
              <w:rPr>
                <w:rFonts w:asciiTheme="minorEastAsia" w:hAnsiTheme="minorEastAsia" w:hint="eastAsia"/>
                <w:sz w:val="24"/>
                <w:szCs w:val="24"/>
              </w:rPr>
              <w:t>2</w:t>
            </w:r>
            <w:r w:rsidRPr="00F5483C">
              <w:rPr>
                <w:rFonts w:asciiTheme="minorEastAsia" w:hAnsiTheme="minorEastAsia" w:hint="eastAsia"/>
                <w:sz w:val="24"/>
                <w:szCs w:val="24"/>
              </w:rPr>
              <w:t>.</w:t>
            </w:r>
            <w:r w:rsidR="004E4A88" w:rsidRPr="004E4A88">
              <w:rPr>
                <w:rFonts w:asciiTheme="minorEastAsia" w:hAnsiTheme="minorEastAsia" w:hint="eastAsia"/>
                <w:sz w:val="24"/>
                <w:szCs w:val="24"/>
              </w:rPr>
              <w:t>请问公司未来的分红计划和派息政策？</w:t>
            </w:r>
          </w:p>
          <w:p w:rsidR="00B77777" w:rsidRDefault="00B77777" w:rsidP="00B77777">
            <w:pPr>
              <w:autoSpaceDE w:val="0"/>
              <w:autoSpaceDN w:val="0"/>
              <w:adjustRightInd w:val="0"/>
              <w:snapToGrid w:val="0"/>
              <w:spacing w:line="360" w:lineRule="auto"/>
              <w:rPr>
                <w:rFonts w:asciiTheme="minorEastAsia" w:hAnsiTheme="minorEastAsia"/>
                <w:sz w:val="24"/>
                <w:szCs w:val="24"/>
              </w:rPr>
            </w:pPr>
            <w:r>
              <w:rPr>
                <w:rFonts w:asciiTheme="minorEastAsia" w:hAnsiTheme="minorEastAsia" w:hint="eastAsia"/>
                <w:sz w:val="24"/>
                <w:szCs w:val="24"/>
              </w:rPr>
              <w:t>答:</w:t>
            </w:r>
            <w:r w:rsidR="004E4A88">
              <w:rPr>
                <w:rFonts w:hint="eastAsia"/>
              </w:rPr>
              <w:t xml:space="preserve"> </w:t>
            </w:r>
            <w:r w:rsidR="004E4A88" w:rsidRPr="004E4A88">
              <w:rPr>
                <w:rFonts w:asciiTheme="minorEastAsia" w:hAnsiTheme="minorEastAsia" w:hint="eastAsia"/>
                <w:sz w:val="24"/>
                <w:szCs w:val="24"/>
              </w:rPr>
              <w:t>公司未来的分红计划和派息政策请参见公司2024年4月27日披露的《爱威科技未来三年（2024-2026年）股东回报规划》</w:t>
            </w:r>
            <w:r w:rsidR="004E4A88">
              <w:rPr>
                <w:rFonts w:asciiTheme="minorEastAsia" w:hAnsiTheme="minorEastAsia" w:hint="eastAsia"/>
                <w:sz w:val="24"/>
                <w:szCs w:val="24"/>
              </w:rPr>
              <w:t>。</w:t>
            </w:r>
          </w:p>
          <w:p w:rsidR="00B77777" w:rsidRPr="00F5483C" w:rsidRDefault="00B77777" w:rsidP="00B77777">
            <w:pPr>
              <w:spacing w:line="360" w:lineRule="auto"/>
              <w:rPr>
                <w:rFonts w:asciiTheme="minorEastAsia" w:hAnsiTheme="minorEastAsia"/>
                <w:sz w:val="24"/>
                <w:szCs w:val="24"/>
              </w:rPr>
            </w:pPr>
            <w:r>
              <w:rPr>
                <w:rFonts w:asciiTheme="minorEastAsia" w:hAnsiTheme="minorEastAsia" w:hint="eastAsia"/>
                <w:sz w:val="24"/>
                <w:szCs w:val="24"/>
              </w:rPr>
              <w:t>3</w:t>
            </w:r>
            <w:r w:rsidR="004E4A88">
              <w:rPr>
                <w:rFonts w:asciiTheme="minorEastAsia" w:hAnsiTheme="minorEastAsia" w:hint="eastAsia"/>
                <w:sz w:val="24"/>
                <w:szCs w:val="24"/>
              </w:rPr>
              <w:t>.</w:t>
            </w:r>
            <w:r w:rsidR="004E4A88" w:rsidRPr="004E4A88">
              <w:rPr>
                <w:rFonts w:asciiTheme="minorEastAsia" w:hAnsiTheme="minorEastAsia" w:hint="eastAsia"/>
                <w:sz w:val="24"/>
                <w:szCs w:val="24"/>
              </w:rPr>
              <w:t>公司2024有何发展规划？如何继续保持良好的发展趋势？谢谢</w:t>
            </w:r>
            <w:r w:rsidR="004E4A88">
              <w:rPr>
                <w:rFonts w:asciiTheme="minorEastAsia" w:hAnsiTheme="minorEastAsia" w:hint="eastAsia"/>
                <w:sz w:val="24"/>
                <w:szCs w:val="24"/>
              </w:rPr>
              <w:t>。</w:t>
            </w:r>
          </w:p>
          <w:p w:rsidR="00B77777" w:rsidRDefault="00EF0D1B" w:rsidP="00B77777">
            <w:pPr>
              <w:autoSpaceDE w:val="0"/>
              <w:autoSpaceDN w:val="0"/>
              <w:adjustRightInd w:val="0"/>
              <w:snapToGrid w:val="0"/>
              <w:spacing w:line="360" w:lineRule="auto"/>
              <w:rPr>
                <w:rFonts w:asciiTheme="minorEastAsia" w:hAnsiTheme="minorEastAsia" w:hint="eastAsia"/>
                <w:sz w:val="24"/>
                <w:szCs w:val="24"/>
              </w:rPr>
            </w:pPr>
            <w:r>
              <w:rPr>
                <w:rFonts w:asciiTheme="minorEastAsia" w:hAnsiTheme="minorEastAsia" w:hint="eastAsia"/>
                <w:sz w:val="24"/>
                <w:szCs w:val="24"/>
              </w:rPr>
              <w:t>答：</w:t>
            </w:r>
            <w:r w:rsidR="004E4A88" w:rsidRPr="004E4A88">
              <w:rPr>
                <w:rFonts w:asciiTheme="minorEastAsia" w:hAnsiTheme="minorEastAsia" w:hint="eastAsia"/>
                <w:sz w:val="24"/>
                <w:szCs w:val="24"/>
              </w:rPr>
              <w:t>2024年公司将继续专注于高性能临床检验仪器、体外诊断试剂、医用耗材主业，持续巩固和提升主业竞争力，力争以良好的业绩回报广大投资者，具体措施请参见公司发布的《2024年“提质增效重回报”行动方案》。</w:t>
            </w:r>
          </w:p>
          <w:p w:rsidR="004E4A88" w:rsidRDefault="004E4A88" w:rsidP="00B77777">
            <w:pPr>
              <w:autoSpaceDE w:val="0"/>
              <w:autoSpaceDN w:val="0"/>
              <w:adjustRightInd w:val="0"/>
              <w:snapToGrid w:val="0"/>
              <w:spacing w:line="360" w:lineRule="auto"/>
              <w:rPr>
                <w:rFonts w:asciiTheme="minorEastAsia" w:hAnsiTheme="minorEastAsia" w:hint="eastAsia"/>
                <w:sz w:val="24"/>
                <w:szCs w:val="24"/>
              </w:rPr>
            </w:pPr>
            <w:r>
              <w:rPr>
                <w:rFonts w:asciiTheme="minorEastAsia" w:hAnsiTheme="minorEastAsia" w:hint="eastAsia"/>
                <w:sz w:val="24"/>
                <w:szCs w:val="24"/>
              </w:rPr>
              <w:t>4.</w:t>
            </w:r>
            <w:r>
              <w:rPr>
                <w:rFonts w:hint="eastAsia"/>
              </w:rPr>
              <w:t xml:space="preserve"> </w:t>
            </w:r>
            <w:r w:rsidRPr="004E4A88">
              <w:rPr>
                <w:rFonts w:asciiTheme="minorEastAsia" w:hAnsiTheme="minorEastAsia" w:hint="eastAsia"/>
                <w:sz w:val="24"/>
                <w:szCs w:val="24"/>
              </w:rPr>
              <w:t>请问公司如何鼓励科研人员创新？在激励制度方面做了哪些工作？能否简单介绍一下？谢谢</w:t>
            </w:r>
            <w:r>
              <w:rPr>
                <w:rFonts w:asciiTheme="minorEastAsia" w:hAnsiTheme="minorEastAsia" w:hint="eastAsia"/>
                <w:sz w:val="24"/>
                <w:szCs w:val="24"/>
              </w:rPr>
              <w:t>。</w:t>
            </w:r>
          </w:p>
          <w:p w:rsidR="004E4A88" w:rsidRPr="004E4A88" w:rsidRDefault="004E4A88" w:rsidP="004E4A88">
            <w:pPr>
              <w:autoSpaceDE w:val="0"/>
              <w:autoSpaceDN w:val="0"/>
              <w:adjustRightInd w:val="0"/>
              <w:snapToGrid w:val="0"/>
              <w:spacing w:line="360" w:lineRule="auto"/>
              <w:rPr>
                <w:rFonts w:ascii="楷体" w:eastAsia="楷体" w:hAnsi="楷体"/>
                <w:sz w:val="24"/>
                <w:szCs w:val="24"/>
              </w:rPr>
            </w:pPr>
            <w:r>
              <w:rPr>
                <w:rFonts w:asciiTheme="minorEastAsia" w:hAnsiTheme="minorEastAsia" w:hint="eastAsia"/>
                <w:sz w:val="24"/>
                <w:szCs w:val="24"/>
              </w:rPr>
              <w:t>答：</w:t>
            </w:r>
            <w:r w:rsidRPr="004E4A88">
              <w:rPr>
                <w:rFonts w:asciiTheme="minorEastAsia" w:hAnsiTheme="minorEastAsia" w:hint="eastAsia"/>
                <w:sz w:val="24"/>
                <w:szCs w:val="24"/>
              </w:rPr>
              <w:t>为激发技术研发人员的创新积极性，提升公司技术创新实力，公司针对各类技术、产品创新成果，制定了合理的管理办法和激励政策。对于核心技术人员及有重大技术贡献的研发人员，公司为其提供优厚的薪酬待遇。公司将专利、非专利技术、</w:t>
            </w:r>
            <w:r w:rsidRPr="004E4A88">
              <w:rPr>
                <w:rFonts w:asciiTheme="minorEastAsia" w:hAnsiTheme="minorEastAsia" w:hint="eastAsia"/>
                <w:sz w:val="24"/>
                <w:szCs w:val="24"/>
              </w:rPr>
              <w:lastRenderedPageBreak/>
              <w:t>软件著作权以及学术论文等技术创新成果作为重要考核指标，并明确了相应的奖励措施。对新研发项目，公司推行项目研发责任制并设立项目奖金；对于现有产品的技术改进与升级，公司也制定了专门的技改奖励政策，以提高技术人员积极性，引导技术创新与市场应用的充分结合</w:t>
            </w:r>
            <w:r>
              <w:rPr>
                <w:rFonts w:asciiTheme="minorEastAsia" w:hAnsiTheme="minorEastAsia" w:hint="eastAsia"/>
                <w:sz w:val="24"/>
                <w:szCs w:val="24"/>
              </w:rPr>
              <w:t>。</w:t>
            </w:r>
          </w:p>
        </w:tc>
      </w:tr>
      <w:tr w:rsidR="00ED5886" w:rsidTr="00B77777">
        <w:trPr>
          <w:jc w:val="center"/>
        </w:trPr>
        <w:tc>
          <w:tcPr>
            <w:tcW w:w="1883" w:type="dxa"/>
            <w:vAlign w:val="center"/>
          </w:tcPr>
          <w:p w:rsidR="00ED5886" w:rsidRDefault="00EF0D1B">
            <w:pPr>
              <w:autoSpaceDE w:val="0"/>
              <w:autoSpaceDN w:val="0"/>
              <w:adjustRightInd w:val="0"/>
              <w:snapToGrid w:val="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lastRenderedPageBreak/>
              <w:t>附件清单</w:t>
            </w:r>
          </w:p>
          <w:p w:rsidR="00ED5886" w:rsidRDefault="00EF0D1B">
            <w:pPr>
              <w:autoSpaceDE w:val="0"/>
              <w:autoSpaceDN w:val="0"/>
              <w:adjustRightInd w:val="0"/>
              <w:snapToGrid w:val="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（如有）</w:t>
            </w:r>
          </w:p>
        </w:tc>
        <w:tc>
          <w:tcPr>
            <w:tcW w:w="6804" w:type="dxa"/>
            <w:gridSpan w:val="2"/>
            <w:vAlign w:val="center"/>
          </w:tcPr>
          <w:p w:rsidR="00ED5886" w:rsidRDefault="00EF0D1B">
            <w:pPr>
              <w:autoSpaceDE w:val="0"/>
              <w:autoSpaceDN w:val="0"/>
              <w:adjustRightInd w:val="0"/>
              <w:snapToGrid w:val="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无</w:t>
            </w:r>
          </w:p>
        </w:tc>
      </w:tr>
    </w:tbl>
    <w:p w:rsidR="00ED5886" w:rsidRDefault="00ED5886"/>
    <w:sectPr w:rsidR="00ED58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D20"/>
    <w:rsid w:val="00017B82"/>
    <w:rsid w:val="0002017C"/>
    <w:rsid w:val="00020FD8"/>
    <w:rsid w:val="000357E8"/>
    <w:rsid w:val="00046C7D"/>
    <w:rsid w:val="00050F5F"/>
    <w:rsid w:val="00064DDF"/>
    <w:rsid w:val="00065E74"/>
    <w:rsid w:val="00073E50"/>
    <w:rsid w:val="00076876"/>
    <w:rsid w:val="000A7386"/>
    <w:rsid w:val="000B5BF1"/>
    <w:rsid w:val="000B7347"/>
    <w:rsid w:val="000C65C6"/>
    <w:rsid w:val="000E5207"/>
    <w:rsid w:val="000F50D2"/>
    <w:rsid w:val="00150C3A"/>
    <w:rsid w:val="0015440E"/>
    <w:rsid w:val="001552D2"/>
    <w:rsid w:val="00162D8A"/>
    <w:rsid w:val="001651C7"/>
    <w:rsid w:val="00167529"/>
    <w:rsid w:val="00173E96"/>
    <w:rsid w:val="001952FA"/>
    <w:rsid w:val="001A718A"/>
    <w:rsid w:val="001B5295"/>
    <w:rsid w:val="001D018F"/>
    <w:rsid w:val="001E0962"/>
    <w:rsid w:val="001E12C3"/>
    <w:rsid w:val="001E40BD"/>
    <w:rsid w:val="002022E3"/>
    <w:rsid w:val="00205572"/>
    <w:rsid w:val="002137E5"/>
    <w:rsid w:val="002255BB"/>
    <w:rsid w:val="00226FDA"/>
    <w:rsid w:val="00234618"/>
    <w:rsid w:val="00236AB0"/>
    <w:rsid w:val="00242E56"/>
    <w:rsid w:val="002524C1"/>
    <w:rsid w:val="00254AA3"/>
    <w:rsid w:val="002552F4"/>
    <w:rsid w:val="00281F48"/>
    <w:rsid w:val="00282815"/>
    <w:rsid w:val="00283A66"/>
    <w:rsid w:val="00286E65"/>
    <w:rsid w:val="00297779"/>
    <w:rsid w:val="002C77E3"/>
    <w:rsid w:val="002D26EA"/>
    <w:rsid w:val="002E0CC0"/>
    <w:rsid w:val="00313EF0"/>
    <w:rsid w:val="0032370F"/>
    <w:rsid w:val="00332D6A"/>
    <w:rsid w:val="00335454"/>
    <w:rsid w:val="00335E9E"/>
    <w:rsid w:val="0034037B"/>
    <w:rsid w:val="0035778A"/>
    <w:rsid w:val="003702FA"/>
    <w:rsid w:val="00372057"/>
    <w:rsid w:val="00374D6E"/>
    <w:rsid w:val="00377776"/>
    <w:rsid w:val="00385198"/>
    <w:rsid w:val="00397D04"/>
    <w:rsid w:val="003A12EE"/>
    <w:rsid w:val="003B551E"/>
    <w:rsid w:val="003C3F3A"/>
    <w:rsid w:val="00404BC4"/>
    <w:rsid w:val="00406019"/>
    <w:rsid w:val="00411564"/>
    <w:rsid w:val="00417B47"/>
    <w:rsid w:val="0042519C"/>
    <w:rsid w:val="00470772"/>
    <w:rsid w:val="004965D9"/>
    <w:rsid w:val="004B22E5"/>
    <w:rsid w:val="004B64F9"/>
    <w:rsid w:val="004B6511"/>
    <w:rsid w:val="004D5D32"/>
    <w:rsid w:val="004E4A88"/>
    <w:rsid w:val="004E4D77"/>
    <w:rsid w:val="004F7EBD"/>
    <w:rsid w:val="00512239"/>
    <w:rsid w:val="00535021"/>
    <w:rsid w:val="005364BA"/>
    <w:rsid w:val="00554AB3"/>
    <w:rsid w:val="00556943"/>
    <w:rsid w:val="00564F91"/>
    <w:rsid w:val="0056545F"/>
    <w:rsid w:val="00586C5C"/>
    <w:rsid w:val="005944B4"/>
    <w:rsid w:val="005A6B3A"/>
    <w:rsid w:val="005B434E"/>
    <w:rsid w:val="005C1815"/>
    <w:rsid w:val="005E2104"/>
    <w:rsid w:val="005F4425"/>
    <w:rsid w:val="005F622C"/>
    <w:rsid w:val="00605AFC"/>
    <w:rsid w:val="00606C26"/>
    <w:rsid w:val="00614C10"/>
    <w:rsid w:val="00622198"/>
    <w:rsid w:val="00624587"/>
    <w:rsid w:val="00624F66"/>
    <w:rsid w:val="006468EC"/>
    <w:rsid w:val="00647B21"/>
    <w:rsid w:val="00654866"/>
    <w:rsid w:val="006553DB"/>
    <w:rsid w:val="00664813"/>
    <w:rsid w:val="00676D82"/>
    <w:rsid w:val="00684FD3"/>
    <w:rsid w:val="006A43E8"/>
    <w:rsid w:val="006A5595"/>
    <w:rsid w:val="006C54C1"/>
    <w:rsid w:val="006F22B4"/>
    <w:rsid w:val="007053A6"/>
    <w:rsid w:val="00707B1B"/>
    <w:rsid w:val="007208BF"/>
    <w:rsid w:val="00730010"/>
    <w:rsid w:val="00737EB3"/>
    <w:rsid w:val="00743ABE"/>
    <w:rsid w:val="0075335F"/>
    <w:rsid w:val="00772791"/>
    <w:rsid w:val="00783F74"/>
    <w:rsid w:val="00797081"/>
    <w:rsid w:val="007B0D83"/>
    <w:rsid w:val="007C6C83"/>
    <w:rsid w:val="007D6FEE"/>
    <w:rsid w:val="007F444F"/>
    <w:rsid w:val="007F64D7"/>
    <w:rsid w:val="007F75AE"/>
    <w:rsid w:val="00804303"/>
    <w:rsid w:val="008079B7"/>
    <w:rsid w:val="00810CB7"/>
    <w:rsid w:val="008128A7"/>
    <w:rsid w:val="00813966"/>
    <w:rsid w:val="00815EF6"/>
    <w:rsid w:val="00824154"/>
    <w:rsid w:val="00825DC8"/>
    <w:rsid w:val="00826ED2"/>
    <w:rsid w:val="00831390"/>
    <w:rsid w:val="008400DF"/>
    <w:rsid w:val="00847E84"/>
    <w:rsid w:val="008733EB"/>
    <w:rsid w:val="008761F4"/>
    <w:rsid w:val="00884CBA"/>
    <w:rsid w:val="00890276"/>
    <w:rsid w:val="008C4236"/>
    <w:rsid w:val="008C4BE3"/>
    <w:rsid w:val="008D138E"/>
    <w:rsid w:val="008E4674"/>
    <w:rsid w:val="00926A97"/>
    <w:rsid w:val="00930575"/>
    <w:rsid w:val="0093104C"/>
    <w:rsid w:val="00932A82"/>
    <w:rsid w:val="009430E8"/>
    <w:rsid w:val="00946D6C"/>
    <w:rsid w:val="009477A9"/>
    <w:rsid w:val="00947946"/>
    <w:rsid w:val="00947AB6"/>
    <w:rsid w:val="00953999"/>
    <w:rsid w:val="009556F2"/>
    <w:rsid w:val="00963B71"/>
    <w:rsid w:val="009665FA"/>
    <w:rsid w:val="0098258B"/>
    <w:rsid w:val="0098324C"/>
    <w:rsid w:val="009920BF"/>
    <w:rsid w:val="009A55AE"/>
    <w:rsid w:val="009B14E3"/>
    <w:rsid w:val="009B1E78"/>
    <w:rsid w:val="009B2256"/>
    <w:rsid w:val="009C0BDA"/>
    <w:rsid w:val="009C5CA2"/>
    <w:rsid w:val="009D4438"/>
    <w:rsid w:val="009E02EE"/>
    <w:rsid w:val="009E3CAD"/>
    <w:rsid w:val="009F7239"/>
    <w:rsid w:val="00A10F69"/>
    <w:rsid w:val="00A20501"/>
    <w:rsid w:val="00A219CC"/>
    <w:rsid w:val="00A22E37"/>
    <w:rsid w:val="00A258C2"/>
    <w:rsid w:val="00A27BDE"/>
    <w:rsid w:val="00A33A4E"/>
    <w:rsid w:val="00A41116"/>
    <w:rsid w:val="00A4141D"/>
    <w:rsid w:val="00A4631C"/>
    <w:rsid w:val="00A4645D"/>
    <w:rsid w:val="00A6265B"/>
    <w:rsid w:val="00A7538C"/>
    <w:rsid w:val="00AE168D"/>
    <w:rsid w:val="00AE5B7B"/>
    <w:rsid w:val="00AF2817"/>
    <w:rsid w:val="00B01E78"/>
    <w:rsid w:val="00B1038C"/>
    <w:rsid w:val="00B177A2"/>
    <w:rsid w:val="00B2234C"/>
    <w:rsid w:val="00B27663"/>
    <w:rsid w:val="00B35A5D"/>
    <w:rsid w:val="00B36AA7"/>
    <w:rsid w:val="00B45DC3"/>
    <w:rsid w:val="00B60E46"/>
    <w:rsid w:val="00B61CC6"/>
    <w:rsid w:val="00B61F3D"/>
    <w:rsid w:val="00B629A8"/>
    <w:rsid w:val="00B70964"/>
    <w:rsid w:val="00B77777"/>
    <w:rsid w:val="00B92B0F"/>
    <w:rsid w:val="00B93D20"/>
    <w:rsid w:val="00BA3939"/>
    <w:rsid w:val="00BC645E"/>
    <w:rsid w:val="00BD3922"/>
    <w:rsid w:val="00BE5134"/>
    <w:rsid w:val="00BE6D05"/>
    <w:rsid w:val="00BF5E3F"/>
    <w:rsid w:val="00C014AF"/>
    <w:rsid w:val="00C03F30"/>
    <w:rsid w:val="00C06A8D"/>
    <w:rsid w:val="00C07235"/>
    <w:rsid w:val="00C1732C"/>
    <w:rsid w:val="00C34C7D"/>
    <w:rsid w:val="00C3520F"/>
    <w:rsid w:val="00C4196A"/>
    <w:rsid w:val="00C46548"/>
    <w:rsid w:val="00C501ED"/>
    <w:rsid w:val="00C51CE8"/>
    <w:rsid w:val="00C66B90"/>
    <w:rsid w:val="00C87A06"/>
    <w:rsid w:val="00C931C2"/>
    <w:rsid w:val="00CA7A98"/>
    <w:rsid w:val="00CB34A9"/>
    <w:rsid w:val="00CC6709"/>
    <w:rsid w:val="00CD2A29"/>
    <w:rsid w:val="00CE5382"/>
    <w:rsid w:val="00CF08E3"/>
    <w:rsid w:val="00CF0C80"/>
    <w:rsid w:val="00D00C4D"/>
    <w:rsid w:val="00D072CE"/>
    <w:rsid w:val="00D12915"/>
    <w:rsid w:val="00D20D7E"/>
    <w:rsid w:val="00D2482B"/>
    <w:rsid w:val="00D3020C"/>
    <w:rsid w:val="00D32013"/>
    <w:rsid w:val="00D353EA"/>
    <w:rsid w:val="00D634B8"/>
    <w:rsid w:val="00D655AF"/>
    <w:rsid w:val="00D758DC"/>
    <w:rsid w:val="00D96786"/>
    <w:rsid w:val="00DA2463"/>
    <w:rsid w:val="00DB7552"/>
    <w:rsid w:val="00DC5B88"/>
    <w:rsid w:val="00DD1046"/>
    <w:rsid w:val="00DE4A9F"/>
    <w:rsid w:val="00DF40A0"/>
    <w:rsid w:val="00DF74A3"/>
    <w:rsid w:val="00E01852"/>
    <w:rsid w:val="00E17E18"/>
    <w:rsid w:val="00E22F87"/>
    <w:rsid w:val="00E2301B"/>
    <w:rsid w:val="00E74125"/>
    <w:rsid w:val="00E839D9"/>
    <w:rsid w:val="00E92A9C"/>
    <w:rsid w:val="00EA353F"/>
    <w:rsid w:val="00EB2199"/>
    <w:rsid w:val="00EC0E71"/>
    <w:rsid w:val="00ED5886"/>
    <w:rsid w:val="00EE27CC"/>
    <w:rsid w:val="00EF0D1B"/>
    <w:rsid w:val="00F01C32"/>
    <w:rsid w:val="00F15037"/>
    <w:rsid w:val="00F20A44"/>
    <w:rsid w:val="00F24850"/>
    <w:rsid w:val="00F30333"/>
    <w:rsid w:val="00F30E6D"/>
    <w:rsid w:val="00F40634"/>
    <w:rsid w:val="00F420EC"/>
    <w:rsid w:val="00F47089"/>
    <w:rsid w:val="00F56686"/>
    <w:rsid w:val="00F66F99"/>
    <w:rsid w:val="00F949BE"/>
    <w:rsid w:val="00F950F8"/>
    <w:rsid w:val="00FA4884"/>
    <w:rsid w:val="00FA7D94"/>
    <w:rsid w:val="00FB51F4"/>
    <w:rsid w:val="00FC30D0"/>
    <w:rsid w:val="00FC589E"/>
    <w:rsid w:val="00FD7BD8"/>
    <w:rsid w:val="00FD7FB4"/>
    <w:rsid w:val="00FE4297"/>
    <w:rsid w:val="00FF4A1C"/>
    <w:rsid w:val="00FF73E2"/>
    <w:rsid w:val="033653A1"/>
    <w:rsid w:val="04D431A2"/>
    <w:rsid w:val="07D21C63"/>
    <w:rsid w:val="18A6214B"/>
    <w:rsid w:val="2A973B1E"/>
    <w:rsid w:val="2B022D10"/>
    <w:rsid w:val="2DB658E6"/>
    <w:rsid w:val="31C774CF"/>
    <w:rsid w:val="39172059"/>
    <w:rsid w:val="3ECC7A99"/>
    <w:rsid w:val="44D95E0A"/>
    <w:rsid w:val="4ADD47AA"/>
    <w:rsid w:val="55FF06D2"/>
    <w:rsid w:val="5F287C7B"/>
    <w:rsid w:val="63D855BF"/>
    <w:rsid w:val="68A8108C"/>
    <w:rsid w:val="69E03F8F"/>
    <w:rsid w:val="7B984B7E"/>
    <w:rsid w:val="7C643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qFormat/>
    <w:rPr>
      <w:sz w:val="21"/>
      <w:szCs w:val="21"/>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6"/>
    <w:uiPriority w:val="99"/>
    <w:qFormat/>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kern w:val="2"/>
      <w:sz w:val="18"/>
      <w:szCs w:val="18"/>
    </w:rPr>
  </w:style>
  <w:style w:type="paragraph" w:styleId="a9">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qFormat/>
    <w:rPr>
      <w:sz w:val="21"/>
      <w:szCs w:val="21"/>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6"/>
    <w:uiPriority w:val="99"/>
    <w:qFormat/>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kern w:val="2"/>
      <w:sz w:val="18"/>
      <w:szCs w:val="18"/>
    </w:rPr>
  </w:style>
  <w:style w:type="paragraph" w:styleId="a9">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7.wmf"/><Relationship Id="rId3" Type="http://schemas.microsoft.com/office/2007/relationships/stylesWithEffects" Target="stylesWithEffects.xml"/><Relationship Id="rId21" Type="http://schemas.openxmlformats.org/officeDocument/2006/relationships/control" Target="activeX/activeX8.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control" Target="activeX/activeX7.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240</Words>
  <Characters>1369</Characters>
  <Application>Microsoft Office Word</Application>
  <DocSecurity>0</DocSecurity>
  <Lines>11</Lines>
  <Paragraphs>3</Paragraphs>
  <ScaleCrop>false</ScaleCrop>
  <Company>Microsoft</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Douzi</dc:creator>
  <cp:lastModifiedBy>AutoBVT</cp:lastModifiedBy>
  <cp:revision>6</cp:revision>
  <dcterms:created xsi:type="dcterms:W3CDTF">2024-09-05T06:08:00Z</dcterms:created>
  <dcterms:modified xsi:type="dcterms:W3CDTF">2024-09-05T08:11:00Z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