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581F9">
      <w:pPr>
        <w:keepNext/>
        <w:keepLines/>
        <w:spacing w:before="260" w:after="260" w:line="36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hint="eastAsia" w:ascii="Times New Roman" w:hAnsi="Times New Roman" w:eastAsia="宋体" w:cs="Times New Roman"/>
          <w:b/>
          <w:bCs/>
          <w:iCs/>
          <w:sz w:val="24"/>
          <w:lang w:bidi="ar"/>
        </w:rPr>
        <w:t>证券简称：莱特光电</w:t>
      </w:r>
      <w:r>
        <w:rPr>
          <w:rFonts w:ascii="Times New Roman" w:hAnsi="Times New Roman" w:eastAsia="宋体" w:cs="Times New Roman"/>
          <w:b/>
          <w:bCs/>
          <w:iCs/>
          <w:sz w:val="24"/>
          <w:lang w:bidi="ar"/>
        </w:rPr>
        <w:t xml:space="preserve">                                      </w:t>
      </w:r>
      <w:r>
        <w:rPr>
          <w:rFonts w:hint="eastAsia" w:ascii="Times New Roman" w:hAnsi="Times New Roman" w:eastAsia="宋体" w:cs="Times New Roman"/>
          <w:b/>
          <w:bCs/>
          <w:iCs/>
          <w:sz w:val="24"/>
          <w:lang w:bidi="ar"/>
        </w:rPr>
        <w:t>证券代码：</w:t>
      </w:r>
      <w:r>
        <w:rPr>
          <w:rFonts w:ascii="Times New Roman" w:hAnsi="Times New Roman" w:eastAsia="宋体" w:cs="Times New Roman"/>
          <w:b/>
          <w:bCs/>
          <w:iCs/>
          <w:sz w:val="24"/>
          <w:lang w:bidi="ar"/>
        </w:rPr>
        <w:t>688150</w:t>
      </w:r>
    </w:p>
    <w:p w14:paraId="225F05D8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bidi="ar"/>
        </w:rPr>
        <w:t>陕西莱特光电材料股份有限公司</w:t>
      </w:r>
    </w:p>
    <w:p w14:paraId="6B73120E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bidi="ar"/>
        </w:rPr>
        <w:t>投资者关系活动记录表</w:t>
      </w:r>
    </w:p>
    <w:p w14:paraId="27843DEF">
      <w:pPr>
        <w:keepNext/>
        <w:keepLines/>
        <w:spacing w:before="260" w:after="260" w:line="360" w:lineRule="auto"/>
        <w:jc w:val="right"/>
        <w:outlineLvl w:val="1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>编号：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2024-0</w:t>
      </w: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>17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160"/>
      </w:tblGrid>
      <w:tr w14:paraId="3FFC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D82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lang w:bidi="ar"/>
              </w:rPr>
              <w:t>投资者关系活动类别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30FD6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hint="eastAsia" w:ascii="Wingdings 2" w:hAnsi="Wingdings 2" w:eastAsia="宋体" w:cs="Times New Roman"/>
                <w:sz w:val="24"/>
                <w:lang w:bidi="ar"/>
              </w:rPr>
              <w:t>特定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对象调研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</w:t>
            </w: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分析师会议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         </w:t>
            </w: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媒体采访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br w:type="textWrapping"/>
            </w: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业绩说明会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</w:t>
            </w: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路演活动</w:t>
            </w:r>
          </w:p>
          <w:p w14:paraId="269AB30F">
            <w:pPr>
              <w:tabs>
                <w:tab w:val="left" w:pos="2690"/>
                <w:tab w:val="center" w:pos="3199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Wingdings 2" w:hAnsi="Wingdings 2" w:eastAsia="宋体" w:cs="Times New Roman"/>
                <w:sz w:val="24"/>
                <w:lang w:bidi="ar"/>
              </w:rPr>
              <w:t>现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场参观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   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hint="eastAsia" w:ascii="Wingdings 2" w:hAnsi="Wingdings 2" w:eastAsia="宋体" w:cs="Times New Roman"/>
                <w:sz w:val="24"/>
                <w:lang w:bidi="ar"/>
              </w:rPr>
              <w:t>电话会议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hint="eastAsia" w:ascii="Wingdings 2" w:hAnsi="Wingdings 2" w:eastAsia="Wingdings 2" w:cs="Wingdings 2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z w:val="24"/>
                <w:szCs w:val="22"/>
                <w:lang w:bidi="ar"/>
              </w:rPr>
              <w:t>☐</w:t>
            </w:r>
            <w:r>
              <w:rPr>
                <w:rFonts w:hint="eastAsia" w:ascii="Wingdings 2" w:hAnsi="Wingdings 2" w:eastAsia="宋体" w:cs="Wingdings 2"/>
                <w:sz w:val="24"/>
                <w:szCs w:val="22"/>
                <w:lang w:bidi="ar"/>
              </w:rPr>
              <w:t>其他</w:t>
            </w:r>
            <w:r>
              <w:rPr>
                <w:rFonts w:ascii="Wingdings 2" w:hAnsi="Wingdings 2" w:eastAsia="Wingdings 2" w:cs="Wingdings 2"/>
                <w:sz w:val="24"/>
                <w:szCs w:val="22"/>
                <w:u w:val="single"/>
                <w:lang w:bidi="ar"/>
              </w:rPr>
              <w:t xml:space="preserve">    </w:t>
            </w:r>
          </w:p>
        </w:tc>
      </w:tr>
      <w:tr w14:paraId="7076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DD6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参与单位名称及人员姓名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CC7F">
            <w:pPr>
              <w:tabs>
                <w:tab w:val="center" w:pos="2798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银华基金：王卓立                 中信保诚基金：王优草</w:t>
            </w:r>
          </w:p>
          <w:p w14:paraId="490D5A79">
            <w:pPr>
              <w:tabs>
                <w:tab w:val="center" w:pos="2798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 xml:space="preserve">东北证券：李亚鑫、李明           西部证券：卢宇程、李宁宇      </w:t>
            </w:r>
          </w:p>
          <w:p w14:paraId="41F14872">
            <w:pPr>
              <w:tabs>
                <w:tab w:val="center" w:pos="2798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中信证券：陈旺</w:t>
            </w:r>
          </w:p>
        </w:tc>
      </w:tr>
      <w:tr w14:paraId="298A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05CD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会议时间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3A5CBD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2024年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9月4日</w:t>
            </w:r>
          </w:p>
        </w:tc>
      </w:tr>
      <w:tr w14:paraId="3B1A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B87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会议地点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F6DBD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陕西莱特光电材料股份有限公司会议室/线上</w:t>
            </w:r>
          </w:p>
        </w:tc>
      </w:tr>
      <w:tr w14:paraId="0150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E8B1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上市公司接待人员姓名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81C09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董事会秘书：潘香婷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 xml:space="preserve">               投资者关系专员：张尊睿</w:t>
            </w:r>
          </w:p>
        </w:tc>
      </w:tr>
      <w:tr w14:paraId="24D7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ADD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投资者关系活动主要内容介绍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5D2A88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bidi="ar"/>
              </w:rPr>
              <w:t>问题1：公司OLED有机材料进展情况如何？</w:t>
            </w:r>
          </w:p>
          <w:p w14:paraId="53D98018">
            <w:pPr>
              <w:spacing w:before="50" w:line="360" w:lineRule="auto"/>
              <w:ind w:firstLine="420" w:firstLineChars="200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答：2024年上半年，随着终端消费电子需求回暖及OLED渗透率持续提升，公司下游客户需求持续增长，公司OLED终端材料销量同比大幅增长。产品开发及验证方面，公司重点进行了红、绿、蓝三色Prime材料、Host材料、Dopant材料的开发，围绕高效率、低电压、长寿命等持续升级的技术指标，不断提升产品性能。其中Red Prime材料已持续迭代了7代器件的量产应用，在新一代器件中测试较好，继续保持业内领先；Green Host材料持续迭代2代器件的量产应用，在新一代器件中验证顺利，已达到国际先进水平；Red Host材料已通过客户量产测试，今年有望实现批量供货；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Green Prime材料及蓝光系列材料在客户端验证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过程中。此外，公司多支材料在硅基OLED器件中的测试表现优良。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客户方面，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公司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保持头部OLED面板厂商稳定量产供应的同时，积极开发新客户，争取逐步实现国内OLED面板厂商的全覆盖。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OLED中间体方面，公司产品和客户结构转型取得初步成果，材料类型趋于多元化，氘代类等高附加值材料占比逐渐提升，客户结构逐步转向终端材料制造商，与韩国面板企业的一级供应商取得相关项目合作。</w:t>
            </w:r>
          </w:p>
          <w:p w14:paraId="28BDC8AA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问题2：公司今年上半年收入能否按产品类别拆分？</w:t>
            </w:r>
          </w:p>
          <w:p w14:paraId="0EAA30B2">
            <w:pPr>
              <w:spacing w:before="50" w:line="360" w:lineRule="auto"/>
              <w:ind w:firstLine="420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bidi="ar"/>
              </w:rPr>
              <w:t>答：2024年上半年，公司实现营业收入24,552.29万元，同比增长73.65%。其中OLED有机材料收入21,213.84万元，占整体营业收入的86.40%；其他中间体产品主要是医药中间体，实现营业收入1,797.53万元，占比7.32%；面板清洗液及其他收入为1,540.92万元，占比6.28%。</w:t>
            </w:r>
          </w:p>
          <w:p w14:paraId="38A92DED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OLED材料行业竞争格局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？</w:t>
            </w:r>
          </w:p>
          <w:p w14:paraId="01427875">
            <w:pPr>
              <w:spacing w:before="50" w:line="360" w:lineRule="auto"/>
              <w:ind w:firstLine="420" w:firstLineChars="200"/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目前，在全球OLED有机材料供应体系中，我国企业主要集中在OLED中间体领域，在技术壁垒较高的OLED终端材料领域市占率仍然较低，主要供应商仍为国外材料厂商，国内仅有少数企业进入到OLED面板厂商核心供应链体系并实现量产，材料国产替代空间广阔。公司目前已实现了Red Prime材料及Green Host材料量产供应；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Red Host材料通过客户量产测试，今年有望实现批量供货；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Green Prime材料及蓝光系列材料在客户端验证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。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公司持续加大研发投入，通过加强技术创新、提升产品性能、丰富产品品类等多方面举措不断提升市场份额及核心竞争力。</w:t>
            </w:r>
          </w:p>
          <w:p w14:paraId="6572A19C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  <w:t>4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：公司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客户对专利要求严格吗？公司专利布局情况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？</w:t>
            </w:r>
          </w:p>
          <w:p w14:paraId="189D4BD3">
            <w:pPr>
              <w:spacing w:before="50" w:line="360" w:lineRule="auto"/>
              <w:ind w:firstLine="420" w:firstLineChars="200"/>
              <w:rPr>
                <w:rFonts w:hint="eastAsia"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答：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OLED终端材料是OLED面板的核心组成部分，由于手机、平板等终端应用厂商非常重视产品的专利保护，因此面板厂商对于所选用的材料具有严格的专利要求。公司高度重视科技创新和知识产权的开发、积累和保护，在建立技术优势的同时，通过丰富且多样化的专利布局形成深厚的技术壁垒和市场壁垒，为技术创新构筑了知识产权护城河。截至2024年上半年，公司累计申请专利883项，其中发明专利878项；获得授权专利346项，其中发明专利341项。公司自有专利覆盖了发光层材料、空穴传输层材料、空穴阻挡层材料和电子传输层材料等OLED核心功能层材料，专利保护区域覆盖中国、美国、日本、韩国及欧洲等国家，充分保障了公司产品在客户终端全球化销售的安全性。</w:t>
            </w:r>
          </w:p>
          <w:p w14:paraId="718D1FE8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  <w:t>5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叠层技术对于材料的需求变化，公司是否有材料验证？</w:t>
            </w:r>
          </w:p>
          <w:p w14:paraId="0981F7F7">
            <w:pPr>
              <w:spacing w:before="50" w:line="360" w:lineRule="auto"/>
              <w:ind w:firstLine="420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答：叠层OLED器件是由两个发光单元通过电荷产生层串联而成的新型OLED器件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具有亮度高、寿命长等优点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其结构是在目前OLED各功能层的基础上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新增连接两个发光单元的CGL层材料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起到产生电荷和传输电子的作用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发光层材料用量较单层OLED器件有所增加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，公司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目前已有多支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CGL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及发光材料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在客户端叠层OLED器件体系验证测试。</w:t>
            </w:r>
          </w:p>
          <w:p w14:paraId="4C9F42F6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  <w:t>6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8.6代线对于材料的拉动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？</w:t>
            </w:r>
          </w:p>
          <w:p w14:paraId="516F7FD1">
            <w:pPr>
              <w:spacing w:before="50" w:line="360" w:lineRule="auto"/>
              <w:ind w:firstLine="420" w:firstLineChars="200"/>
              <w:rPr>
                <w:rFonts w:ascii="Times New Roman" w:hAnsi="Times New Roman" w:cs="Times New Roman"/>
                <w:b/>
                <w:szCs w:val="21"/>
                <w:highlight w:val="yellow"/>
                <w:lang w:bidi="ar"/>
              </w:rPr>
            </w:pP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答：8.6代OLED生产线主要面向平板、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笔电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等IT产品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及车载显示市场，其产线的投入将推动OLED从小尺寸向中大尺寸加速渗透，从而带动OLED材料需求的增长。苹果、华为等头部厂商陆续推出搭载AMOLED屏幕的平板电脑产品，苹果最新发布的iPad Pro配备双层串联OLED屏，如未来8.6代线采用OLED叠层技术，将进一步提升OLED材料的需求。</w:t>
            </w:r>
          </w:p>
          <w:p w14:paraId="5156F1E9">
            <w:pPr>
              <w:spacing w:before="50" w:line="360" w:lineRule="auto"/>
              <w:ind w:firstLine="422" w:firstLineChars="200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  <w:t>7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公司布局的几款材料在OLED面板有机材料成本中的占比？</w:t>
            </w:r>
          </w:p>
          <w:p w14:paraId="3721BAA0">
            <w:pPr>
              <w:spacing w:before="50" w:line="360" w:lineRule="auto"/>
              <w:ind w:firstLine="420" w:firstLineChars="200"/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答：根据行业研究机构OLED Industry数据显示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Red Prime材料占到OLED面板所用OLED有机材料采购金额的12%左右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Green Host材料占到OLED面板所用OLED有机材料采购金额的10%左右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Red Host材料占到OLED面板所用OLED有机材料采购金额的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%左右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Green Prime材料、Blue Prime材料及Blue Host材料合计占到OLED面板所用OLED有机材料采购金额的2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左右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。各家面板厂商器件结构不同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实际材料金额占比有所差异。</w:t>
            </w:r>
          </w:p>
          <w:p w14:paraId="2823413D">
            <w:pPr>
              <w:spacing w:before="50" w:line="360" w:lineRule="auto"/>
              <w:ind w:firstLine="422" w:firstLineChars="200"/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  <w:t>问题8：公司的蓝光材料开发进展如何？</w:t>
            </w:r>
          </w:p>
          <w:p w14:paraId="32DF9117">
            <w:pPr>
              <w:spacing w:before="50" w:line="360" w:lineRule="auto"/>
              <w:ind w:firstLine="420" w:firstLineChars="200"/>
              <w:rPr>
                <w:rFonts w:hint="default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答：公司持续推进蓝光系列材料的自主研发，同时与客户联合进行蓝色磷光技术的产业化推进，共同加速蓝光材料的国产化进程。目前已有产品在客户端验证，同时新产品也在持续开发中。</w:t>
            </w:r>
            <w:bookmarkStart w:id="0" w:name="_GoBack"/>
            <w:bookmarkEnd w:id="0"/>
          </w:p>
        </w:tc>
      </w:tr>
      <w:tr w14:paraId="0664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68C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是否涉及应当披露重大信息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A313">
            <w:pPr>
              <w:widowControl/>
              <w:spacing w:before="156" w:beforeLines="50" w:after="156" w:afterLines="50" w:line="360" w:lineRule="auto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bidi="ar"/>
              </w:rPr>
              <w:t>否</w:t>
            </w:r>
          </w:p>
        </w:tc>
      </w:tr>
      <w:tr w14:paraId="4DD0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BBC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附件清单（如有）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7049">
            <w:pPr>
              <w:widowControl/>
              <w:spacing w:before="156" w:beforeLines="50" w:after="156" w:afterLines="50" w:line="360" w:lineRule="auto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无</w:t>
            </w:r>
          </w:p>
        </w:tc>
      </w:tr>
      <w:tr w14:paraId="01B3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B1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日期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C01F9">
            <w:pPr>
              <w:widowControl/>
              <w:spacing w:before="156" w:beforeLines="50" w:after="156" w:afterLines="50" w:line="360" w:lineRule="auto"/>
              <w:jc w:val="lef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lang w:bidi="ar"/>
              </w:rPr>
              <w:t>2024年</w:t>
            </w:r>
            <w:r>
              <w:rPr>
                <w:rFonts w:hint="eastAsia" w:ascii="Times New Roman" w:hAnsi="Times New Roman" w:cs="Times New Roman"/>
                <w:iCs/>
                <w:sz w:val="24"/>
                <w:lang w:bidi="ar"/>
              </w:rPr>
              <w:t>9</w:t>
            </w:r>
            <w:r>
              <w:rPr>
                <w:rFonts w:ascii="Times New Roman" w:hAnsi="Times New Roman" w:cs="Times New Roman"/>
                <w:iCs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cs="Times New Roman"/>
                <w:iCs/>
                <w:sz w:val="24"/>
                <w:lang w:val="en-US" w:eastAsia="zh-CN" w:bidi="ar"/>
              </w:rPr>
              <w:t>5</w:t>
            </w:r>
            <w:r>
              <w:rPr>
                <w:rFonts w:ascii="Times New Roman" w:hAnsi="Times New Roman" w:cs="Times New Roman"/>
                <w:iCs/>
                <w:sz w:val="24"/>
                <w:lang w:bidi="ar"/>
              </w:rPr>
              <w:t>日</w:t>
            </w:r>
          </w:p>
        </w:tc>
      </w:tr>
    </w:tbl>
    <w:p w14:paraId="5DD6BAC3"/>
    <w:sectPr>
      <w:pgSz w:w="11906" w:h="16838"/>
      <w:pgMar w:top="1135" w:right="1135" w:bottom="851" w:left="11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N2FhNjJiOGQwOGUyOWUxYjBiMDhkMmY4NjgyMzMifQ=="/>
  </w:docVars>
  <w:rsids>
    <w:rsidRoot w:val="7D3F6A40"/>
    <w:rsid w:val="001D5AE1"/>
    <w:rsid w:val="00403FC0"/>
    <w:rsid w:val="005E6AC1"/>
    <w:rsid w:val="007E2B05"/>
    <w:rsid w:val="00900F61"/>
    <w:rsid w:val="009222A0"/>
    <w:rsid w:val="00B66372"/>
    <w:rsid w:val="00BA7AC1"/>
    <w:rsid w:val="00D96368"/>
    <w:rsid w:val="00ED4AFD"/>
    <w:rsid w:val="00FD7871"/>
    <w:rsid w:val="010A478A"/>
    <w:rsid w:val="02541247"/>
    <w:rsid w:val="043A7135"/>
    <w:rsid w:val="04473A61"/>
    <w:rsid w:val="0B1C57E6"/>
    <w:rsid w:val="0CE7793C"/>
    <w:rsid w:val="13256902"/>
    <w:rsid w:val="19B11C10"/>
    <w:rsid w:val="1A2D4791"/>
    <w:rsid w:val="1FD57CEC"/>
    <w:rsid w:val="21E7182E"/>
    <w:rsid w:val="231855DA"/>
    <w:rsid w:val="241C08E3"/>
    <w:rsid w:val="250963F9"/>
    <w:rsid w:val="28BF3100"/>
    <w:rsid w:val="2D74208E"/>
    <w:rsid w:val="30906284"/>
    <w:rsid w:val="31877D2A"/>
    <w:rsid w:val="320B17DC"/>
    <w:rsid w:val="39024293"/>
    <w:rsid w:val="39D505B7"/>
    <w:rsid w:val="40B57568"/>
    <w:rsid w:val="41F32814"/>
    <w:rsid w:val="42B35204"/>
    <w:rsid w:val="44896D41"/>
    <w:rsid w:val="4CAE1A3B"/>
    <w:rsid w:val="4CBD1C7E"/>
    <w:rsid w:val="4D935DE7"/>
    <w:rsid w:val="50AB5B8D"/>
    <w:rsid w:val="51424597"/>
    <w:rsid w:val="51D51818"/>
    <w:rsid w:val="534A4DE6"/>
    <w:rsid w:val="535B2AB3"/>
    <w:rsid w:val="54270FD0"/>
    <w:rsid w:val="5E6617A9"/>
    <w:rsid w:val="61AF3E33"/>
    <w:rsid w:val="63AC47EB"/>
    <w:rsid w:val="664A412A"/>
    <w:rsid w:val="66FD69BF"/>
    <w:rsid w:val="68264723"/>
    <w:rsid w:val="6B3F780D"/>
    <w:rsid w:val="6D716441"/>
    <w:rsid w:val="6F3A0074"/>
    <w:rsid w:val="7783749C"/>
    <w:rsid w:val="77A26E17"/>
    <w:rsid w:val="79825A2C"/>
    <w:rsid w:val="7D3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2002</Words>
  <Characters>2338</Characters>
  <Lines>19</Lines>
  <Paragraphs>5</Paragraphs>
  <TotalTime>0</TotalTime>
  <ScaleCrop>false</ScaleCrop>
  <LinksUpToDate>false</LinksUpToDate>
  <CharactersWithSpaces>2507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2024-08-20T03:50:00Z</dcterms:created>
  <dc:creator>张尊睿</dc:creator>
  <cp:lastModifiedBy>张尊睿</cp:lastModifiedBy>
  <dcterms:modified xsi:type="dcterms:W3CDTF">2024-09-05T08:49:38Z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C8B65ECD94244BA89036821799A2A06D_13</vt:lpwstr>
  </property>
</Properties>
</file>